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81D9">
      <w:pPr>
        <w:pStyle w:val="16"/>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黑体" w:cs="Times New Roman"/>
          <w:color w:val="auto"/>
          <w:sz w:val="31"/>
          <w:szCs w:val="31"/>
          <w:highlight w:val="none"/>
          <w:lang w:eastAsia="zh-CN"/>
        </w:rPr>
      </w:pPr>
      <w:r>
        <w:rPr>
          <w:rFonts w:hint="eastAsia" w:ascii="Times New Roman" w:eastAsia="黑体" w:cs="Times New Roman"/>
          <w:color w:val="auto"/>
          <w:sz w:val="31"/>
          <w:szCs w:val="31"/>
          <w:highlight w:val="none"/>
          <w:u w:val="single"/>
          <w:lang w:eastAsia="zh-CN"/>
        </w:rPr>
        <w:t>辽宁省</w:t>
      </w:r>
    </w:p>
    <w:p w14:paraId="40FAD502">
      <w:pPr>
        <w:pStyle w:val="16"/>
        <w:pageBreakBefore w:val="0"/>
        <w:kinsoku/>
        <w:wordWrap w:val="0"/>
        <w:bidi w:val="0"/>
        <w:spacing w:line="440" w:lineRule="exact"/>
        <w:jc w:val="center"/>
        <w:rPr>
          <w:rFonts w:hint="default" w:ascii="Times New Roman" w:hAnsi="Times New Roman" w:eastAsia="黑体" w:cs="Times New Roman"/>
          <w:b w:val="0"/>
          <w:bCs w:val="0"/>
          <w:color w:val="auto"/>
          <w:sz w:val="31"/>
          <w:szCs w:val="31"/>
          <w:highlight w:val="none"/>
        </w:rPr>
      </w:pPr>
      <w:r>
        <w:rPr>
          <w:rFonts w:hint="eastAsia" w:ascii="Times New Roman" w:eastAsia="黑体" w:cs="Times New Roman"/>
          <w:b w:val="0"/>
          <w:bCs w:val="0"/>
          <w:color w:val="auto"/>
          <w:sz w:val="31"/>
          <w:szCs w:val="31"/>
          <w:highlight w:val="none"/>
          <w:u w:val="single"/>
          <w:lang w:eastAsia="zh-CN"/>
        </w:rPr>
        <w:t>2025年盖州市农村公路维修改造工程超前实施项目</w:t>
      </w:r>
      <w:r>
        <w:rPr>
          <w:rFonts w:hint="default" w:ascii="Times New Roman" w:hAnsi="Times New Roman" w:eastAsia="黑体" w:cs="Times New Roman"/>
          <w:b w:val="0"/>
          <w:bCs w:val="0"/>
          <w:color w:val="auto"/>
          <w:sz w:val="31"/>
          <w:szCs w:val="31"/>
          <w:highlight w:val="none"/>
        </w:rPr>
        <w:t>（项目名称）</w:t>
      </w:r>
    </w:p>
    <w:p w14:paraId="147ED905">
      <w:pPr>
        <w:pStyle w:val="16"/>
        <w:pageBreakBefore w:val="0"/>
        <w:kinsoku/>
        <w:wordWrap w:val="0"/>
        <w:bidi w:val="0"/>
        <w:spacing w:line="440" w:lineRule="exact"/>
        <w:jc w:val="center"/>
        <w:rPr>
          <w:rFonts w:hint="eastAsia" w:ascii="Times New Roman" w:eastAsia="黑体" w:cs="Times New Roman"/>
          <w:b w:val="0"/>
          <w:bCs w:val="0"/>
          <w:color w:val="auto"/>
          <w:sz w:val="31"/>
          <w:szCs w:val="31"/>
          <w:highlight w:val="none"/>
          <w:u w:val="single"/>
          <w:lang w:eastAsia="zh-CN"/>
        </w:rPr>
      </w:pPr>
      <w:r>
        <w:rPr>
          <w:rFonts w:hint="eastAsia" w:ascii="Times New Roman" w:eastAsia="黑体" w:cs="Times New Roman"/>
          <w:b w:val="0"/>
          <w:bCs w:val="0"/>
          <w:color w:val="auto"/>
          <w:sz w:val="31"/>
          <w:szCs w:val="31"/>
          <w:highlight w:val="none"/>
          <w:u w:val="single"/>
          <w:lang w:eastAsia="zh-CN"/>
        </w:rPr>
        <w:t>2025年盖州市农村公路维修改造工程超前实施项目二标段</w:t>
      </w:r>
      <w:bookmarkStart w:id="1727" w:name="_GoBack"/>
      <w:bookmarkEnd w:id="1727"/>
    </w:p>
    <w:p w14:paraId="17928808">
      <w:pPr>
        <w:pStyle w:val="16"/>
        <w:pageBreakBefore w:val="0"/>
        <w:kinsoku/>
        <w:wordWrap w:val="0"/>
        <w:bidi w:val="0"/>
        <w:spacing w:line="440" w:lineRule="exact"/>
        <w:jc w:val="center"/>
        <w:rPr>
          <w:rFonts w:hint="default" w:ascii="Times New Roman" w:hAnsi="Times New Roman" w:eastAsia="黑体" w:cs="Times New Roman"/>
          <w:color w:val="auto"/>
          <w:sz w:val="31"/>
          <w:szCs w:val="31"/>
          <w:highlight w:val="none"/>
        </w:rPr>
      </w:pPr>
      <w:r>
        <w:rPr>
          <w:rFonts w:hint="default" w:ascii="Times New Roman" w:hAnsi="Times New Roman" w:eastAsia="黑体" w:cs="Times New Roman"/>
          <w:b w:val="0"/>
          <w:bCs w:val="0"/>
          <w:color w:val="auto"/>
          <w:sz w:val="31"/>
          <w:szCs w:val="31"/>
          <w:highlight w:val="none"/>
          <w:u w:val="single"/>
        </w:rPr>
        <w:t>（标段名称）</w:t>
      </w:r>
      <w:r>
        <w:rPr>
          <w:rFonts w:hint="default" w:ascii="Times New Roman" w:hAnsi="Times New Roman" w:eastAsia="黑体" w:cs="Times New Roman"/>
          <w:color w:val="auto"/>
          <w:sz w:val="31"/>
          <w:szCs w:val="31"/>
          <w:highlight w:val="none"/>
        </w:rPr>
        <w:t>施工招标</w:t>
      </w:r>
    </w:p>
    <w:p w14:paraId="15BBC37C">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5EF133EE">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p>
    <w:p w14:paraId="7739D2A9">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p>
    <w:p w14:paraId="3D2FDBDE">
      <w:pPr>
        <w:pageBreakBefore w:val="0"/>
        <w:kinsoku/>
        <w:wordWrap w:val="0"/>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eastAsia="zh-CN"/>
        </w:rPr>
        <w:t>项目编号</w:t>
      </w:r>
      <w:r>
        <w:rPr>
          <w:rFonts w:hint="default" w:ascii="Times New Roman" w:hAnsi="Times New Roman" w:eastAsia="黑体" w:cs="Times New Roman"/>
          <w:color w:val="auto"/>
          <w:sz w:val="28"/>
          <w:szCs w:val="28"/>
          <w:highlight w:val="none"/>
        </w:rPr>
        <w:t>：</w:t>
      </w:r>
      <w:r>
        <w:rPr>
          <w:rFonts w:hint="eastAsia" w:eastAsia="黑体" w:cs="Times New Roman"/>
          <w:color w:val="auto"/>
          <w:sz w:val="28"/>
          <w:szCs w:val="28"/>
          <w:highlight w:val="none"/>
          <w:u w:val="single"/>
          <w:lang w:val="en-US" w:eastAsia="zh-CN"/>
        </w:rPr>
        <w:t xml:space="preserve">            </w:t>
      </w:r>
      <w:r>
        <w:rPr>
          <w:rFonts w:hint="default" w:ascii="Times New Roman" w:hAnsi="Times New Roman" w:eastAsia="黑体" w:cs="Times New Roman"/>
          <w:color w:val="auto"/>
          <w:sz w:val="28"/>
          <w:szCs w:val="28"/>
          <w:highlight w:val="none"/>
        </w:rPr>
        <w:t>）</w:t>
      </w:r>
    </w:p>
    <w:p w14:paraId="0DF6FEF3">
      <w:pPr>
        <w:pageBreakBefore w:val="0"/>
        <w:kinsoku/>
        <w:wordWrap w:val="0"/>
        <w:bidi w:val="0"/>
        <w:spacing w:line="440" w:lineRule="exact"/>
        <w:rPr>
          <w:rFonts w:hint="eastAsia" w:ascii="Times New Roman" w:hAnsi="Times New Roman" w:eastAsia="宋体" w:cs="Times New Roman"/>
          <w:color w:val="auto"/>
          <w:sz w:val="20"/>
          <w:szCs w:val="20"/>
          <w:highlight w:val="none"/>
          <w:lang w:eastAsia="zh-CN"/>
        </w:rPr>
      </w:pPr>
    </w:p>
    <w:p w14:paraId="64B24238">
      <w:pPr>
        <w:pageBreakBefore w:val="0"/>
        <w:kinsoku/>
        <w:wordWrap w:val="0"/>
        <w:bidi w:val="0"/>
        <w:spacing w:line="440" w:lineRule="exact"/>
        <w:rPr>
          <w:rFonts w:hint="default" w:ascii="Times New Roman" w:hAnsi="Times New Roman" w:cs="Times New Roman"/>
          <w:color w:val="auto"/>
          <w:sz w:val="20"/>
          <w:szCs w:val="20"/>
          <w:highlight w:val="none"/>
        </w:rPr>
      </w:pPr>
    </w:p>
    <w:p w14:paraId="068AC959">
      <w:pPr>
        <w:pStyle w:val="17"/>
        <w:rPr>
          <w:rFonts w:hint="default" w:ascii="Times New Roman" w:hAnsi="Times New Roman" w:cs="Times New Roman"/>
          <w:color w:val="auto"/>
          <w:sz w:val="20"/>
          <w:szCs w:val="20"/>
          <w:highlight w:val="none"/>
        </w:rPr>
      </w:pPr>
    </w:p>
    <w:p w14:paraId="05C1EA58">
      <w:pPr>
        <w:pStyle w:val="17"/>
        <w:rPr>
          <w:rFonts w:hint="default" w:ascii="Times New Roman" w:hAnsi="Times New Roman" w:cs="Times New Roman"/>
          <w:color w:val="auto"/>
          <w:sz w:val="20"/>
          <w:szCs w:val="20"/>
          <w:highlight w:val="none"/>
        </w:rPr>
      </w:pPr>
    </w:p>
    <w:p w14:paraId="34DD8C29">
      <w:pPr>
        <w:pStyle w:val="17"/>
        <w:rPr>
          <w:rFonts w:hint="default" w:ascii="Times New Roman" w:hAnsi="Times New Roman" w:cs="Times New Roman"/>
          <w:color w:val="auto"/>
          <w:sz w:val="20"/>
          <w:szCs w:val="20"/>
          <w:highlight w:val="none"/>
        </w:rPr>
      </w:pPr>
    </w:p>
    <w:p w14:paraId="51B7DBCD">
      <w:pPr>
        <w:pageBreakBefore w:val="0"/>
        <w:kinsoku/>
        <w:wordWrap w:val="0"/>
        <w:bidi w:val="0"/>
        <w:spacing w:line="440" w:lineRule="exact"/>
        <w:rPr>
          <w:rFonts w:hint="default" w:ascii="Times New Roman" w:hAnsi="Times New Roman" w:cs="Times New Roman"/>
          <w:color w:val="auto"/>
          <w:sz w:val="20"/>
          <w:szCs w:val="20"/>
          <w:highlight w:val="none"/>
        </w:rPr>
      </w:pPr>
    </w:p>
    <w:p w14:paraId="57A8F9D7">
      <w:pPr>
        <w:pageBreakBefore w:val="0"/>
        <w:kinsoku/>
        <w:wordWrap w:val="0"/>
        <w:bidi w:val="0"/>
        <w:spacing w:line="860" w:lineRule="exact"/>
        <w:jc w:val="center"/>
        <w:outlineLvl w:val="9"/>
        <w:rPr>
          <w:rFonts w:hint="default" w:ascii="Times New Roman" w:hAnsi="Times New Roman" w:eastAsia="黑体" w:cs="Times New Roman"/>
          <w:color w:val="auto"/>
          <w:sz w:val="50"/>
          <w:szCs w:val="50"/>
          <w:highlight w:val="none"/>
        </w:rPr>
      </w:pPr>
      <w:bookmarkStart w:id="0" w:name="_Toc18732"/>
      <w:bookmarkStart w:id="1" w:name="_Toc28497"/>
      <w:bookmarkStart w:id="2" w:name="_Toc411"/>
      <w:r>
        <w:rPr>
          <w:rFonts w:hint="default" w:ascii="Times New Roman" w:hAnsi="Times New Roman" w:eastAsia="黑体" w:cs="Times New Roman"/>
          <w:color w:val="auto"/>
          <w:sz w:val="50"/>
          <w:szCs w:val="50"/>
          <w:highlight w:val="none"/>
        </w:rPr>
        <w:t>招标文件</w:t>
      </w:r>
      <w:bookmarkEnd w:id="0"/>
      <w:bookmarkEnd w:id="1"/>
      <w:bookmarkEnd w:id="2"/>
    </w:p>
    <w:p w14:paraId="447785E9">
      <w:pPr>
        <w:pageBreakBefore w:val="0"/>
        <w:kinsoku/>
        <w:wordWrap w:val="0"/>
        <w:bidi w:val="0"/>
        <w:spacing w:line="440" w:lineRule="exact"/>
        <w:rPr>
          <w:rFonts w:hint="default" w:ascii="Times New Roman" w:hAnsi="Times New Roman" w:cs="Times New Roman"/>
          <w:color w:val="auto"/>
          <w:sz w:val="20"/>
          <w:szCs w:val="20"/>
          <w:highlight w:val="none"/>
        </w:rPr>
      </w:pPr>
    </w:p>
    <w:p w14:paraId="0DDE5F5A">
      <w:pPr>
        <w:pageBreakBefore w:val="0"/>
        <w:kinsoku/>
        <w:wordWrap w:val="0"/>
        <w:bidi w:val="0"/>
        <w:spacing w:line="440" w:lineRule="exact"/>
        <w:rPr>
          <w:rFonts w:hint="default" w:ascii="Times New Roman" w:hAnsi="Times New Roman" w:cs="Times New Roman"/>
          <w:color w:val="auto"/>
          <w:sz w:val="20"/>
          <w:szCs w:val="20"/>
          <w:highlight w:val="none"/>
        </w:rPr>
      </w:pPr>
    </w:p>
    <w:p w14:paraId="7C21304B">
      <w:pPr>
        <w:pageBreakBefore w:val="0"/>
        <w:kinsoku/>
        <w:wordWrap w:val="0"/>
        <w:bidi w:val="0"/>
        <w:spacing w:line="440" w:lineRule="exact"/>
        <w:rPr>
          <w:rFonts w:hint="default" w:ascii="Times New Roman" w:hAnsi="Times New Roman" w:cs="Times New Roman"/>
          <w:color w:val="auto"/>
          <w:sz w:val="20"/>
          <w:szCs w:val="20"/>
          <w:highlight w:val="none"/>
        </w:rPr>
      </w:pPr>
    </w:p>
    <w:p w14:paraId="1DDF5250">
      <w:pPr>
        <w:pageBreakBefore w:val="0"/>
        <w:kinsoku/>
        <w:wordWrap w:val="0"/>
        <w:bidi w:val="0"/>
        <w:spacing w:line="440" w:lineRule="exact"/>
        <w:rPr>
          <w:rFonts w:hint="default" w:ascii="Times New Roman" w:hAnsi="Times New Roman" w:cs="Times New Roman"/>
          <w:color w:val="auto"/>
          <w:sz w:val="20"/>
          <w:szCs w:val="20"/>
          <w:highlight w:val="none"/>
        </w:rPr>
      </w:pPr>
    </w:p>
    <w:p w14:paraId="34296E2E">
      <w:pPr>
        <w:pageBreakBefore w:val="0"/>
        <w:kinsoku/>
        <w:wordWrap w:val="0"/>
        <w:bidi w:val="0"/>
        <w:spacing w:line="440" w:lineRule="exact"/>
        <w:rPr>
          <w:rFonts w:hint="default" w:ascii="Times New Roman" w:hAnsi="Times New Roman" w:cs="Times New Roman"/>
          <w:color w:val="auto"/>
          <w:sz w:val="20"/>
          <w:szCs w:val="20"/>
          <w:highlight w:val="none"/>
        </w:rPr>
      </w:pPr>
    </w:p>
    <w:p w14:paraId="44596C28">
      <w:pPr>
        <w:pageBreakBefore w:val="0"/>
        <w:kinsoku/>
        <w:wordWrap w:val="0"/>
        <w:bidi w:val="0"/>
        <w:spacing w:line="440" w:lineRule="exact"/>
        <w:rPr>
          <w:rFonts w:hint="default" w:ascii="Times New Roman" w:hAnsi="Times New Roman" w:cs="Times New Roman"/>
          <w:color w:val="auto"/>
          <w:sz w:val="20"/>
          <w:szCs w:val="20"/>
          <w:highlight w:val="none"/>
        </w:rPr>
      </w:pPr>
    </w:p>
    <w:p w14:paraId="25365C3C">
      <w:pPr>
        <w:pageBreakBefore w:val="0"/>
        <w:kinsoku/>
        <w:wordWrap w:val="0"/>
        <w:bidi w:val="0"/>
        <w:spacing w:line="440" w:lineRule="exact"/>
        <w:rPr>
          <w:rFonts w:hint="default" w:ascii="Times New Roman" w:hAnsi="Times New Roman" w:cs="Times New Roman"/>
          <w:color w:val="auto"/>
          <w:sz w:val="20"/>
          <w:szCs w:val="20"/>
          <w:highlight w:val="none"/>
        </w:rPr>
      </w:pPr>
    </w:p>
    <w:p w14:paraId="6F5213CD">
      <w:pPr>
        <w:pageBreakBefore w:val="0"/>
        <w:kinsoku/>
        <w:wordWrap w:val="0"/>
        <w:bidi w:val="0"/>
        <w:spacing w:line="7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招标人：</w:t>
      </w:r>
      <w:r>
        <w:rPr>
          <w:rFonts w:hint="eastAsia" w:eastAsia="黑体" w:cs="Times New Roman"/>
          <w:color w:val="auto"/>
          <w:sz w:val="28"/>
          <w:szCs w:val="28"/>
          <w:highlight w:val="none"/>
          <w:u w:val="single"/>
          <w:lang w:eastAsia="zh-CN"/>
        </w:rPr>
        <w:t>盖州市交通运输服务中心</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eastAsia="zh-CN"/>
        </w:rPr>
        <w:t>盖单位电子印章</w:t>
      </w:r>
      <w:r>
        <w:rPr>
          <w:rFonts w:hint="default" w:ascii="Times New Roman" w:hAnsi="Times New Roman" w:eastAsia="黑体" w:cs="Times New Roman"/>
          <w:color w:val="auto"/>
          <w:sz w:val="28"/>
          <w:szCs w:val="28"/>
          <w:highlight w:val="none"/>
        </w:rPr>
        <w:t>）</w:t>
      </w:r>
    </w:p>
    <w:p w14:paraId="1830F088">
      <w:pPr>
        <w:pageBreakBefore w:val="0"/>
        <w:kinsoku/>
        <w:wordWrap w:val="0"/>
        <w:bidi w:val="0"/>
        <w:spacing w:line="700" w:lineRule="exact"/>
        <w:jc w:val="center"/>
        <w:rPr>
          <w:rFonts w:hint="default" w:ascii="Times New Roman" w:hAnsi="Times New Roman" w:cs="Times New Roman"/>
          <w:color w:val="auto"/>
          <w:sz w:val="28"/>
          <w:szCs w:val="28"/>
          <w:highlight w:val="none"/>
        </w:rPr>
      </w:pPr>
      <w:r>
        <w:rPr>
          <w:rFonts w:hint="default" w:ascii="Times New Roman" w:hAnsi="Times New Roman" w:eastAsia="黑体" w:cs="Times New Roman"/>
          <w:color w:val="auto"/>
          <w:sz w:val="28"/>
          <w:szCs w:val="28"/>
          <w:highlight w:val="none"/>
        </w:rPr>
        <w:t>招标代理机构：</w:t>
      </w:r>
      <w:r>
        <w:rPr>
          <w:rFonts w:hint="eastAsia" w:eastAsia="黑体" w:cs="Times New Roman"/>
          <w:color w:val="auto"/>
          <w:sz w:val="28"/>
          <w:szCs w:val="28"/>
          <w:highlight w:val="none"/>
          <w:u w:val="single"/>
          <w:lang w:eastAsia="zh-CN"/>
        </w:rPr>
        <w:t>辽宁巨鸿建设工程造价咨询有限公司</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eastAsia="zh-CN"/>
        </w:rPr>
        <w:t>盖单位电子印章</w:t>
      </w:r>
      <w:r>
        <w:rPr>
          <w:rFonts w:hint="default" w:ascii="Times New Roman" w:hAnsi="Times New Roman" w:eastAsia="黑体" w:cs="Times New Roman"/>
          <w:color w:val="auto"/>
          <w:sz w:val="28"/>
          <w:szCs w:val="28"/>
          <w:highlight w:val="none"/>
        </w:rPr>
        <w:t>）</w:t>
      </w:r>
    </w:p>
    <w:p w14:paraId="560E6634">
      <w:pPr>
        <w:pageBreakBefore w:val="0"/>
        <w:kinsoku/>
        <w:wordWrap w:val="0"/>
        <w:bidi w:val="0"/>
        <w:spacing w:line="700" w:lineRule="exact"/>
        <w:ind w:firstLine="2259" w:firstLineChars="807"/>
        <w:rPr>
          <w:rFonts w:hint="default" w:ascii="Times New Roman" w:hAnsi="Times New Roman" w:eastAsia="黑体" w:cs="Times New Roman"/>
          <w:color w:val="auto"/>
          <w:sz w:val="28"/>
          <w:szCs w:val="28"/>
          <w:highlight w:val="none"/>
        </w:rPr>
      </w:pPr>
      <w:r>
        <w:rPr>
          <w:rFonts w:hint="eastAsia" w:eastAsia="黑体" w:cs="Times New Roman"/>
          <w:color w:val="auto"/>
          <w:sz w:val="28"/>
          <w:szCs w:val="28"/>
          <w:highlight w:val="none"/>
          <w:u w:val="single"/>
          <w:lang w:val="en-US" w:eastAsia="zh-CN"/>
        </w:rPr>
        <w:t>2026</w:t>
      </w:r>
      <w:r>
        <w:rPr>
          <w:rFonts w:hint="default" w:ascii="Times New Roman" w:hAnsi="Times New Roman" w:eastAsia="黑体" w:cs="Times New Roman"/>
          <w:color w:val="auto"/>
          <w:sz w:val="28"/>
          <w:szCs w:val="28"/>
          <w:highlight w:val="none"/>
        </w:rPr>
        <w:t>年</w:t>
      </w:r>
      <w:r>
        <w:rPr>
          <w:rFonts w:hint="eastAsia" w:eastAsia="黑体" w:cs="Times New Roman"/>
          <w:color w:val="auto"/>
          <w:sz w:val="28"/>
          <w:szCs w:val="28"/>
          <w:highlight w:val="none"/>
          <w:u w:val="single"/>
          <w:lang w:val="en-US" w:eastAsia="zh-CN"/>
        </w:rPr>
        <w:t xml:space="preserve">    </w:t>
      </w:r>
      <w:r>
        <w:rPr>
          <w:rFonts w:hint="default" w:ascii="Times New Roman" w:hAnsi="Times New Roman" w:eastAsia="黑体" w:cs="Times New Roman"/>
          <w:color w:val="auto"/>
          <w:sz w:val="28"/>
          <w:szCs w:val="28"/>
          <w:highlight w:val="none"/>
        </w:rPr>
        <w:t>月</w:t>
      </w:r>
      <w:r>
        <w:rPr>
          <w:rFonts w:hint="eastAsia" w:eastAsia="黑体" w:cs="Times New Roman"/>
          <w:color w:val="auto"/>
          <w:sz w:val="28"/>
          <w:szCs w:val="28"/>
          <w:highlight w:val="none"/>
          <w:u w:val="single"/>
          <w:lang w:val="en-US" w:eastAsia="zh-CN"/>
        </w:rPr>
        <w:t xml:space="preserve">   </w:t>
      </w:r>
      <w:r>
        <w:rPr>
          <w:rFonts w:hint="default" w:ascii="Times New Roman" w:hAnsi="Times New Roman" w:eastAsia="黑体" w:cs="Times New Roman"/>
          <w:color w:val="auto"/>
          <w:sz w:val="28"/>
          <w:szCs w:val="28"/>
          <w:highlight w:val="none"/>
        </w:rPr>
        <w:t>日</w:t>
      </w:r>
    </w:p>
    <w:p w14:paraId="7D416600">
      <w:pPr>
        <w:pageBreakBefore w:val="0"/>
        <w:kinsoku/>
        <w:wordWrap w:val="0"/>
        <w:bidi w:val="0"/>
        <w:spacing w:line="352" w:lineRule="atLeast"/>
        <w:jc w:val="center"/>
        <w:rPr>
          <w:rFonts w:hint="default" w:ascii="Times New Roman" w:hAnsi="Times New Roman" w:eastAsia="黑体" w:cs="Times New Roman"/>
          <w:color w:val="auto"/>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851" w:gutter="0"/>
          <w:pgNumType w:fmt="upperRoman" w:start="1"/>
          <w:cols w:space="720" w:num="1"/>
          <w:docGrid w:linePitch="312" w:charSpace="0"/>
        </w:sectPr>
      </w:pPr>
    </w:p>
    <w:p w14:paraId="4581D49C">
      <w:pPr>
        <w:pageBreakBefore w:val="0"/>
        <w:kinsoku/>
        <w:wordWrap w:val="0"/>
        <w:bidi w:val="0"/>
        <w:spacing w:line="352" w:lineRule="atLeast"/>
        <w:rPr>
          <w:rFonts w:hint="default" w:ascii="Times New Roman" w:hAnsi="Times New Roman" w:eastAsia="楷体_GB2312" w:cs="Times New Roman"/>
          <w:color w:val="auto"/>
          <w:kern w:val="2"/>
          <w:sz w:val="21"/>
          <w:szCs w:val="21"/>
          <w:highlight w:val="none"/>
          <w:lang w:val="en-US" w:eastAsia="zh-CN" w:bidi="ar-SA"/>
        </w:rPr>
      </w:pPr>
    </w:p>
    <w:sdt>
      <w:sdtPr>
        <w:rPr>
          <w:rFonts w:hint="default" w:ascii="Times New Roman" w:hAnsi="Times New Roman" w:eastAsia="黑体" w:cs="Times New Roman"/>
          <w:color w:val="auto"/>
          <w:sz w:val="36"/>
          <w:szCs w:val="36"/>
          <w:highlight w:val="none"/>
          <w:lang w:val="en-US" w:eastAsia="zh-CN"/>
        </w:rPr>
        <w:id w:val="147456059"/>
        <w15:color w:val="DBDBDB"/>
        <w:docPartObj>
          <w:docPartGallery w:val="Table of Contents"/>
          <w:docPartUnique/>
        </w:docPartObj>
      </w:sdtPr>
      <w:sdtEndPr>
        <w:rPr>
          <w:rFonts w:hint="eastAsia" w:ascii="黑体" w:hAnsi="黑体" w:eastAsia="黑体" w:cs="黑体"/>
          <w:color w:val="auto"/>
          <w:kern w:val="2"/>
          <w:sz w:val="22"/>
          <w:szCs w:val="22"/>
          <w:highlight w:val="none"/>
          <w:lang w:val="en-US" w:eastAsia="zh-CN" w:bidi="ar-SA"/>
        </w:rPr>
      </w:sdtEndPr>
      <w:sdtContent>
        <w:p w14:paraId="421A7499">
          <w:pPr>
            <w:pageBreakBefore w:val="0"/>
            <w:kinsoku/>
            <w:wordWrap w:val="0"/>
            <w:bidi w:val="0"/>
            <w:spacing w:line="352" w:lineRule="atLeast"/>
            <w:jc w:val="center"/>
            <w:rPr>
              <w:rFonts w:hint="eastAsia"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rPr>
            <w:t>目</w:t>
          </w:r>
          <w:r>
            <w:rPr>
              <w:rFonts w:hint="eastAsia" w:ascii="Times New Roman" w:hAnsi="Times New Roman" w:eastAsia="黑体" w:cs="Times New Roman"/>
              <w:color w:val="auto"/>
              <w:sz w:val="36"/>
              <w:szCs w:val="36"/>
              <w:highlight w:val="none"/>
              <w:lang w:val="en-US" w:eastAsia="zh-CN"/>
            </w:rPr>
            <w:t xml:space="preserve">  </w:t>
          </w:r>
          <w:r>
            <w:rPr>
              <w:rFonts w:hint="eastAsia" w:ascii="Times New Roman" w:hAnsi="Times New Roman" w:eastAsia="黑体" w:cs="Times New Roman"/>
              <w:color w:val="auto"/>
              <w:sz w:val="36"/>
              <w:szCs w:val="36"/>
              <w:highlight w:val="none"/>
            </w:rPr>
            <w:t>录</w:t>
          </w:r>
        </w:p>
        <w:p w14:paraId="458D0D96">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TOC \o "1-3" \h \u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_Toc31926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一</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_Toc31926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19AA578">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_Toc22132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第一章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招标公告</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_Toc22132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3D3FB0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_Toc7457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rPr>
            <w:t>1.招标条件</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_Toc7457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B667ABC">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_Toc30370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rPr>
            <w:t>2.项目概况与招标范围</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_Toc30370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C3C1072">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_Toc7392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kern w:val="2"/>
              <w:sz w:val="22"/>
              <w:szCs w:val="22"/>
              <w:lang w:val="en-US" w:eastAsia="zh-CN" w:bidi="ar-SA"/>
            </w:rPr>
            <w:t>3.投标人资格要求</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_Toc7392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FAEA77E">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_Toc3281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rPr>
            <w:t>4.招标文件的获取</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_Toc3281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18B3DC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_Toc25648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rPr>
            <w:t>5.投标文件的递交及相关事宜</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_Toc25648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D56B49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_Toc15086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lang w:val="en-US" w:eastAsia="zh-CN"/>
            </w:rPr>
            <w:t>6.评标办法</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_Toc15086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009D102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_Toc26836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lang w:val="en-US" w:eastAsia="zh-CN"/>
            </w:rPr>
            <w:t>7</w:t>
          </w:r>
          <w:r>
            <w:rPr>
              <w:rFonts w:hint="eastAsia" w:ascii="黑体" w:hAnsi="黑体" w:eastAsia="黑体" w:cs="黑体"/>
              <w:color w:val="auto"/>
              <w:sz w:val="22"/>
              <w:szCs w:val="22"/>
            </w:rPr>
            <w:t>.发布公告的媒介</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_Toc26836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89A388F">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_Toc11952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lang w:val="en-US" w:eastAsia="zh-CN"/>
            </w:rPr>
            <w:t>8</w:t>
          </w:r>
          <w:r>
            <w:rPr>
              <w:rFonts w:hint="eastAsia" w:ascii="黑体" w:hAnsi="黑体" w:eastAsia="黑体" w:cs="黑体"/>
              <w:color w:val="auto"/>
              <w:sz w:val="22"/>
              <w:szCs w:val="22"/>
            </w:rPr>
            <w:t>.联系方式</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_Toc11952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41F301C">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_Toc31908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第二章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投标人须知</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_Toc31908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8</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A69C358">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_Toc4367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投标人须知前附表</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_Toc4367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9</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193FB4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_Toc1394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附录1资格审查条件（资质最低</w:t>
          </w:r>
          <w:r>
            <w:rPr>
              <w:rFonts w:hint="eastAsia" w:ascii="黑体" w:hAnsi="黑体" w:eastAsia="黑体" w:cs="黑体"/>
              <w:bCs/>
              <w:i w:val="0"/>
              <w:iCs w:val="0"/>
              <w:color w:val="auto"/>
              <w:sz w:val="22"/>
              <w:szCs w:val="22"/>
              <w:highlight w:val="none"/>
              <w:lang w:eastAsia="zh-CN"/>
            </w:rPr>
            <w:t>要求</w:t>
          </w:r>
          <w:r>
            <w:rPr>
              <w:rFonts w:hint="eastAsia" w:ascii="黑体" w:hAnsi="黑体" w:eastAsia="黑体" w:cs="黑体"/>
              <w:bCs/>
              <w:i w:val="0"/>
              <w:iCs w:val="0"/>
              <w:color w:val="auto"/>
              <w:sz w:val="22"/>
              <w:szCs w:val="22"/>
              <w:highlight w:val="none"/>
            </w:rPr>
            <w:t>）</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_Toc1394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26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CA0E4AD">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_Toc9652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附录2资格审查条件（财务最低要求）</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_Toc9652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27</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547E2EB1">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_Toc13152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附录3资格审查条件（业绩最低要求）</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_Toc13152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28</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D4377C5">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_Toc19189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附录4资格审查条件（信誉最低要求）</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_Toc19189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29</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539739C5">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_Toc24216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附录5资格审查条件（项目经理和项目总工最低要求）</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_Toc24216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30</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3991CB5">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_Toc32755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附录6资格审查条件（其他管理和技术人员最低要求）</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_Toc32755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31</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279AE1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_Toc1224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附录7资格审查条件（主要机械设备和试验检测设备最低要求）</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_Toc1224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F93A7A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_Toc650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1.总则</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_Toc650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33</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29E367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_Toc20402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2.招标文件</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_Toc20402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37</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5BB3B933">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_Toc4963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3.投标文件</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_Toc4963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38</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DD5714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_Toc2947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4.投标</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_Toc2947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44</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B16BF0D">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_Toc19321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5.开标</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_Toc19321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44</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5C793821">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_Toc31944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6.评标</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_Toc31944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47</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5175FF8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_Toc5813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kern w:val="2"/>
              <w:sz w:val="22"/>
              <w:szCs w:val="22"/>
              <w:highlight w:val="none"/>
              <w:lang w:val="en-US" w:eastAsia="zh-CN" w:bidi="ar-SA"/>
            </w:rPr>
            <w:t xml:space="preserve">  </w:t>
          </w:r>
          <w:r>
            <w:rPr>
              <w:rFonts w:hint="eastAsia" w:ascii="黑体" w:hAnsi="黑体" w:eastAsia="黑体" w:cs="黑体"/>
              <w:bCs/>
              <w:i w:val="0"/>
              <w:iCs w:val="0"/>
              <w:color w:val="auto"/>
              <w:sz w:val="22"/>
              <w:szCs w:val="22"/>
              <w:highlight w:val="none"/>
              <w:lang w:val="en-US" w:eastAsia="zh-CN"/>
            </w:rPr>
            <w:t>7.合同授予</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_Toc5813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48</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3172272">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_Toc17560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8.纪律和监督</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_Toc17560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50</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A825F67">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_Toc7531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9.需要补充的其他内容</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_Toc7531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51</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EB46BFF">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_Toc26380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附件一 开标记录表</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_Toc26380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0F76C15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_Toc28813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附件二 问题澄清通知</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_Toc28813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53</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966A86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_Toc10752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附件三 问题的澄清</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_Toc10752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54</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AB3F94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_Toc20484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附件四 中标通知书</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_Toc20484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55</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5CA3804">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_Toc10943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第三章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评标办法</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_Toc10943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96B170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_Toc18214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评标办法前附表</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_Toc18214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57</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7ADB49F">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_Toc5363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1.评标方法</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_Toc5363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FA78813">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_Toc32306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2.评审标准</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_Toc32306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7B94E0E">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_Toc22097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3.评标程序</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_Toc22097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66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9545603">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_Toc22672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第四章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合同条款及格式</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_Toc22672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71</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47C54A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_Toc8047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第一节</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通用合同条款</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_Toc8047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72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A5A7448">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_Toc22963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第二节</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专用合同条款</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_Toc22963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112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303088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_Toc22321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第三节</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合同附件格式</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_Toc22321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158</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5ECA18BC">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_Toc3845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第五章工程量清单</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_Toc3845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171</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2859DFD">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_Toc30480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1. 工程量清单说明</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_Toc30480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9B2C801">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_Toc28425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2. 投标报价说明</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_Toc28425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7CD22A3">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_Toc6852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3. 计日工说明</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_Toc6852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173</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F2B35B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_Toc12492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4. 其他说明</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_Toc12492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174</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99E6D1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_Toc26230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5.工程量清单</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_Toc26230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174</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806994F">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_Toc21475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二</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_Toc21475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175</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5B8C6EF4">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_Toc16205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第六章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图纸（另册）</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_Toc16205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176</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096E8EF1">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_Toc1328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三</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_Toc1328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177</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119F4526">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_Toc29070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第七章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技术规范（另册）</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_Toc29070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178</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DFBC4B0">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_Toc12046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第八章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工程量清单计量规则</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_Toc12046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179</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648216F5">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_Toc30898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四</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_Toc30898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180</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BEC7DA2">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_Toc14222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第九章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投标文件格式</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_Toc14222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181</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3DE3C06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_Toc274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 xml:space="preserve">第一个信封 </w:t>
          </w:r>
          <w:r>
            <w:rPr>
              <w:rFonts w:hint="eastAsia" w:ascii="黑体" w:hAnsi="黑体" w:eastAsia="黑体" w:cs="黑体"/>
              <w:color w:val="auto"/>
              <w:sz w:val="22"/>
              <w:szCs w:val="22"/>
              <w:highlight w:val="none"/>
            </w:rPr>
            <w:t>商务及技术文件）</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_Toc274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182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49EFD899">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textAlignment w:val="auto"/>
            <w:rPr>
              <w:rFonts w:hint="eastAsia" w:ascii="黑体" w:hAnsi="黑体" w:eastAsia="黑体" w:cs="黑体"/>
              <w:color w:val="auto"/>
              <w:sz w:val="22"/>
              <w:szCs w:val="22"/>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_Toc17899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 xml:space="preserve">第二个信封 </w:t>
          </w:r>
          <w:r>
            <w:rPr>
              <w:rFonts w:hint="eastAsia" w:ascii="黑体" w:hAnsi="黑体" w:eastAsia="黑体" w:cs="黑体"/>
              <w:color w:val="auto"/>
              <w:sz w:val="22"/>
              <w:szCs w:val="22"/>
              <w:highlight w:val="none"/>
            </w:rPr>
            <w:t>报价文件）</w:t>
          </w:r>
          <w:r>
            <w:rPr>
              <w:rFonts w:hint="eastAsia" w:ascii="黑体" w:hAnsi="黑体" w:eastAsia="黑体" w:cs="黑体"/>
              <w:color w:val="auto"/>
              <w:sz w:val="22"/>
              <w:szCs w:val="22"/>
            </w:rPr>
            <w:tab/>
          </w:r>
          <w:r>
            <w:rPr>
              <w:rFonts w:hint="eastAsia" w:ascii="黑体" w:hAnsi="黑体" w:eastAsia="黑体" w:cs="黑体"/>
              <w:color w:val="auto"/>
              <w:sz w:val="22"/>
              <w:szCs w:val="22"/>
            </w:rPr>
            <w:fldChar w:fldCharType="begin"/>
          </w:r>
          <w:r>
            <w:rPr>
              <w:rFonts w:hint="eastAsia" w:ascii="黑体" w:hAnsi="黑体" w:eastAsia="黑体" w:cs="黑体"/>
              <w:color w:val="auto"/>
              <w:sz w:val="22"/>
              <w:szCs w:val="22"/>
            </w:rPr>
            <w:instrText xml:space="preserve"> PAGEREF _Toc17899 \h </w:instrText>
          </w:r>
          <w:r>
            <w:rPr>
              <w:rFonts w:hint="eastAsia" w:ascii="黑体" w:hAnsi="黑体" w:eastAsia="黑体" w:cs="黑体"/>
              <w:color w:val="auto"/>
              <w:sz w:val="22"/>
              <w:szCs w:val="22"/>
            </w:rPr>
            <w:fldChar w:fldCharType="separate"/>
          </w:r>
          <w:r>
            <w:rPr>
              <w:rFonts w:hint="eastAsia" w:ascii="黑体" w:hAnsi="黑体" w:eastAsia="黑体" w:cs="黑体"/>
              <w:color w:val="auto"/>
              <w:sz w:val="22"/>
              <w:szCs w:val="22"/>
            </w:rPr>
            <w:t>212</w:t>
          </w:r>
          <w:r>
            <w:rPr>
              <w:rFonts w:hint="eastAsia" w:ascii="黑体" w:hAnsi="黑体" w:eastAsia="黑体" w:cs="黑体"/>
              <w:color w:val="auto"/>
              <w:sz w:val="22"/>
              <w:szCs w:val="22"/>
            </w:rPr>
            <w:fldChar w:fldCharType="end"/>
          </w:r>
          <w:r>
            <w:rPr>
              <w:rFonts w:hint="eastAsia" w:ascii="黑体" w:hAnsi="黑体" w:eastAsia="黑体" w:cs="黑体"/>
              <w:color w:val="auto"/>
              <w:kern w:val="2"/>
              <w:sz w:val="22"/>
              <w:szCs w:val="22"/>
              <w:highlight w:val="none"/>
              <w:lang w:val="en-US" w:eastAsia="zh-CN" w:bidi="ar-SA"/>
            </w:rPr>
            <w:fldChar w:fldCharType="end"/>
          </w:r>
        </w:p>
        <w:p w14:paraId="2F926D73">
          <w:pPr>
            <w:keepNext w:val="0"/>
            <w:keepLines w:val="0"/>
            <w:pageBreakBefore w:val="0"/>
            <w:kinsoku/>
            <w:wordWrap w:val="0"/>
            <w:overflowPunct/>
            <w:topLinePunct w:val="0"/>
            <w:autoSpaceDE/>
            <w:autoSpaceDN/>
            <w:bidi w:val="0"/>
            <w:adjustRightInd/>
            <w:snapToGrid/>
            <w:spacing w:line="300" w:lineRule="auto"/>
            <w:textAlignment w:val="auto"/>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color w:val="auto"/>
              <w:kern w:val="2"/>
              <w:sz w:val="22"/>
              <w:szCs w:val="22"/>
              <w:highlight w:val="none"/>
              <w:lang w:val="en-US" w:eastAsia="zh-CN" w:bidi="ar-SA"/>
            </w:rPr>
            <w:fldChar w:fldCharType="end"/>
          </w:r>
        </w:p>
      </w:sdtContent>
    </w:sdt>
    <w:p w14:paraId="5D6F360C">
      <w:pPr>
        <w:keepNext w:val="0"/>
        <w:keepLines w:val="0"/>
        <w:pageBreakBefore w:val="0"/>
        <w:kinsoku/>
        <w:wordWrap w:val="0"/>
        <w:overflowPunct/>
        <w:topLinePunct w:val="0"/>
        <w:autoSpaceDE/>
        <w:autoSpaceDN/>
        <w:bidi w:val="0"/>
        <w:adjustRightInd/>
        <w:snapToGrid/>
        <w:spacing w:line="300" w:lineRule="auto"/>
        <w:textAlignment w:val="auto"/>
        <w:rPr>
          <w:rFonts w:hint="eastAsia" w:ascii="黑体" w:hAnsi="黑体" w:eastAsia="黑体" w:cs="黑体"/>
          <w:color w:val="auto"/>
          <w:kern w:val="2"/>
          <w:sz w:val="22"/>
          <w:szCs w:val="22"/>
          <w:highlight w:val="none"/>
          <w:lang w:val="en-US" w:eastAsia="zh-CN" w:bidi="ar-SA"/>
        </w:rPr>
        <w:sectPr>
          <w:headerReference r:id="rId8" w:type="default"/>
          <w:footerReference r:id="rId9" w:type="default"/>
          <w:footnotePr>
            <w:numFmt w:val="decimalEnclosedCircleChinese"/>
            <w:numRestart w:val="eachPage"/>
          </w:footnotePr>
          <w:pgSz w:w="11907" w:h="16840"/>
          <w:pgMar w:top="1588" w:right="1588" w:bottom="1474" w:left="1644" w:header="851" w:footer="851" w:gutter="0"/>
          <w:pgNumType w:fmt="upperRoman" w:start="1"/>
          <w:cols w:space="720" w:num="1"/>
          <w:docGrid w:linePitch="312" w:charSpace="0"/>
        </w:sectPr>
      </w:pPr>
    </w:p>
    <w:p w14:paraId="192C4E59">
      <w:pPr>
        <w:pageBreakBefore w:val="0"/>
        <w:kinsoku/>
        <w:wordWrap w:val="0"/>
        <w:bidi w:val="0"/>
        <w:spacing w:line="352" w:lineRule="atLeast"/>
        <w:rPr>
          <w:rFonts w:hint="default" w:ascii="Times New Roman" w:hAnsi="Times New Roman" w:eastAsia="楷体_GB2312" w:cs="Times New Roman"/>
          <w:color w:val="auto"/>
          <w:szCs w:val="21"/>
          <w:highlight w:val="none"/>
        </w:rPr>
      </w:pPr>
    </w:p>
    <w:p w14:paraId="58162421">
      <w:pPr>
        <w:pageBreakBefore w:val="0"/>
        <w:kinsoku/>
        <w:wordWrap w:val="0"/>
        <w:bidi w:val="0"/>
        <w:spacing w:line="352" w:lineRule="atLeast"/>
        <w:rPr>
          <w:rFonts w:hint="default" w:ascii="Times New Roman" w:hAnsi="Times New Roman" w:eastAsia="楷体_GB2312" w:cs="Times New Roman"/>
          <w:color w:val="auto"/>
          <w:szCs w:val="21"/>
          <w:highlight w:val="none"/>
        </w:rPr>
      </w:pPr>
    </w:p>
    <w:p w14:paraId="28D2D253">
      <w:pPr>
        <w:pageBreakBefore w:val="0"/>
        <w:kinsoku/>
        <w:wordWrap w:val="0"/>
        <w:bidi w:val="0"/>
        <w:spacing w:line="352" w:lineRule="atLeast"/>
        <w:rPr>
          <w:rFonts w:hint="default" w:ascii="Times New Roman" w:hAnsi="Times New Roman" w:eastAsia="黑体" w:cs="Times New Roman"/>
          <w:color w:val="auto"/>
          <w:sz w:val="29"/>
          <w:szCs w:val="29"/>
          <w:highlight w:val="none"/>
        </w:rPr>
      </w:pPr>
    </w:p>
    <w:p w14:paraId="4843078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9DDD8F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FFB242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E099ED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624D15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F70CF1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558A27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AA87D7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58AAC2">
      <w:pPr>
        <w:keepNext w:val="0"/>
        <w:keepLines w:val="0"/>
        <w:pageBreakBefore w:val="0"/>
        <w:widowControl w:val="0"/>
        <w:kinsoku/>
        <w:wordWrap w:val="0"/>
        <w:overflowPunct/>
        <w:topLinePunct/>
        <w:autoSpaceDE/>
        <w:autoSpaceDN/>
        <w:bidi w:val="0"/>
        <w:adjustRightInd/>
        <w:snapToGrid/>
        <w:spacing w:line="240" w:lineRule="atLeast"/>
        <w:ind w:right="31" w:rightChars="15"/>
        <w:jc w:val="center"/>
        <w:textAlignment w:val="auto"/>
        <w:outlineLvl w:val="0"/>
        <w:rPr>
          <w:rFonts w:hint="default" w:ascii="Times New Roman" w:hAnsi="Times New Roman" w:eastAsia="黑体" w:cs="Times New Roman"/>
          <w:color w:val="auto"/>
          <w:sz w:val="76"/>
          <w:szCs w:val="76"/>
          <w:highlight w:val="none"/>
        </w:rPr>
      </w:pPr>
      <w:bookmarkStart w:id="3" w:name="_Toc7498"/>
      <w:bookmarkStart w:id="4" w:name="_Toc31926"/>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一</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3"/>
      <w:bookmarkEnd w:id="4"/>
    </w:p>
    <w:p w14:paraId="1963FA6F">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6"/>
          <w:szCs w:val="36"/>
          <w:highlight w:val="none"/>
        </w:rPr>
        <w:sectPr>
          <w:headerReference r:id="rId10" w:type="default"/>
          <w:footerReference r:id="rId11" w:type="default"/>
          <w:footerReference r:id="rId12"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10357DB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6"/>
          <w:szCs w:val="36"/>
          <w:highlight w:val="none"/>
        </w:rPr>
      </w:pPr>
    </w:p>
    <w:p w14:paraId="404AEC2E">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6"/>
          <w:szCs w:val="36"/>
          <w:highlight w:val="none"/>
        </w:rPr>
      </w:pPr>
    </w:p>
    <w:p w14:paraId="3AC36CDE">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541DBE5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0EEB8492">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0A2DA9D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357D781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5ED2EFA">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2950B04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3B6CFF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07E021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1F2A9304">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56"/>
          <w:szCs w:val="56"/>
          <w:highlight w:val="none"/>
        </w:rPr>
      </w:pPr>
      <w:bookmarkStart w:id="5" w:name="_Toc15626"/>
      <w:bookmarkStart w:id="6" w:name="_Toc16041"/>
      <w:bookmarkStart w:id="7" w:name="_Toc14540"/>
      <w:bookmarkStart w:id="8" w:name="_Toc32078"/>
      <w:bookmarkStart w:id="9" w:name="_Toc22132"/>
      <w:r>
        <w:rPr>
          <w:rFonts w:hint="default" w:ascii="Times New Roman" w:hAnsi="Times New Roman" w:eastAsia="黑体" w:cs="Times New Roman"/>
          <w:color w:val="auto"/>
          <w:sz w:val="56"/>
          <w:szCs w:val="56"/>
          <w:highlight w:val="none"/>
        </w:rPr>
        <w:t>第一章</w:t>
      </w:r>
      <w:r>
        <w:rPr>
          <w:rFonts w:hint="eastAsia"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招标公告</w:t>
      </w:r>
      <w:bookmarkEnd w:id="5"/>
      <w:bookmarkEnd w:id="6"/>
      <w:bookmarkEnd w:id="7"/>
      <w:bookmarkEnd w:id="8"/>
      <w:bookmarkEnd w:id="9"/>
    </w:p>
    <w:p w14:paraId="337339D6">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536ADB70">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sectPr>
          <w:footerReference r:id="rId13" w:type="default"/>
          <w:footerReference r:id="rId14"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5794B86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sz w:val="42"/>
          <w:szCs w:val="42"/>
          <w:highlight w:val="none"/>
        </w:rPr>
      </w:pPr>
      <w:bookmarkStart w:id="10" w:name="_Toc234832844"/>
      <w:bookmarkStart w:id="11" w:name="_Toc5317"/>
      <w:bookmarkStart w:id="12" w:name="_Toc107"/>
      <w:bookmarkStart w:id="13" w:name="_Toc15669"/>
      <w:bookmarkStart w:id="14" w:name="_Toc4069"/>
      <w:bookmarkStart w:id="15" w:name="_Toc3148"/>
      <w:bookmarkStart w:id="16" w:name="_Toc25862"/>
      <w:r>
        <w:rPr>
          <w:rStyle w:val="54"/>
          <w:rFonts w:hint="default" w:ascii="Times New Roman" w:hAnsi="Times New Roman" w:eastAsia="黑体" w:cs="Times New Roman"/>
          <w:color w:val="auto"/>
          <w:sz w:val="42"/>
          <w:szCs w:val="42"/>
          <w:highlight w:val="none"/>
        </w:rPr>
        <w:t>第一章</w:t>
      </w:r>
      <w:r>
        <w:rPr>
          <w:rStyle w:val="54"/>
          <w:rFonts w:hint="eastAsia" w:eastAsia="黑体" w:cs="Times New Roman"/>
          <w:color w:val="auto"/>
          <w:sz w:val="42"/>
          <w:szCs w:val="42"/>
          <w:highlight w:val="none"/>
          <w:lang w:val="en-US"/>
        </w:rPr>
        <w:t xml:space="preserve"> </w:t>
      </w:r>
      <w:r>
        <w:rPr>
          <w:rStyle w:val="54"/>
          <w:rFonts w:hint="default" w:ascii="Times New Roman" w:hAnsi="Times New Roman" w:eastAsia="黑体" w:cs="Times New Roman"/>
          <w:color w:val="auto"/>
          <w:sz w:val="42"/>
          <w:szCs w:val="42"/>
          <w:highlight w:val="none"/>
        </w:rPr>
        <w:t>招标公告</w:t>
      </w:r>
      <w:bookmarkEnd w:id="10"/>
      <w:bookmarkEnd w:id="11"/>
      <w:bookmarkEnd w:id="12"/>
      <w:bookmarkEnd w:id="13"/>
      <w:bookmarkEnd w:id="14"/>
      <w:bookmarkEnd w:id="15"/>
      <w:bookmarkEnd w:id="16"/>
    </w:p>
    <w:p w14:paraId="291DE138">
      <w:pPr>
        <w:pageBreakBefore w:val="0"/>
        <w:tabs>
          <w:tab w:val="center" w:pos="4153"/>
        </w:tabs>
        <w:kinsoku/>
        <w:wordWrap w:val="0"/>
        <w:bidi w:val="0"/>
        <w:spacing w:line="440" w:lineRule="exact"/>
        <w:jc w:val="center"/>
        <w:rPr>
          <w:rFonts w:hint="default" w:ascii="Times New Roman" w:hAnsi="Times New Roman" w:eastAsia="黑体" w:cs="Times New Roman"/>
          <w:color w:val="auto"/>
          <w:sz w:val="17"/>
          <w:szCs w:val="17"/>
          <w:highlight w:val="none"/>
        </w:rPr>
      </w:pPr>
    </w:p>
    <w:p w14:paraId="2E1EE868">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u w:val="single"/>
        </w:rPr>
      </w:pPr>
      <w:r>
        <w:rPr>
          <w:rFonts w:hint="eastAsia" w:eastAsia="黑体" w:cs="Times New Roman"/>
          <w:color w:val="auto"/>
          <w:sz w:val="28"/>
          <w:szCs w:val="28"/>
          <w:highlight w:val="none"/>
          <w:u w:val="single"/>
          <w:lang w:eastAsia="zh-CN"/>
        </w:rPr>
        <w:t>2025年盖州市农村公路维修改造工程超前实施项目</w:t>
      </w:r>
      <w:r>
        <w:rPr>
          <w:rFonts w:hint="default" w:ascii="Times New Roman" w:hAnsi="Times New Roman" w:eastAsia="黑体" w:cs="Times New Roman"/>
          <w:color w:val="auto"/>
          <w:sz w:val="28"/>
          <w:szCs w:val="28"/>
          <w:highlight w:val="none"/>
          <w:u w:val="single"/>
        </w:rPr>
        <w:t>（项目名称）</w:t>
      </w:r>
    </w:p>
    <w:p w14:paraId="7632567B">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u w:val="single"/>
        </w:rPr>
      </w:pPr>
      <w:r>
        <w:rPr>
          <w:rFonts w:hint="eastAsia" w:eastAsia="黑体" w:cs="Times New Roman"/>
          <w:color w:val="auto"/>
          <w:sz w:val="28"/>
          <w:szCs w:val="28"/>
          <w:highlight w:val="none"/>
          <w:u w:val="single"/>
          <w:lang w:eastAsia="zh-CN"/>
        </w:rPr>
        <w:t>2025年盖州市农村公路维修改造工程超前实施项目二标段</w:t>
      </w:r>
      <w:r>
        <w:rPr>
          <w:rFonts w:hint="default" w:ascii="Times New Roman" w:hAnsi="Times New Roman" w:eastAsia="黑体" w:cs="Times New Roman"/>
          <w:color w:val="auto"/>
          <w:sz w:val="28"/>
          <w:szCs w:val="28"/>
          <w:highlight w:val="none"/>
          <w:u w:val="single"/>
        </w:rPr>
        <w:t>（标段名称）</w:t>
      </w:r>
    </w:p>
    <w:p w14:paraId="5768BCDF">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施工招标</w:t>
      </w:r>
      <w:r>
        <w:rPr>
          <w:rFonts w:hint="default" w:ascii="Times New Roman" w:hAnsi="Times New Roman" w:eastAsia="黑体" w:cs="Times New Roman"/>
          <w:color w:val="auto"/>
          <w:sz w:val="28"/>
          <w:szCs w:val="28"/>
          <w:highlight w:val="none"/>
        </w:rPr>
        <w:t>公告</w:t>
      </w:r>
    </w:p>
    <w:p w14:paraId="73CF9164">
      <w:pPr>
        <w:pageBreakBefore w:val="0"/>
        <w:kinsoku/>
        <w:wordWrap w:val="0"/>
        <w:bidi w:val="0"/>
        <w:spacing w:line="440" w:lineRule="exact"/>
        <w:jc w:val="center"/>
        <w:outlineLvl w:val="9"/>
        <w:rPr>
          <w:rFonts w:hint="eastAsia" w:ascii="黑体" w:hAnsi="黑体" w:eastAsia="黑体" w:cs="黑体"/>
          <w:color w:val="auto"/>
          <w:sz w:val="28"/>
          <w:szCs w:val="28"/>
          <w:highlight w:val="none"/>
        </w:rPr>
      </w:pPr>
    </w:p>
    <w:p w14:paraId="5866135A">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eastAsia" w:ascii="黑体" w:hAnsi="黑体" w:eastAsia="黑体" w:cs="黑体"/>
          <w:color w:val="auto"/>
          <w:sz w:val="28"/>
          <w:szCs w:val="28"/>
        </w:rPr>
      </w:pPr>
      <w:bookmarkStart w:id="17" w:name="_Toc7457"/>
      <w:bookmarkStart w:id="18" w:name="_Toc470760973"/>
      <w:bookmarkStart w:id="19" w:name="_Toc15922"/>
      <w:bookmarkStart w:id="20" w:name="_Toc3647"/>
      <w:bookmarkStart w:id="21" w:name="_Toc5675"/>
      <w:r>
        <w:rPr>
          <w:rFonts w:hint="eastAsia" w:ascii="黑体" w:hAnsi="黑体" w:eastAsia="黑体" w:cs="黑体"/>
          <w:color w:val="auto"/>
          <w:sz w:val="28"/>
          <w:szCs w:val="28"/>
        </w:rPr>
        <w:t>1.招标条件</w:t>
      </w:r>
      <w:bookmarkEnd w:id="17"/>
      <w:bookmarkEnd w:id="18"/>
      <w:bookmarkEnd w:id="19"/>
      <w:bookmarkEnd w:id="20"/>
      <w:bookmarkEnd w:id="21"/>
    </w:p>
    <w:p w14:paraId="37455D1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2025年盖州市农村公路维修改造工程超前实施项目</w:t>
      </w:r>
      <w:r>
        <w:rPr>
          <w:rFonts w:hint="eastAsia" w:ascii="宋体" w:hAnsi="宋体" w:eastAsia="宋体" w:cs="宋体"/>
          <w:color w:val="auto"/>
          <w:sz w:val="24"/>
          <w:szCs w:val="24"/>
          <w:highlight w:val="none"/>
        </w:rPr>
        <w:t>（项目名称）已由</w:t>
      </w:r>
      <w:r>
        <w:rPr>
          <w:rFonts w:hint="eastAsia" w:ascii="宋体" w:hAnsi="宋体" w:cs="宋体"/>
          <w:color w:val="auto"/>
          <w:sz w:val="24"/>
          <w:szCs w:val="24"/>
          <w:highlight w:val="none"/>
          <w:u w:val="single"/>
          <w:lang w:eastAsia="zh-CN"/>
        </w:rPr>
        <w:t>盖州市交通运输局</w:t>
      </w:r>
      <w:r>
        <w:rPr>
          <w:rFonts w:hint="eastAsia" w:ascii="宋体" w:hAnsi="宋体" w:eastAsia="宋体" w:cs="宋体"/>
          <w:color w:val="auto"/>
          <w:sz w:val="24"/>
          <w:szCs w:val="24"/>
          <w:highlight w:val="none"/>
        </w:rPr>
        <w:t>（项目审批、核准或备案机关名称）以</w:t>
      </w:r>
      <w:r>
        <w:rPr>
          <w:rFonts w:hint="eastAsia" w:ascii="宋体" w:hAnsi="宋体" w:cs="宋体"/>
          <w:color w:val="auto"/>
          <w:sz w:val="24"/>
          <w:szCs w:val="24"/>
          <w:highlight w:val="none"/>
          <w:u w:val="single"/>
          <w:lang w:val="en-US" w:eastAsia="zh-CN"/>
        </w:rPr>
        <w:t xml:space="preserve"> 《关于2025年盖州市农村公路维修改造工程超前实施项目施工图设计的批复》盖交发[2026]批01号 </w:t>
      </w:r>
      <w:r>
        <w:rPr>
          <w:rFonts w:hint="eastAsia" w:ascii="宋体" w:hAnsi="宋体" w:eastAsia="宋体" w:cs="宋体"/>
          <w:color w:val="auto"/>
          <w:sz w:val="24"/>
          <w:szCs w:val="24"/>
          <w:highlight w:val="none"/>
        </w:rPr>
        <w:t>（批文名称及编号）批准建设，建设资金来自</w:t>
      </w:r>
      <w:r>
        <w:rPr>
          <w:rFonts w:hint="eastAsia" w:ascii="宋体" w:hAnsi="宋体" w:cs="宋体"/>
          <w:color w:val="auto"/>
          <w:sz w:val="24"/>
          <w:szCs w:val="24"/>
          <w:highlight w:val="none"/>
          <w:u w:val="single"/>
          <w:lang w:val="en-US" w:eastAsia="zh-CN"/>
        </w:rPr>
        <w:t xml:space="preserve"> 中央资金、省补资金</w:t>
      </w:r>
      <w:r>
        <w:rPr>
          <w:rFonts w:hint="eastAsia" w:ascii="宋体" w:hAnsi="宋体" w:eastAsia="宋体" w:cs="宋体"/>
          <w:color w:val="auto"/>
          <w:sz w:val="24"/>
          <w:szCs w:val="24"/>
          <w:highlight w:val="none"/>
          <w:u w:val="single"/>
          <w:lang w:val="en-US" w:eastAsia="zh-CN"/>
        </w:rPr>
        <w:t>和地方</w:t>
      </w:r>
      <w:r>
        <w:rPr>
          <w:rFonts w:hint="eastAsia" w:ascii="宋体" w:hAnsi="宋体" w:cs="宋体"/>
          <w:color w:val="auto"/>
          <w:sz w:val="24"/>
          <w:szCs w:val="24"/>
          <w:highlight w:val="none"/>
          <w:u w:val="single"/>
          <w:lang w:val="en-US" w:eastAsia="zh-CN"/>
        </w:rPr>
        <w:t>政府</w:t>
      </w:r>
      <w:r>
        <w:rPr>
          <w:rFonts w:hint="eastAsia" w:ascii="宋体" w:hAnsi="宋体" w:eastAsia="宋体" w:cs="宋体"/>
          <w:color w:val="auto"/>
          <w:sz w:val="24"/>
          <w:szCs w:val="24"/>
          <w:highlight w:val="none"/>
          <w:u w:val="single"/>
          <w:lang w:val="en-US" w:eastAsia="zh-CN"/>
        </w:rPr>
        <w:t>配套</w:t>
      </w:r>
      <w:r>
        <w:rPr>
          <w:rFonts w:hint="eastAsia" w:ascii="宋体" w:hAnsi="宋体" w:eastAsia="宋体" w:cs="宋体"/>
          <w:color w:val="auto"/>
          <w:sz w:val="24"/>
          <w:szCs w:val="24"/>
          <w:highlight w:val="none"/>
          <w:u w:val="single"/>
        </w:rPr>
        <w:t>资金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（资金来源），出资比例为</w:t>
      </w:r>
      <w:r>
        <w:rPr>
          <w:rFonts w:hint="eastAsia" w:ascii="宋体" w:hAnsi="宋体" w:cs="宋体"/>
          <w:color w:val="auto"/>
          <w:sz w:val="24"/>
          <w:szCs w:val="24"/>
          <w:highlight w:val="none"/>
          <w:u w:val="single"/>
          <w:lang w:val="en-US" w:eastAsia="zh-CN"/>
        </w:rPr>
        <w:t xml:space="preserve">  中央资金19.1%、省补资金22.7%、地方政府配套资金58.2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盖州市交通运输服务中心</w:t>
      </w:r>
      <w:r>
        <w:rPr>
          <w:rFonts w:hint="eastAsia" w:ascii="宋体" w:hAnsi="宋体" w:eastAsia="宋体" w:cs="宋体"/>
          <w:color w:val="auto"/>
          <w:sz w:val="24"/>
          <w:szCs w:val="24"/>
          <w:highlight w:val="none"/>
        </w:rPr>
        <w:t>。项目已具备招标条件，项目已具备招标条件，现对该项目</w:t>
      </w:r>
      <w:r>
        <w:rPr>
          <w:rFonts w:hint="eastAsia" w:ascii="宋体" w:hAnsi="宋体" w:cs="宋体"/>
          <w:color w:val="auto"/>
          <w:sz w:val="24"/>
          <w:szCs w:val="24"/>
          <w:highlight w:val="none"/>
          <w:u w:val="single"/>
          <w:lang w:eastAsia="zh-CN"/>
        </w:rPr>
        <w:t>2025年盖州市农村公路维修改造工程超前实施项目二标段</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rPr>
        <w:t>标段名称）的施工进行公开招标。</w:t>
      </w:r>
    </w:p>
    <w:p w14:paraId="7EA61305">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rPr>
      </w:pPr>
      <w:bookmarkStart w:id="22" w:name="_Toc20166"/>
      <w:bookmarkStart w:id="23" w:name="_Toc13887"/>
      <w:bookmarkStart w:id="24" w:name="_Toc30370"/>
      <w:bookmarkStart w:id="25" w:name="_Toc470760974"/>
      <w:bookmarkStart w:id="26" w:name="_Toc16754"/>
      <w:r>
        <w:rPr>
          <w:rFonts w:hint="default" w:ascii="黑体" w:hAnsi="黑体" w:eastAsia="黑体" w:cs="黑体"/>
          <w:color w:val="auto"/>
          <w:sz w:val="28"/>
          <w:szCs w:val="28"/>
        </w:rPr>
        <w:t>2.项目概况与招标范围</w:t>
      </w:r>
      <w:bookmarkEnd w:id="22"/>
      <w:bookmarkEnd w:id="23"/>
      <w:bookmarkEnd w:id="24"/>
      <w:bookmarkEnd w:id="25"/>
      <w:bookmarkEnd w:id="26"/>
    </w:p>
    <w:p w14:paraId="7D430ECB">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2025年盖州市农村公路维修改造工程超前实施项目</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该</w:t>
      </w:r>
      <w:r>
        <w:rPr>
          <w:rFonts w:hint="eastAsia" w:ascii="宋体" w:hAnsi="宋体" w:cs="宋体"/>
          <w:color w:val="auto"/>
          <w:sz w:val="24"/>
          <w:szCs w:val="24"/>
          <w:highlight w:val="none"/>
          <w:u w:val="single"/>
          <w:lang w:val="en-US" w:eastAsia="zh-CN"/>
        </w:rPr>
        <w:t>项</w:t>
      </w:r>
      <w:r>
        <w:rPr>
          <w:rFonts w:hint="eastAsia" w:ascii="宋体" w:hAnsi="宋体" w:eastAsia="宋体" w:cs="宋体"/>
          <w:color w:val="auto"/>
          <w:sz w:val="24"/>
          <w:szCs w:val="24"/>
          <w:highlight w:val="none"/>
          <w:u w:val="single"/>
        </w:rPr>
        <w:t>工程位于</w:t>
      </w:r>
      <w:r>
        <w:rPr>
          <w:rFonts w:hint="eastAsia" w:ascii="宋体" w:hAnsi="宋体" w:cs="宋体"/>
          <w:color w:val="auto"/>
          <w:sz w:val="24"/>
          <w:szCs w:val="24"/>
          <w:highlight w:val="none"/>
          <w:u w:val="single"/>
          <w:lang w:val="en-US" w:eastAsia="zh-CN"/>
        </w:rPr>
        <w:t>盖州</w:t>
      </w:r>
      <w:r>
        <w:rPr>
          <w:rFonts w:hint="eastAsia" w:ascii="宋体" w:hAnsi="宋体" w:eastAsia="宋体" w:cs="宋体"/>
          <w:color w:val="auto"/>
          <w:sz w:val="24"/>
          <w:szCs w:val="24"/>
          <w:highlight w:val="none"/>
          <w:u w:val="single"/>
        </w:rPr>
        <w:t>市境内，</w:t>
      </w:r>
      <w:r>
        <w:rPr>
          <w:rFonts w:hint="eastAsia" w:ascii="宋体" w:hAnsi="宋体" w:cs="宋体"/>
          <w:color w:val="auto"/>
          <w:sz w:val="24"/>
          <w:szCs w:val="24"/>
          <w:highlight w:val="none"/>
          <w:u w:val="single"/>
          <w:lang w:val="en-US" w:eastAsia="zh-CN"/>
        </w:rPr>
        <w:t>涉及8个乡镇，</w:t>
      </w:r>
      <w:r>
        <w:rPr>
          <w:rFonts w:hint="eastAsia" w:ascii="宋体" w:hAnsi="宋体" w:eastAsia="宋体" w:cs="宋体"/>
          <w:color w:val="auto"/>
          <w:sz w:val="24"/>
          <w:szCs w:val="24"/>
          <w:highlight w:val="none"/>
          <w:u w:val="single"/>
        </w:rPr>
        <w:t>包含农村公路维修改造工程</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条路线</w:t>
      </w:r>
      <w:r>
        <w:rPr>
          <w:rFonts w:hint="eastAsia" w:ascii="宋体" w:hAnsi="宋体" w:cs="宋体"/>
          <w:color w:val="auto"/>
          <w:sz w:val="24"/>
          <w:szCs w:val="24"/>
          <w:highlight w:val="none"/>
          <w:u w:val="single"/>
          <w:lang w:val="en-US" w:eastAsia="zh-CN"/>
        </w:rPr>
        <w:t>67.164</w:t>
      </w:r>
      <w:r>
        <w:rPr>
          <w:rFonts w:hint="eastAsia" w:ascii="宋体" w:hAnsi="宋体" w:eastAsia="宋体" w:cs="宋体"/>
          <w:color w:val="auto"/>
          <w:sz w:val="24"/>
          <w:szCs w:val="24"/>
          <w:highlight w:val="none"/>
          <w:u w:val="single"/>
        </w:rPr>
        <w:t>公里</w:t>
      </w:r>
      <w:r>
        <w:rPr>
          <w:rFonts w:hint="eastAsia" w:ascii="宋体" w:hAnsi="宋体" w:cs="宋体"/>
          <w:color w:val="auto"/>
          <w:sz w:val="24"/>
          <w:szCs w:val="24"/>
          <w:highlight w:val="none"/>
          <w:u w:val="single"/>
          <w:lang w:val="en-US" w:eastAsia="zh-CN"/>
        </w:rPr>
        <w:t>。</w:t>
      </w:r>
    </w:p>
    <w:p w14:paraId="1840D84B">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本次招标项目的标段划分</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个标段。</w:t>
      </w:r>
    </w:p>
    <w:p w14:paraId="3FAA1E3D">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2.3招标范围</w:t>
      </w:r>
    </w:p>
    <w:p w14:paraId="482D80D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eastAsia="宋体" w:cs="Times New Roman"/>
          <w:color w:val="auto"/>
          <w:sz w:val="24"/>
          <w:highlight w:val="none"/>
          <w:u w:val="single"/>
          <w:lang w:val="en-US" w:eastAsia="zh-CN"/>
        </w:rPr>
      </w:pPr>
      <w:r>
        <w:rPr>
          <w:rFonts w:hint="eastAsia" w:ascii="宋体" w:hAnsi="宋体" w:cs="宋体"/>
          <w:color w:val="auto"/>
          <w:sz w:val="24"/>
          <w:szCs w:val="24"/>
          <w:highlight w:val="none"/>
          <w:u w:val="single"/>
          <w:lang w:val="en-US" w:eastAsia="zh-CN"/>
        </w:rPr>
        <w:t>2025年盖州市农村公路维修改造工程超前实施项目二标段，包含农村公路维修改造工程9条路线31.845公里</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具体工程内容以工程量清单及施工图纸为准</w:t>
      </w:r>
      <w:r>
        <w:rPr>
          <w:rFonts w:hint="eastAsia" w:cs="Times New Roman"/>
          <w:color w:val="auto"/>
          <w:sz w:val="24"/>
          <w:highlight w:val="none"/>
          <w:u w:val="single"/>
          <w:lang w:eastAsia="zh-CN"/>
        </w:rPr>
        <w:t>。</w:t>
      </w:r>
    </w:p>
    <w:p w14:paraId="41148C4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2.4计划工期</w:t>
      </w:r>
    </w:p>
    <w:p w14:paraId="487E43D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cs="Times New Roman"/>
          <w:color w:val="auto"/>
          <w:sz w:val="24"/>
          <w:highlight w:val="none"/>
        </w:rPr>
      </w:pPr>
      <w:r>
        <w:rPr>
          <w:rFonts w:hint="eastAsia" w:ascii="宋体" w:hAnsi="宋体" w:eastAsia="宋体" w:cs="宋体"/>
          <w:color w:val="auto"/>
          <w:sz w:val="24"/>
          <w:szCs w:val="24"/>
          <w:highlight w:val="none"/>
          <w:u w:val="single"/>
        </w:rPr>
        <w:t>计划工期：</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日开工，</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rPr>
        <w:t>日竣工，共计</w:t>
      </w:r>
      <w:r>
        <w:rPr>
          <w:rFonts w:hint="eastAsia" w:ascii="宋体" w:hAnsi="宋体" w:cs="宋体"/>
          <w:color w:val="auto"/>
          <w:sz w:val="24"/>
          <w:szCs w:val="24"/>
          <w:highlight w:val="none"/>
          <w:u w:val="single"/>
          <w:lang w:val="en-US" w:eastAsia="zh-CN"/>
        </w:rPr>
        <w:t>123</w:t>
      </w:r>
      <w:r>
        <w:rPr>
          <w:rFonts w:hint="eastAsia" w:ascii="宋体" w:hAnsi="宋体" w:eastAsia="宋体" w:cs="宋体"/>
          <w:color w:val="auto"/>
          <w:sz w:val="24"/>
          <w:szCs w:val="24"/>
          <w:highlight w:val="none"/>
          <w:u w:val="single"/>
        </w:rPr>
        <w:t>日历天（具体时间以签订合同为准）</w:t>
      </w:r>
      <w:r>
        <w:rPr>
          <w:rFonts w:hint="eastAsia" w:cs="Times New Roman"/>
          <w:color w:val="auto"/>
          <w:sz w:val="24"/>
          <w:highlight w:val="none"/>
          <w:u w:val="single"/>
          <w:lang w:eastAsia="zh-CN"/>
        </w:rPr>
        <w:t>。</w:t>
      </w:r>
    </w:p>
    <w:p w14:paraId="0E137AF0">
      <w:pPr>
        <w:pStyle w:val="5"/>
        <w:pageBreakBefore w:val="0"/>
        <w:widowControl w:val="0"/>
        <w:kinsoku/>
        <w:wordWrap w:val="0"/>
        <w:overflowPunct/>
        <w:topLinePunct w:val="0"/>
        <w:autoSpaceDE/>
        <w:autoSpaceDN/>
        <w:bidi w:val="0"/>
        <w:adjustRightInd/>
        <w:snapToGrid/>
        <w:spacing w:before="240" w:after="240" w:line="400" w:lineRule="exact"/>
        <w:jc w:val="both"/>
        <w:textAlignment w:val="auto"/>
        <w:outlineLvl w:val="2"/>
        <w:rPr>
          <w:rFonts w:hint="default" w:ascii="Times New Roman" w:hAnsi="Times New Roman" w:eastAsia="黑体" w:cs="Times New Roman"/>
          <w:color w:val="auto"/>
          <w:sz w:val="28"/>
          <w:szCs w:val="28"/>
          <w:highlight w:val="none"/>
        </w:rPr>
      </w:pPr>
      <w:bookmarkStart w:id="27" w:name="_Toc7392"/>
      <w:bookmarkStart w:id="28" w:name="_Toc1575"/>
      <w:bookmarkStart w:id="29" w:name="_Toc470760975"/>
      <w:bookmarkStart w:id="30" w:name="_Toc9236"/>
      <w:bookmarkStart w:id="31" w:name="_Toc9895"/>
      <w:r>
        <w:rPr>
          <w:rFonts w:hint="default" w:ascii="黑体" w:hAnsi="黑体" w:eastAsia="黑体" w:cs="黑体"/>
          <w:b w:val="0"/>
          <w:color w:val="auto"/>
          <w:kern w:val="2"/>
          <w:sz w:val="28"/>
          <w:szCs w:val="28"/>
          <w:lang w:val="en-US" w:eastAsia="zh-CN" w:bidi="ar-SA"/>
        </w:rPr>
        <w:t>3.投标人资格要求</w:t>
      </w:r>
      <w:bookmarkEnd w:id="27"/>
      <w:bookmarkEnd w:id="28"/>
      <w:bookmarkEnd w:id="29"/>
      <w:bookmarkEnd w:id="30"/>
      <w:bookmarkEnd w:id="31"/>
    </w:p>
    <w:p w14:paraId="6C61F269">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3.1本次招标要求投标人在人员、设备、资金等方面具有相应的施工能力，投标人须具备的资格条件如下：</w:t>
      </w:r>
    </w:p>
    <w:p w14:paraId="47F5F3A6">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u w:val="none"/>
        </w:rPr>
      </w:pPr>
      <w:r>
        <w:rPr>
          <w:rFonts w:hint="eastAsia"/>
          <w:color w:val="auto"/>
          <w:sz w:val="24"/>
          <w:szCs w:val="24"/>
          <w:u w:val="none"/>
          <w:lang w:val="en-US" w:eastAsia="zh-CN"/>
        </w:rPr>
        <w:t>3.</w:t>
      </w:r>
      <w:r>
        <w:rPr>
          <w:rFonts w:hint="eastAsia"/>
          <w:color w:val="auto"/>
          <w:sz w:val="24"/>
          <w:szCs w:val="24"/>
          <w:u w:val="none"/>
        </w:rPr>
        <w:t>1.1资质要求</w:t>
      </w:r>
    </w:p>
    <w:p w14:paraId="3CC342AB">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1 、投标人必须具有国内独立法人资格及有效的企业法人营业执照。</w:t>
      </w:r>
    </w:p>
    <w:p w14:paraId="03542208">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yellow"/>
          <w:u w:val="none"/>
          <w:lang w:val="en-US" w:eastAsia="zh-CN"/>
        </w:rPr>
      </w:pPr>
      <w:r>
        <w:rPr>
          <w:rFonts w:hint="eastAsia"/>
          <w:color w:val="auto"/>
          <w:sz w:val="24"/>
          <w:szCs w:val="24"/>
          <w:highlight w:val="yellow"/>
          <w:u w:val="none"/>
          <w:lang w:val="en-US" w:eastAsia="zh-CN"/>
        </w:rPr>
        <w:t>2 、投标人的资质应满足以下 (1) 或 (2) 项要求：</w:t>
      </w:r>
    </w:p>
    <w:p w14:paraId="08DC9A5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yellow"/>
          <w:u w:val="none"/>
          <w:lang w:val="en-US" w:eastAsia="zh-CN"/>
        </w:rPr>
      </w:pPr>
      <w:r>
        <w:rPr>
          <w:rFonts w:hint="eastAsia"/>
          <w:color w:val="auto"/>
          <w:sz w:val="24"/>
          <w:szCs w:val="24"/>
          <w:highlight w:val="yellow"/>
          <w:u w:val="none"/>
          <w:lang w:val="en-US" w:eastAsia="zh-CN"/>
        </w:rPr>
        <w:t>（1）具有交通运输主管部门颁发且有效的“公路养护工程施工二类（乙级）”及以上资质，且资质证书注明的业务范围能够承担二级及以下等级公路的路基、路面、沿线设施（不含监控、通讯、收费管理系统）等大修、中修养护工程；</w:t>
      </w:r>
    </w:p>
    <w:p w14:paraId="14B21BFC">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yellow"/>
          <w:u w:val="none"/>
          <w:lang w:val="en-US" w:eastAsia="zh-CN"/>
        </w:rPr>
      </w:pPr>
      <w:r>
        <w:rPr>
          <w:rFonts w:hint="eastAsia"/>
          <w:color w:val="auto"/>
          <w:sz w:val="24"/>
          <w:szCs w:val="24"/>
          <w:highlight w:val="yellow"/>
          <w:u w:val="none"/>
          <w:lang w:val="en-US" w:eastAsia="zh-CN"/>
        </w:rPr>
        <w:t>（2）具有省级交通运输主管部门颁发且有效的“公路养护作业单位资质证书”且资质类别具有路基路面养护乙级及以上资质、交通安全设施养护资质。</w:t>
      </w:r>
    </w:p>
    <w:p w14:paraId="7B56D515">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3 、投标人必须具有建设行政主管部门颁发的有效安全生产许可证。</w:t>
      </w:r>
    </w:p>
    <w:p w14:paraId="023A620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1.2财务要求</w:t>
      </w:r>
    </w:p>
    <w:p w14:paraId="39B51911">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787DCEA6">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eastAsia="zh-CN"/>
        </w:rPr>
      </w:pPr>
      <w:r>
        <w:rPr>
          <w:rFonts w:hint="eastAsia"/>
          <w:color w:val="auto"/>
          <w:sz w:val="24"/>
          <w:szCs w:val="24"/>
          <w:highlight w:val="none"/>
          <w:u w:val="none"/>
          <w:lang w:val="en-US" w:eastAsia="zh-CN"/>
        </w:rPr>
        <w:t>3.</w:t>
      </w:r>
      <w:r>
        <w:rPr>
          <w:rFonts w:hint="eastAsia"/>
          <w:color w:val="auto"/>
          <w:sz w:val="24"/>
          <w:szCs w:val="24"/>
          <w:highlight w:val="none"/>
          <w:u w:val="none"/>
        </w:rPr>
        <w:t>1.3业绩要求</w:t>
      </w:r>
      <w:r>
        <w:rPr>
          <w:rFonts w:hint="eastAsia"/>
          <w:color w:val="auto"/>
          <w:sz w:val="24"/>
          <w:szCs w:val="24"/>
          <w:highlight w:val="none"/>
          <w:u w:val="none"/>
          <w:lang w:eastAsia="zh-CN"/>
        </w:rPr>
        <w:t>：</w:t>
      </w:r>
    </w:p>
    <w:p w14:paraId="5F4C590C">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single"/>
        </w:rPr>
      </w:pPr>
      <w:r>
        <w:rPr>
          <w:rFonts w:hint="eastAsia"/>
          <w:color w:val="auto"/>
          <w:sz w:val="24"/>
          <w:szCs w:val="24"/>
          <w:highlight w:val="none"/>
          <w:u w:val="single"/>
        </w:rPr>
        <w:t>投标人202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年1月1日至投标文件递交截止时间（</w:t>
      </w:r>
      <w:r>
        <w:rPr>
          <w:rFonts w:hint="eastAsia" w:ascii="宋体" w:hAnsi="宋体" w:eastAsia="宋体" w:cs="宋体"/>
          <w:color w:val="auto"/>
          <w:sz w:val="24"/>
          <w:szCs w:val="24"/>
          <w:highlight w:val="none"/>
          <w:u w:val="single"/>
          <w:lang w:val="en-US" w:eastAsia="zh-CN"/>
        </w:rPr>
        <w:t>以竣工时间为准</w:t>
      </w:r>
      <w:r>
        <w:rPr>
          <w:rFonts w:hint="eastAsia"/>
          <w:color w:val="auto"/>
          <w:sz w:val="24"/>
          <w:szCs w:val="24"/>
          <w:highlight w:val="none"/>
          <w:u w:val="single"/>
        </w:rPr>
        <w:t>），完成过至少1项类似公路工程业绩。注：投标人应提供中标通知书、施工合同及</w:t>
      </w:r>
      <w:r>
        <w:rPr>
          <w:rFonts w:hint="eastAsia"/>
          <w:color w:val="auto"/>
          <w:sz w:val="24"/>
          <w:szCs w:val="24"/>
          <w:highlight w:val="yellow"/>
          <w:u w:val="single"/>
        </w:rPr>
        <w:t>竣工</w:t>
      </w:r>
      <w:r>
        <w:rPr>
          <w:rFonts w:hint="eastAsia"/>
          <w:color w:val="auto"/>
          <w:sz w:val="24"/>
          <w:szCs w:val="24"/>
          <w:highlight w:val="yellow"/>
          <w:u w:val="single"/>
          <w:lang w:val="en-US" w:eastAsia="zh-CN"/>
        </w:rPr>
        <w:t>验收报告</w:t>
      </w:r>
      <w:r>
        <w:rPr>
          <w:rFonts w:hint="eastAsia"/>
          <w:color w:val="auto"/>
          <w:sz w:val="24"/>
          <w:szCs w:val="24"/>
          <w:highlight w:val="yellow"/>
          <w:u w:val="single"/>
        </w:rPr>
        <w:t>，</w:t>
      </w:r>
      <w:r>
        <w:rPr>
          <w:rFonts w:hint="eastAsia"/>
          <w:color w:val="auto"/>
          <w:sz w:val="24"/>
          <w:szCs w:val="24"/>
          <w:highlight w:val="none"/>
          <w:u w:val="single"/>
        </w:rPr>
        <w:t>三者缺一不可。</w:t>
      </w:r>
    </w:p>
    <w:p w14:paraId="2AEAFFD8">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u w:val="single"/>
        </w:rPr>
      </w:pPr>
      <w:r>
        <w:rPr>
          <w:rFonts w:hint="eastAsia"/>
          <w:color w:val="auto"/>
          <w:sz w:val="24"/>
          <w:szCs w:val="24"/>
          <w:highlight w:val="none"/>
          <w:u w:val="single"/>
          <w:lang w:eastAsia="zh-CN"/>
        </w:rPr>
        <w:t>（</w:t>
      </w:r>
      <w:r>
        <w:rPr>
          <w:rFonts w:hint="eastAsia"/>
          <w:color w:val="auto"/>
          <w:sz w:val="24"/>
          <w:szCs w:val="24"/>
          <w:highlight w:val="none"/>
          <w:u w:val="single"/>
          <w:lang w:val="en-US" w:eastAsia="zh-CN"/>
        </w:rPr>
        <w:t>1</w:t>
      </w:r>
      <w:r>
        <w:rPr>
          <w:rFonts w:hint="eastAsia"/>
          <w:color w:val="auto"/>
          <w:sz w:val="24"/>
          <w:szCs w:val="24"/>
          <w:highlight w:val="none"/>
          <w:u w:val="single"/>
          <w:lang w:eastAsia="zh-CN"/>
        </w:rPr>
        <w:t>）</w:t>
      </w:r>
      <w:r>
        <w:rPr>
          <w:rFonts w:hint="eastAsia"/>
          <w:color w:val="auto"/>
          <w:sz w:val="24"/>
          <w:szCs w:val="24"/>
          <w:highlight w:val="none"/>
          <w:u w:val="single"/>
        </w:rPr>
        <w:t>已录入“辽宁省公共资源交易平台主体交易库”中的企业业绩</w:t>
      </w:r>
      <w:r>
        <w:rPr>
          <w:rFonts w:hint="eastAsia"/>
          <w:color w:val="auto"/>
          <w:sz w:val="24"/>
          <w:szCs w:val="24"/>
          <w:u w:val="single"/>
        </w:rPr>
        <w:t>，可以从主体库中选取后关联至投标文件中，作为企业业绩的证明材料。</w:t>
      </w:r>
    </w:p>
    <w:p w14:paraId="45DC2D2E">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u w:val="single"/>
        </w:rPr>
      </w:pPr>
      <w:r>
        <w:rPr>
          <w:rFonts w:hint="eastAsia"/>
          <w:color w:val="auto"/>
          <w:sz w:val="24"/>
          <w:szCs w:val="24"/>
          <w:u w:val="single"/>
          <w:lang w:eastAsia="zh-CN"/>
        </w:rPr>
        <w:t>（</w:t>
      </w:r>
      <w:r>
        <w:rPr>
          <w:rFonts w:hint="eastAsia"/>
          <w:color w:val="auto"/>
          <w:sz w:val="24"/>
          <w:szCs w:val="24"/>
          <w:u w:val="single"/>
          <w:lang w:val="en-US" w:eastAsia="zh-CN"/>
        </w:rPr>
        <w:t>2</w:t>
      </w:r>
      <w:r>
        <w:rPr>
          <w:rFonts w:hint="eastAsia"/>
          <w:color w:val="auto"/>
          <w:sz w:val="24"/>
          <w:szCs w:val="24"/>
          <w:u w:val="single"/>
          <w:lang w:eastAsia="zh-CN"/>
        </w:rPr>
        <w:t>）</w:t>
      </w:r>
      <w:r>
        <w:rPr>
          <w:rFonts w:hint="eastAsia"/>
          <w:color w:val="auto"/>
          <w:sz w:val="24"/>
          <w:szCs w:val="24"/>
          <w:u w:val="single"/>
        </w:rPr>
        <w:t>未录入“辽宁省公共资源交易平台主体交易库”中的企业业绩，在投标文件第一个信封的“其他材料”中提供以下材料作为企业业绩证明材料：中标通知书、施工合同、</w:t>
      </w:r>
      <w:r>
        <w:rPr>
          <w:rFonts w:hint="eastAsia"/>
          <w:color w:val="auto"/>
          <w:sz w:val="24"/>
          <w:szCs w:val="24"/>
          <w:highlight w:val="yellow"/>
          <w:u w:val="single"/>
        </w:rPr>
        <w:t>竣工</w:t>
      </w:r>
      <w:r>
        <w:rPr>
          <w:rFonts w:hint="eastAsia"/>
          <w:color w:val="auto"/>
          <w:sz w:val="24"/>
          <w:szCs w:val="24"/>
          <w:highlight w:val="yellow"/>
          <w:u w:val="single"/>
          <w:lang w:val="en-US" w:eastAsia="zh-CN"/>
        </w:rPr>
        <w:t>验收报告</w:t>
      </w:r>
      <w:r>
        <w:rPr>
          <w:rFonts w:hint="eastAsia"/>
          <w:color w:val="auto"/>
          <w:sz w:val="24"/>
          <w:szCs w:val="24"/>
          <w:u w:val="single"/>
        </w:rPr>
        <w:t>、中标结果公示网站截图；</w:t>
      </w:r>
    </w:p>
    <w:p w14:paraId="6066D848">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u w:val="single"/>
        </w:rPr>
      </w:pPr>
      <w:r>
        <w:rPr>
          <w:rFonts w:hint="eastAsia"/>
          <w:color w:val="auto"/>
          <w:sz w:val="24"/>
          <w:szCs w:val="24"/>
          <w:u w:val="single"/>
          <w:lang w:eastAsia="zh-CN"/>
        </w:rPr>
        <w:t>（</w:t>
      </w:r>
      <w:r>
        <w:rPr>
          <w:rFonts w:hint="eastAsia"/>
          <w:color w:val="auto"/>
          <w:sz w:val="24"/>
          <w:szCs w:val="24"/>
          <w:u w:val="single"/>
          <w:lang w:val="en-US" w:eastAsia="zh-CN"/>
        </w:rPr>
        <w:t>3</w:t>
      </w:r>
      <w:r>
        <w:rPr>
          <w:rFonts w:hint="eastAsia"/>
          <w:color w:val="auto"/>
          <w:sz w:val="24"/>
          <w:szCs w:val="24"/>
          <w:u w:val="single"/>
          <w:lang w:eastAsia="zh-CN"/>
        </w:rPr>
        <w:t>）</w:t>
      </w:r>
      <w:r>
        <w:rPr>
          <w:rFonts w:hint="eastAsia"/>
          <w:color w:val="auto"/>
          <w:sz w:val="24"/>
          <w:szCs w:val="24"/>
          <w:u w:val="single"/>
        </w:rPr>
        <w:t>如投标人法人机构发生变更或重组或法人名称变更时，应提供相关部门的合法批件。</w:t>
      </w:r>
    </w:p>
    <w:p w14:paraId="6A4D703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1.4项目经理和</w:t>
      </w:r>
      <w:r>
        <w:rPr>
          <w:rFonts w:hint="eastAsia"/>
          <w:color w:val="auto"/>
          <w:sz w:val="24"/>
          <w:szCs w:val="24"/>
          <w:highlight w:val="none"/>
          <w:u w:val="none"/>
          <w:lang w:val="en-US" w:eastAsia="zh-CN"/>
        </w:rPr>
        <w:t>项目总工</w:t>
      </w:r>
      <w:r>
        <w:rPr>
          <w:rFonts w:hint="eastAsia"/>
          <w:color w:val="auto"/>
          <w:sz w:val="24"/>
          <w:szCs w:val="24"/>
          <w:highlight w:val="none"/>
          <w:u w:val="none"/>
        </w:rPr>
        <w:t>要求</w:t>
      </w:r>
    </w:p>
    <w:p w14:paraId="3219F404">
      <w:pPr>
        <w:pageBreakBefore w:val="0"/>
        <w:kinsoku/>
        <w:wordWrap w:val="0"/>
        <w:bidi w:val="0"/>
        <w:spacing w:line="400" w:lineRule="atLeast"/>
        <w:ind w:firstLine="480" w:firstLineChars="200"/>
        <w:rPr>
          <w:rFonts w:hint="default" w:ascii="宋体" w:hAnsi="宋体" w:eastAsia="宋体" w:cs="宋体"/>
          <w:color w:val="auto"/>
          <w:sz w:val="24"/>
          <w:szCs w:val="24"/>
          <w:highlight w:val="yellow"/>
          <w:u w:val="single"/>
          <w:lang w:val="en-US" w:eastAsia="zh-CN"/>
        </w:rPr>
      </w:pPr>
      <w:r>
        <w:rPr>
          <w:rFonts w:hint="eastAsia" w:ascii="宋体" w:hAnsi="宋体" w:eastAsia="宋体" w:cs="宋体"/>
          <w:color w:val="auto"/>
          <w:sz w:val="24"/>
          <w:szCs w:val="24"/>
          <w:highlight w:val="none"/>
          <w:u w:val="single"/>
          <w:lang w:val="en-US" w:eastAsia="zh-CN"/>
        </w:rPr>
        <w:t>（1）项目经理（1名）：具有公路工程专业二级及以上建造师证书以及交通运输主管部门颁发的有效期内的安全生产考核合格“B”类证书；</w:t>
      </w:r>
      <w:r>
        <w:rPr>
          <w:rFonts w:hint="eastAsia" w:ascii="宋体" w:hAnsi="宋体" w:cs="宋体"/>
          <w:color w:val="auto"/>
          <w:sz w:val="24"/>
          <w:szCs w:val="24"/>
          <w:highlight w:val="yellow"/>
          <w:u w:val="single"/>
          <w:lang w:val="en-US" w:eastAsia="zh-CN"/>
        </w:rPr>
        <w:t>具有公路工程类似工程项目经理任职业绩。</w:t>
      </w:r>
    </w:p>
    <w:p w14:paraId="35AF4B3B">
      <w:pPr>
        <w:pageBreakBefore w:val="0"/>
        <w:kinsoku/>
        <w:wordWrap w:val="0"/>
        <w:bidi w:val="0"/>
        <w:spacing w:line="400" w:lineRule="atLeas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（2）项目总工程师（1名）：具有</w:t>
      </w:r>
      <w:r>
        <w:rPr>
          <w:rFonts w:hint="eastAsia" w:ascii="宋体" w:hAnsi="宋体" w:cs="宋体"/>
          <w:color w:val="auto"/>
          <w:sz w:val="24"/>
          <w:szCs w:val="24"/>
          <w:highlight w:val="none"/>
          <w:u w:val="single"/>
          <w:lang w:val="en-US" w:eastAsia="zh-CN"/>
        </w:rPr>
        <w:t>公路</w:t>
      </w:r>
      <w:r>
        <w:rPr>
          <w:rFonts w:hint="eastAsia" w:ascii="宋体" w:hAnsi="宋体" w:eastAsia="宋体" w:cs="宋体"/>
          <w:color w:val="auto"/>
          <w:sz w:val="24"/>
          <w:szCs w:val="24"/>
          <w:highlight w:val="none"/>
          <w:u w:val="single"/>
          <w:lang w:val="en-US" w:eastAsia="zh-CN"/>
        </w:rPr>
        <w:t>工程相关专业中级及以上技术职称。</w:t>
      </w:r>
      <w:r>
        <w:rPr>
          <w:rFonts w:hint="eastAsia" w:ascii="宋体" w:hAnsi="宋体" w:cs="宋体"/>
          <w:color w:val="auto"/>
          <w:sz w:val="24"/>
          <w:szCs w:val="24"/>
          <w:highlight w:val="yellow"/>
          <w:u w:val="single"/>
          <w:lang w:val="en-US" w:eastAsia="zh-CN"/>
        </w:rPr>
        <w:t>具有公路工程类似工程管理业绩；</w:t>
      </w:r>
    </w:p>
    <w:p w14:paraId="452421EA">
      <w:pPr>
        <w:pageBreakBefore w:val="0"/>
        <w:kinsoku/>
        <w:wordWrap w:val="0"/>
        <w:bidi w:val="0"/>
        <w:spacing w:line="400" w:lineRule="atLeas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注：项目经理和项目总工程师均不得同时在两个及以上项目任职。</w:t>
      </w:r>
      <w:r>
        <w:rPr>
          <w:rFonts w:hint="eastAsia" w:ascii="宋体" w:hAnsi="宋体" w:cs="宋体"/>
          <w:color w:val="auto"/>
          <w:sz w:val="24"/>
          <w:szCs w:val="24"/>
          <w:highlight w:val="yellow"/>
          <w:u w:val="single"/>
          <w:lang w:val="en-US" w:eastAsia="zh-CN"/>
        </w:rPr>
        <w:t>相关业绩证明材料须体现人员姓名及职务，业绩证明材料包括但不限于中标通知书、施工合同及竣工验收报告；若前述材料未体现项目经理、项目总工姓名及任职情况，投标人须另行提供业主单位出具的任职证明或项目任命文件或施工许可文件或交通建设市场信用信息平台公示截图等有效佐证材料，佐证材料须加盖公章，信息真实可查，否则该项业绩不予认可。</w:t>
      </w:r>
    </w:p>
    <w:p w14:paraId="07739A95">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u w:val="none"/>
        </w:rPr>
      </w:pPr>
      <w:r>
        <w:rPr>
          <w:rFonts w:hint="eastAsia"/>
          <w:color w:val="auto"/>
          <w:sz w:val="24"/>
          <w:szCs w:val="24"/>
          <w:u w:val="none"/>
          <w:lang w:val="en-US" w:eastAsia="zh-CN"/>
        </w:rPr>
        <w:t>3.</w:t>
      </w:r>
      <w:r>
        <w:rPr>
          <w:rFonts w:hint="eastAsia"/>
          <w:color w:val="auto"/>
          <w:sz w:val="24"/>
          <w:szCs w:val="24"/>
          <w:u w:val="none"/>
        </w:rPr>
        <w:t>1.5信誉要求</w:t>
      </w:r>
    </w:p>
    <w:p w14:paraId="6C0B60FF">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（1）未被省级及以上交通运输主管部门取消招标项目所在地的投标资格且处于有效期内；</w:t>
      </w:r>
    </w:p>
    <w:p w14:paraId="32D782DB">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（2）未被责令停业，暂扣或吊销执照，或吊销资质证书；</w:t>
      </w:r>
    </w:p>
    <w:p w14:paraId="2C805819">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（3）未进入清算程序，或被宣告破产，或其他丧失履约能力的情形；</w:t>
      </w:r>
    </w:p>
    <w:p w14:paraId="6036A53B">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（4）在国家企业信用信息公示系统（http：//www.gsxt.gov.cn）中未被列入严重违法失信企业名单；</w:t>
      </w:r>
    </w:p>
    <w:p w14:paraId="31382698">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（5）在“信用中国”网站（http：//www.creditchina.gov.cn）中未被列入失信被执行人名单；</w:t>
      </w:r>
    </w:p>
    <w:p w14:paraId="0F0F2623">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（6）投标人或其法定代表人、拟委任的项目经理在近三年内没有行贿犯罪行为的；</w:t>
      </w:r>
    </w:p>
    <w:p w14:paraId="4D43FD6F">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（7）投标人在以往工程未因拖欠农民工工资、材料采购、工程分包款等，而受到省级有关部门的通报；</w:t>
      </w:r>
    </w:p>
    <w:p w14:paraId="5423928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（8）法律法规规定的其他情形。</w:t>
      </w:r>
    </w:p>
    <w:p w14:paraId="16987F2C">
      <w:pPr>
        <w:pageBreakBefore w:val="0"/>
        <w:kinsoku/>
        <w:wordWrap w:val="0"/>
        <w:bidi w:val="0"/>
        <w:spacing w:line="400" w:lineRule="atLeast"/>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3.1.6其他要求</w:t>
      </w:r>
    </w:p>
    <w:p w14:paraId="6EA2FA78">
      <w:pPr>
        <w:pageBreakBefore w:val="0"/>
        <w:numPr>
          <w:ilvl w:val="0"/>
          <w:numId w:val="0"/>
        </w:numPr>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cs="Times New Roman"/>
          <w:color w:val="auto"/>
          <w:sz w:val="24"/>
          <w:highlight w:val="none"/>
        </w:rPr>
        <w:t>根据《关于发布公路工程从业企业资质名录的通知》（厅公路字〔2011〕114号）要求，投标人如为名录范围的施工企业，则应进入交通运输部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全国公路建设市场监督管理系统（https://hwdms.mot.gov.cn/BMWebSite/）</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中的公路工程施工资质企业名录，且投标人名称和资质与该名录中的相应企业名称和资质完全一致。</w:t>
      </w:r>
    </w:p>
    <w:p w14:paraId="1D0B1AD0">
      <w:pPr>
        <w:pageBreakBefore w:val="0"/>
        <w:numPr>
          <w:ilvl w:val="0"/>
          <w:numId w:val="0"/>
        </w:numPr>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lang w:val="en-US" w:eastAsia="zh-CN" w:bidi="ar-SA"/>
        </w:rPr>
        <w:t>（2）</w:t>
      </w:r>
      <w:r>
        <w:rPr>
          <w:rFonts w:hint="eastAsia" w:asciiTheme="minorHAnsi" w:hAnsiTheme="minorHAnsi" w:eastAsiaTheme="minorEastAsia" w:cstheme="minorBidi"/>
          <w:color w:val="auto"/>
          <w:kern w:val="2"/>
          <w:sz w:val="24"/>
          <w:szCs w:val="24"/>
          <w:highlight w:val="none"/>
          <w:u w:val="single"/>
          <w:lang w:val="en-US" w:eastAsia="zh-CN" w:bidi="ar-SA"/>
        </w:rPr>
        <w:t xml:space="preserve">      /     。</w:t>
      </w:r>
    </w:p>
    <w:p w14:paraId="55D3C5C3">
      <w:pPr>
        <w:pageBreakBefore w:val="0"/>
        <w:kinsoku/>
        <w:wordWrap w:val="0"/>
        <w:bidi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3.2本次招标</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不接受</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highlight w:val="none"/>
        </w:rPr>
        <w:t>（接受或不接受）联合体投标。</w:t>
      </w:r>
    </w:p>
    <w:p w14:paraId="4FA15807">
      <w:pPr>
        <w:pageBreakBefore w:val="0"/>
        <w:kinsoku/>
        <w:wordWrap w:val="0"/>
        <w:bidi w:val="0"/>
        <w:spacing w:line="400" w:lineRule="atLeast"/>
        <w:ind w:left="0" w:leftChars="0" w:firstLine="482" w:firstLineChars="200"/>
        <w:rPr>
          <w:rFonts w:hint="default" w:ascii="Times New Roman" w:hAnsi="Times New Roman" w:cs="Times New Roman"/>
          <w:b/>
          <w:bCs/>
          <w:color w:val="auto"/>
          <w:sz w:val="24"/>
          <w:highlight w:val="green"/>
        </w:rPr>
      </w:pPr>
      <w:r>
        <w:rPr>
          <w:rFonts w:hint="eastAsia" w:ascii="宋体" w:hAnsi="宋体" w:eastAsia="宋体" w:cs="宋体"/>
          <w:b/>
          <w:bCs/>
          <w:color w:val="auto"/>
          <w:sz w:val="24"/>
          <w:szCs w:val="24"/>
          <w:highlight w:val="none"/>
        </w:rPr>
        <w:t>3.3每个投标人允许</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参与</w:t>
      </w:r>
      <w:r>
        <w:rPr>
          <w:rFonts w:hint="eastAsia" w:ascii="宋体" w:hAnsi="宋体" w:cs="宋体"/>
          <w:b/>
          <w:bCs/>
          <w:color w:val="auto"/>
          <w:sz w:val="24"/>
          <w:szCs w:val="24"/>
          <w:highlight w:val="none"/>
          <w:u w:val="single"/>
          <w:lang w:val="en-US" w:eastAsia="zh-CN"/>
        </w:rPr>
        <w:t xml:space="preserve"> 2 </w:t>
      </w:r>
      <w:r>
        <w:rPr>
          <w:rFonts w:hint="eastAsia" w:ascii="宋体" w:hAnsi="宋体" w:eastAsia="宋体" w:cs="宋体"/>
          <w:b/>
          <w:bCs/>
          <w:color w:val="auto"/>
          <w:sz w:val="24"/>
          <w:szCs w:val="24"/>
          <w:highlight w:val="none"/>
        </w:rPr>
        <w:t>个标段，</w:t>
      </w:r>
      <w:r>
        <w:rPr>
          <w:rFonts w:hint="eastAsia" w:ascii="宋体" w:hAnsi="宋体" w:eastAsia="宋体" w:cs="宋体"/>
          <w:b/>
          <w:bCs/>
          <w:color w:val="auto"/>
          <w:sz w:val="24"/>
          <w:szCs w:val="24"/>
          <w:highlight w:val="none"/>
          <w:lang w:val="en-US" w:eastAsia="zh-CN"/>
        </w:rPr>
        <w:t>但</w:t>
      </w:r>
      <w:r>
        <w:rPr>
          <w:rFonts w:hint="eastAsia" w:ascii="宋体" w:hAnsi="宋体" w:eastAsia="宋体" w:cs="宋体"/>
          <w:b/>
          <w:bCs/>
          <w:color w:val="auto"/>
          <w:sz w:val="24"/>
          <w:szCs w:val="24"/>
          <w:highlight w:val="none"/>
        </w:rPr>
        <w:t>每个投标人最多允许中</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rPr>
        <w:t>其中</w:t>
      </w:r>
      <w:r>
        <w:rPr>
          <w:rFonts w:hint="eastAsia" w:ascii="宋体" w:hAnsi="宋体" w:cs="宋体"/>
          <w:b/>
          <w:bCs/>
          <w:color w:val="auto"/>
          <w:sz w:val="24"/>
          <w:szCs w:val="24"/>
          <w:highlight w:val="none"/>
          <w:u w:val="single"/>
          <w:lang w:val="en-US" w:eastAsia="zh-CN"/>
        </w:rPr>
        <w:t xml:space="preserve"> 1 </w:t>
      </w:r>
      <w:r>
        <w:rPr>
          <w:rFonts w:hint="eastAsia" w:ascii="宋体" w:hAnsi="宋体" w:eastAsia="宋体" w:cs="宋体"/>
          <w:b/>
          <w:bCs/>
          <w:color w:val="auto"/>
          <w:sz w:val="24"/>
          <w:szCs w:val="24"/>
          <w:highlight w:val="none"/>
        </w:rPr>
        <w:t>个标段</w:t>
      </w:r>
      <w:r>
        <w:rPr>
          <w:rFonts w:hint="default" w:ascii="Times New Roman" w:hAnsi="Times New Roman" w:cs="Times New Roman"/>
          <w:b/>
          <w:bCs/>
          <w:color w:val="auto"/>
          <w:sz w:val="24"/>
          <w:highlight w:val="none"/>
        </w:rPr>
        <w:t>。</w:t>
      </w:r>
    </w:p>
    <w:p w14:paraId="72A8CD49">
      <w:pPr>
        <w:pageBreakBefore w:val="0"/>
        <w:tabs>
          <w:tab w:val="left" w:pos="360"/>
        </w:tabs>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3.4与招标人存在利害关系可能影响招标公正性的单位，不得参加投标。单位负责人为同一人或存在控股、管理关系的不同单位，不得参加同</w:t>
      </w:r>
      <w:r>
        <w:rPr>
          <w:rFonts w:hint="eastAsia" w:cs="Times New Roman"/>
          <w:color w:val="auto"/>
          <w:sz w:val="24"/>
          <w:highlight w:val="none"/>
          <w:lang w:val="en-US" w:eastAsia="zh-CN"/>
        </w:rPr>
        <w:t>一</w:t>
      </w:r>
      <w:r>
        <w:rPr>
          <w:rFonts w:hint="eastAsia" w:cs="Times New Roman"/>
          <w:color w:val="auto"/>
          <w:sz w:val="24"/>
          <w:highlight w:val="none"/>
          <w:lang w:eastAsia="zh-CN"/>
        </w:rPr>
        <w:t>标段</w:t>
      </w:r>
      <w:r>
        <w:rPr>
          <w:rFonts w:hint="default" w:ascii="Times New Roman" w:hAnsi="Times New Roman" w:cs="Times New Roman"/>
          <w:color w:val="auto"/>
          <w:sz w:val="24"/>
          <w:highlight w:val="none"/>
        </w:rPr>
        <w:t>投标，否则，相关投标均无效。</w:t>
      </w:r>
    </w:p>
    <w:p w14:paraId="24461A92">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sz w:val="24"/>
          <w:highlight w:val="none"/>
        </w:rPr>
        <w:t>3.5</w:t>
      </w:r>
      <w:r>
        <w:rPr>
          <w:rFonts w:hint="default" w:ascii="Times New Roman" w:hAnsi="Times New Roman" w:cs="Times New Roman"/>
          <w:color w:val="auto"/>
          <w:kern w:val="28"/>
          <w:sz w:val="24"/>
          <w:highlight w:val="none"/>
        </w:rPr>
        <w:t>存在下列不良状况或不良信用记录的单位，不得以任何形式参加投标：</w:t>
      </w:r>
    </w:p>
    <w:p w14:paraId="78381EE5">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（1）被省级及以上交通运输主管部门取消招标项目所在地的投标资格且处于有效期内；</w:t>
      </w:r>
    </w:p>
    <w:p w14:paraId="295DEEA6">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（2）被责令停业，暂扣或吊销执照，或吊销资质证书；</w:t>
      </w:r>
    </w:p>
    <w:p w14:paraId="7526ADA6">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（3）进入清算程序，或被宣告破产，或其他丧失履约能力的情形；</w:t>
      </w:r>
    </w:p>
    <w:p w14:paraId="580B2EC5">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（4）在国家企业信用信息公示系统（http://www.gsxt.gov.cn）中被列入严重违法失信企业名单；</w:t>
      </w:r>
    </w:p>
    <w:p w14:paraId="2CFC7D30">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（5）在</w:t>
      </w:r>
      <w:r>
        <w:rPr>
          <w:rFonts w:hint="eastAsia" w:ascii="宋体" w:hAnsi="宋体" w:eastAsia="宋体" w:cs="宋体"/>
          <w:color w:val="auto"/>
          <w:kern w:val="28"/>
          <w:sz w:val="24"/>
          <w:highlight w:val="none"/>
        </w:rPr>
        <w:t>“</w:t>
      </w:r>
      <w:r>
        <w:rPr>
          <w:rFonts w:hint="default" w:ascii="Times New Roman" w:hAnsi="Times New Roman" w:cs="Times New Roman"/>
          <w:color w:val="auto"/>
          <w:kern w:val="28"/>
          <w:sz w:val="24"/>
          <w:highlight w:val="none"/>
        </w:rPr>
        <w:t>信用中国</w:t>
      </w:r>
      <w:r>
        <w:rPr>
          <w:rFonts w:hint="eastAsia" w:ascii="宋体" w:hAnsi="宋体" w:eastAsia="宋体" w:cs="宋体"/>
          <w:color w:val="auto"/>
          <w:kern w:val="28"/>
          <w:sz w:val="24"/>
          <w:highlight w:val="none"/>
        </w:rPr>
        <w:t>”</w:t>
      </w:r>
      <w:r>
        <w:rPr>
          <w:rFonts w:hint="default" w:ascii="Times New Roman" w:hAnsi="Times New Roman" w:cs="Times New Roman"/>
          <w:color w:val="auto"/>
          <w:kern w:val="28"/>
          <w:sz w:val="24"/>
          <w:highlight w:val="none"/>
        </w:rPr>
        <w:t>网站</w:t>
      </w:r>
      <w:r>
        <w:rPr>
          <w:rFonts w:hint="eastAsia" w:cs="Times New Roman"/>
          <w:color w:val="auto"/>
          <w:kern w:val="28"/>
          <w:sz w:val="24"/>
          <w:highlight w:val="none"/>
          <w:lang w:eastAsia="zh-CN"/>
        </w:rPr>
        <w:t>（</w:t>
      </w:r>
      <w:r>
        <w:rPr>
          <w:rFonts w:hint="default" w:ascii="Times New Roman" w:hAnsi="Times New Roman" w:cs="Times New Roman"/>
          <w:color w:val="auto"/>
          <w:kern w:val="28"/>
          <w:sz w:val="24"/>
          <w:highlight w:val="none"/>
        </w:rPr>
        <w:t>http://www.creditchina.gov.cn）（或中国执行信息公开网http://zxgk.court.gov.cn/shixin/）中被列入失信被执行人名单；</w:t>
      </w:r>
    </w:p>
    <w:p w14:paraId="6E8DD4C1">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（6）投标人或其法定代表人、拟委任的项目</w:t>
      </w:r>
      <w:r>
        <w:rPr>
          <w:rFonts w:hint="default" w:ascii="Times New Roman" w:hAnsi="Times New Roman" w:cs="Times New Roman"/>
          <w:color w:val="auto"/>
          <w:kern w:val="28"/>
          <w:sz w:val="24"/>
          <w:highlight w:val="none"/>
          <w:lang w:val="en-US" w:eastAsia="zh-CN"/>
        </w:rPr>
        <w:t>经理</w:t>
      </w:r>
      <w:r>
        <w:rPr>
          <w:rFonts w:hint="default" w:ascii="Times New Roman" w:hAnsi="Times New Roman" w:cs="Times New Roman"/>
          <w:color w:val="auto"/>
          <w:kern w:val="28"/>
          <w:sz w:val="24"/>
          <w:highlight w:val="none"/>
        </w:rPr>
        <w:t>在近三年内有行贿犯罪行为的；</w:t>
      </w:r>
    </w:p>
    <w:p w14:paraId="420A5C50">
      <w:pPr>
        <w:keepNext w:val="0"/>
        <w:keepLines w:val="0"/>
        <w:pageBreakBefore w:val="0"/>
        <w:widowControl w:val="0"/>
        <w:tabs>
          <w:tab w:val="left" w:pos="360"/>
        </w:tabs>
        <w:kinsoku/>
        <w:wordWrap w:val="0"/>
        <w:overflowPunct/>
        <w:topLinePunct w:val="0"/>
        <w:autoSpaceDE/>
        <w:autoSpaceDN/>
        <w:bidi w:val="0"/>
        <w:adjustRightInd/>
        <w:snapToGrid/>
        <w:spacing w:line="400" w:lineRule="atLeast"/>
        <w:ind w:firstLine="480" w:firstLineChars="200"/>
        <w:textAlignment w:val="auto"/>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kern w:val="28"/>
          <w:sz w:val="24"/>
          <w:highlight w:val="none"/>
        </w:rPr>
        <w:t>（7）法律法规规定的其他情形</w:t>
      </w:r>
      <w:r>
        <w:rPr>
          <w:rFonts w:hint="eastAsia" w:cs="Times New Roman"/>
          <w:color w:val="auto"/>
          <w:kern w:val="28"/>
          <w:sz w:val="24"/>
          <w:highlight w:val="none"/>
          <w:lang w:eastAsia="zh-CN"/>
        </w:rPr>
        <w:t>。</w:t>
      </w:r>
    </w:p>
    <w:p w14:paraId="40514D61">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rPr>
      </w:pPr>
      <w:bookmarkStart w:id="32" w:name="_Toc31545"/>
      <w:bookmarkStart w:id="33" w:name="_Toc20700"/>
      <w:bookmarkStart w:id="34" w:name="_Toc3281"/>
      <w:bookmarkStart w:id="35" w:name="_Toc470760976"/>
      <w:bookmarkStart w:id="36" w:name="_Toc31217"/>
      <w:r>
        <w:rPr>
          <w:rFonts w:hint="default" w:ascii="黑体" w:hAnsi="黑体" w:eastAsia="黑体" w:cs="黑体"/>
          <w:color w:val="auto"/>
          <w:sz w:val="28"/>
          <w:szCs w:val="28"/>
        </w:rPr>
        <w:t>4.招标文件的获取</w:t>
      </w:r>
      <w:bookmarkEnd w:id="32"/>
      <w:bookmarkEnd w:id="33"/>
      <w:bookmarkEnd w:id="34"/>
      <w:bookmarkEnd w:id="35"/>
      <w:bookmarkEnd w:id="36"/>
      <w:r>
        <w:rPr>
          <w:rFonts w:hint="default" w:ascii="黑体" w:hAnsi="黑体" w:eastAsia="黑体" w:cs="黑体"/>
          <w:color w:val="auto"/>
          <w:sz w:val="28"/>
          <w:szCs w:val="28"/>
        </w:rPr>
        <w:tab/>
      </w:r>
    </w:p>
    <w:p w14:paraId="5F4032A0">
      <w:pPr>
        <w:pageBreakBefore w:val="0"/>
        <w:tabs>
          <w:tab w:val="left" w:pos="360"/>
        </w:tabs>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4.1凡有意参加投标者，请在</w:t>
      </w:r>
      <w:r>
        <w:rPr>
          <w:rFonts w:hint="default" w:ascii="Times New Roman" w:hAnsi="Times New Roman" w:cs="Times New Roman"/>
          <w:color w:val="auto"/>
          <w:sz w:val="24"/>
          <w:szCs w:val="24"/>
          <w:highlight w:val="none"/>
          <w:u w:val="single"/>
        </w:rPr>
        <w:t>辽宁省公共资源交易</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u w:val="single"/>
        </w:rPr>
        <w:t>一张网</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u w:val="single"/>
        </w:rPr>
        <w:t>电子化平台</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，网址：</w:t>
      </w:r>
      <w:r>
        <w:rPr>
          <w:rFonts w:hint="default" w:ascii="Times New Roman" w:hAnsi="Times New Roman" w:cs="Times New Roman" w:eastAsiaTheme="minorEastAsia"/>
          <w:color w:val="auto"/>
          <w:sz w:val="24"/>
          <w:szCs w:val="24"/>
          <w:highlight w:val="none"/>
          <w:u w:val="single" w:color="auto"/>
          <w:lang w:val="en-US" w:eastAsia="zh-CN"/>
        </w:rPr>
        <w:t>https://www.lnsggzy.com/EpointSSO/login/oauth2login</w:t>
      </w:r>
      <w:r>
        <w:rPr>
          <w:rFonts w:hint="default" w:ascii="Times New Roman" w:hAnsi="Times New Roman" w:cs="Times New Roman"/>
          <w:color w:val="auto"/>
          <w:sz w:val="24"/>
          <w:highlight w:val="none"/>
        </w:rPr>
        <w:t>）进行注册，并</w:t>
      </w:r>
      <w:r>
        <w:rPr>
          <w:rFonts w:hint="eastAsia" w:cs="Times New Roman"/>
          <w:color w:val="auto"/>
          <w:sz w:val="24"/>
          <w:highlight w:val="none"/>
          <w:lang w:val="en-US" w:eastAsia="zh-CN"/>
        </w:rPr>
        <w:t>办理</w:t>
      </w:r>
      <w:r>
        <w:rPr>
          <w:rFonts w:hint="default" w:ascii="Times New Roman" w:hAnsi="Times New Roman" w:cs="Times New Roman"/>
          <w:color w:val="auto"/>
          <w:sz w:val="24"/>
          <w:highlight w:val="none"/>
        </w:rPr>
        <w:t>CA数字证书。</w:t>
      </w:r>
    </w:p>
    <w:p w14:paraId="2EC03204">
      <w:pPr>
        <w:pageBreakBefore w:val="0"/>
        <w:tabs>
          <w:tab w:val="left" w:pos="360"/>
        </w:tabs>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4.2完成注册后，请于</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eastAsia" w:cs="Times New Roman"/>
          <w:color w:val="auto"/>
          <w:sz w:val="24"/>
          <w:highlight w:val="none"/>
          <w:u w:val="single"/>
          <w:lang w:val="en-US" w:eastAsia="zh-CN"/>
        </w:rPr>
        <w:t>17</w:t>
      </w:r>
      <w:r>
        <w:rPr>
          <w:rFonts w:ascii="Times New Roman" w:hAnsi="Times New Roman" w:eastAsia="宋体" w:cs="Times New Roman"/>
          <w:color w:val="auto"/>
          <w:sz w:val="24"/>
          <w:highlight w:val="none"/>
        </w:rPr>
        <w:t>时</w:t>
      </w:r>
      <w:r>
        <w:rPr>
          <w:rFonts w:hint="eastAsia" w:cs="Times New Roman"/>
          <w:color w:val="auto"/>
          <w:sz w:val="24"/>
          <w:highlight w:val="none"/>
          <w:u w:val="single"/>
          <w:lang w:val="en-US" w:eastAsia="zh-CN"/>
        </w:rPr>
        <w:t>00</w:t>
      </w:r>
      <w:r>
        <w:rPr>
          <w:rFonts w:ascii="Times New Roman" w:hAnsi="Times New Roman" w:eastAsia="宋体" w:cs="Times New Roman"/>
          <w:color w:val="auto"/>
          <w:sz w:val="24"/>
          <w:highlight w:val="none"/>
        </w:rPr>
        <w:t>分</w:t>
      </w:r>
      <w:r>
        <w:rPr>
          <w:rFonts w:hint="default" w:ascii="Times New Roman" w:hAnsi="Times New Roman" w:cs="Times New Roman"/>
          <w:color w:val="auto"/>
          <w:sz w:val="24"/>
          <w:highlight w:val="none"/>
        </w:rPr>
        <w:t>至</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eastAsia" w:cs="Times New Roman"/>
          <w:color w:val="auto"/>
          <w:sz w:val="24"/>
          <w:highlight w:val="none"/>
          <w:u w:val="single"/>
          <w:lang w:val="en-US" w:eastAsia="zh-CN"/>
        </w:rPr>
        <w:t>17</w:t>
      </w:r>
      <w:r>
        <w:rPr>
          <w:rFonts w:ascii="Times New Roman" w:hAnsi="Times New Roman" w:eastAsia="宋体" w:cs="Times New Roman"/>
          <w:color w:val="auto"/>
          <w:sz w:val="24"/>
          <w:highlight w:val="none"/>
        </w:rPr>
        <w:t>时</w:t>
      </w:r>
      <w:r>
        <w:rPr>
          <w:rFonts w:hint="eastAsia" w:cs="Times New Roman"/>
          <w:color w:val="auto"/>
          <w:sz w:val="24"/>
          <w:highlight w:val="none"/>
          <w:u w:val="single"/>
          <w:lang w:val="en-US" w:eastAsia="zh-CN"/>
        </w:rPr>
        <w:t>00</w:t>
      </w:r>
      <w:r>
        <w:rPr>
          <w:rFonts w:ascii="Times New Roman" w:hAnsi="Times New Roman" w:eastAsia="宋体" w:cs="Times New Roman"/>
          <w:color w:val="auto"/>
          <w:sz w:val="24"/>
          <w:highlight w:val="none"/>
        </w:rPr>
        <w:t>分</w:t>
      </w:r>
      <w:r>
        <w:rPr>
          <w:rFonts w:hint="default" w:ascii="Times New Roman" w:hAnsi="Times New Roman" w:cs="Times New Roman"/>
          <w:color w:val="auto"/>
          <w:sz w:val="24"/>
          <w:highlight w:val="none"/>
        </w:rPr>
        <w:t>，通过互联网使用CA数字证书登录</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，明确所投标段，</w:t>
      </w:r>
      <w:r>
        <w:rPr>
          <w:rFonts w:hint="default" w:ascii="Times New Roman" w:hAnsi="Times New Roman" w:cs="Times New Roman"/>
          <w:color w:val="auto"/>
          <w:sz w:val="24"/>
          <w:highlight w:val="none"/>
          <w:lang w:val="en-US" w:eastAsia="zh-CN"/>
        </w:rPr>
        <w:t>匿名免费下载招标文件</w:t>
      </w:r>
      <w:r>
        <w:rPr>
          <w:rFonts w:hint="default" w:ascii="Times New Roman" w:hAnsi="Times New Roman" w:cs="Times New Roman"/>
          <w:color w:val="auto"/>
          <w:sz w:val="24"/>
          <w:highlight w:val="none"/>
        </w:rPr>
        <w:t>、图纸和参考资料。联合体投标的，由联合体牵头人完成招标文件等资料下载。</w:t>
      </w:r>
    </w:p>
    <w:p w14:paraId="3D39F6E9">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highlight w:val="none"/>
        </w:rPr>
      </w:pPr>
      <w:bookmarkStart w:id="37" w:name="_Toc470760977"/>
      <w:bookmarkStart w:id="38" w:name="_Toc22946"/>
      <w:bookmarkStart w:id="39" w:name="_Toc26563"/>
      <w:bookmarkStart w:id="40" w:name="_Toc1300"/>
      <w:bookmarkStart w:id="41" w:name="_Toc25648"/>
      <w:r>
        <w:rPr>
          <w:rFonts w:hint="default" w:ascii="黑体" w:hAnsi="黑体" w:eastAsia="黑体" w:cs="黑体"/>
          <w:color w:val="auto"/>
          <w:sz w:val="28"/>
          <w:szCs w:val="28"/>
          <w:highlight w:val="none"/>
        </w:rPr>
        <w:t>5.投标文件的递交及相关事宜</w:t>
      </w:r>
      <w:bookmarkEnd w:id="37"/>
      <w:bookmarkEnd w:id="38"/>
      <w:bookmarkEnd w:id="39"/>
      <w:bookmarkEnd w:id="40"/>
      <w:bookmarkEnd w:id="41"/>
    </w:p>
    <w:p w14:paraId="5E7B56C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cs="Times New Roman"/>
          <w:color w:val="auto"/>
          <w:sz w:val="24"/>
          <w:highlight w:val="none"/>
        </w:rPr>
        <w:t>5.1招标人将</w:t>
      </w:r>
      <w:r>
        <w:rPr>
          <w:rFonts w:hint="eastAsia" w:cs="Times New Roman"/>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不组织进行工程现场踏勘和召开投标预备会。</w:t>
      </w:r>
    </w:p>
    <w:p w14:paraId="5A1BFC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textAlignment w:val="auto"/>
        <w:rPr>
          <w:rFonts w:hint="default" w:ascii="Times New Roman" w:hAnsi="Times New Roman" w:eastAsia="宋体" w:cs="Times New Roman"/>
          <w:b w:val="0"/>
          <w:bCs w:val="0"/>
          <w:color w:val="auto"/>
          <w:sz w:val="24"/>
          <w:szCs w:val="24"/>
          <w:highlight w:val="none"/>
        </w:rPr>
      </w:pPr>
      <w:sdt>
        <w:sdtPr>
          <w:rPr>
            <w:rFonts w:hint="default" w:ascii="Times New Roman" w:hAnsi="Times New Roman" w:eastAsia="宋体" w:cs="Times New Roman"/>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default" w:ascii="Times New Roman" w:hAnsi="Times New Roman" w:eastAsia="宋体" w:cs="Times New Roman"/>
            <w:b w:val="0"/>
            <w:bCs w:val="0"/>
            <w:color w:val="auto"/>
            <w:sz w:val="24"/>
            <w:szCs w:val="24"/>
            <w:highlight w:val="none"/>
            <w:shd w:val="clear" w:color="auto" w:fill="FFFFFF"/>
          </w:rPr>
        </w:sdtEndPr>
        <w:sdtContent>
          <w:r>
            <w:rPr>
              <w:rFonts w:hint="default" w:ascii="Times New Roman" w:hAnsi="Times New Roman" w:eastAsia="MS Gothic" w:cs="Times New Roman"/>
              <w:b w:val="0"/>
              <w:bCs w:val="0"/>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b w:val="0"/>
          <w:bCs w:val="0"/>
          <w:color w:val="auto"/>
          <w:sz w:val="24"/>
          <w:szCs w:val="24"/>
          <w:highlight w:val="none"/>
        </w:rPr>
        <w:t>组织进行工程现场踏勘和召开投标预备会，时间地点：</w:t>
      </w:r>
    </w:p>
    <w:p w14:paraId="5147195F">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5.2投标文件应为加密的投标文件。投标文件递交的截止时间（投标截止时间，下同）为</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时</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分</w:t>
      </w:r>
      <w:r>
        <w:rPr>
          <w:color w:val="auto"/>
          <w:sz w:val="24"/>
          <w:highlight w:val="none"/>
        </w:rPr>
        <w:t>（北京时间，下同）</w:t>
      </w:r>
      <w:r>
        <w:rPr>
          <w:rFonts w:hint="default" w:ascii="Times New Roman" w:hAnsi="Times New Roman" w:cs="Times New Roman"/>
          <w:color w:val="auto"/>
          <w:sz w:val="24"/>
          <w:highlight w:val="none"/>
        </w:rPr>
        <w:t>，投标人应在投标截止时间前，通过互联网使用CA数字证书登录</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，将加密的投标文件上传。逾期未完成上传或未按规定加密的投标文件，招标人予以拒收。联合体投标的，由联合体牵头人完成</w:t>
      </w:r>
      <w:r>
        <w:rPr>
          <w:rFonts w:hint="eastAsia" w:cs="Times New Roman"/>
          <w:color w:val="auto"/>
          <w:sz w:val="24"/>
          <w:highlight w:val="none"/>
          <w:lang w:val="en-US" w:eastAsia="zh-CN"/>
        </w:rPr>
        <w:t>投标文件的上传等工作</w:t>
      </w:r>
      <w:r>
        <w:rPr>
          <w:rFonts w:hint="default" w:ascii="Times New Roman" w:hAnsi="Times New Roman" w:cs="Times New Roman"/>
          <w:color w:val="auto"/>
          <w:sz w:val="24"/>
          <w:highlight w:val="none"/>
        </w:rPr>
        <w:t>。</w:t>
      </w:r>
    </w:p>
    <w:p w14:paraId="13948D39">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lang w:val="en-US" w:eastAsia="zh-CN"/>
        </w:rPr>
      </w:pPr>
      <w:bookmarkStart w:id="42" w:name="_Toc31627"/>
      <w:bookmarkStart w:id="43" w:name="_Toc29510"/>
      <w:bookmarkStart w:id="44" w:name="_Toc15086"/>
      <w:bookmarkStart w:id="45" w:name="_Toc4681"/>
      <w:bookmarkStart w:id="46" w:name="_Toc18524"/>
      <w:bookmarkStart w:id="47" w:name="_Toc22018"/>
      <w:bookmarkStart w:id="48" w:name="_Toc6994_WPSOffice_Level2"/>
      <w:bookmarkStart w:id="49" w:name="_Toc234832850"/>
      <w:r>
        <w:rPr>
          <w:rFonts w:hint="default" w:ascii="黑体" w:hAnsi="黑体" w:eastAsia="黑体" w:cs="黑体"/>
          <w:color w:val="auto"/>
          <w:sz w:val="28"/>
          <w:szCs w:val="28"/>
          <w:lang w:val="en-US" w:eastAsia="zh-CN"/>
        </w:rPr>
        <w:t>6.评标办法</w:t>
      </w:r>
      <w:bookmarkEnd w:id="42"/>
      <w:bookmarkEnd w:id="43"/>
      <w:bookmarkEnd w:id="44"/>
      <w:bookmarkEnd w:id="45"/>
      <w:bookmarkEnd w:id="46"/>
      <w:bookmarkEnd w:id="47"/>
      <w:bookmarkEnd w:id="48"/>
    </w:p>
    <w:p w14:paraId="65B31F46">
      <w:pPr>
        <w:pageBreakBefore w:val="0"/>
        <w:shd w:val="clear"/>
        <w:kinsoku/>
        <w:wordWrap w:val="0"/>
        <w:overflowPunct w:val="0"/>
        <w:autoSpaceDE/>
        <w:autoSpaceDN/>
        <w:bidi w:val="0"/>
        <w:adjustRightInd/>
        <w:snapToGrid/>
        <w:spacing w:line="360" w:lineRule="auto"/>
        <w:ind w:firstLine="472" w:firstLineChars="200"/>
        <w:jc w:val="both"/>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2"/>
          <w:sz w:val="24"/>
          <w:szCs w:val="24"/>
          <w:highlight w:val="none"/>
        </w:rPr>
        <w:t>本项目评标办法采用</w:t>
      </w:r>
      <w:r>
        <w:rPr>
          <w:rFonts w:hint="eastAsia" w:ascii="宋体" w:hAnsi="宋体" w:eastAsia="宋体" w:cs="宋体"/>
          <w:color w:val="auto"/>
          <w:spacing w:val="-2"/>
          <w:sz w:val="24"/>
          <w:szCs w:val="24"/>
          <w:highlight w:val="none"/>
          <w:u w:val="single"/>
          <w:lang w:val="en-US" w:eastAsia="zh-CN"/>
        </w:rPr>
        <w:t>合理低价法</w:t>
      </w:r>
      <w:r>
        <w:rPr>
          <w:rFonts w:hint="default" w:ascii="Times New Roman" w:hAnsi="Times New Roman" w:cs="Times New Roman" w:eastAsiaTheme="minorEastAsia"/>
          <w:color w:val="auto"/>
          <w:spacing w:val="-2"/>
          <w:sz w:val="24"/>
          <w:szCs w:val="24"/>
          <w:highlight w:val="none"/>
          <w:u w:val="none"/>
          <w:lang w:eastAsia="zh-CN"/>
        </w:rPr>
        <w:t>（</w:t>
      </w:r>
      <w:r>
        <w:rPr>
          <w:rFonts w:hint="default" w:ascii="Times New Roman" w:hAnsi="Times New Roman" w:cs="Times New Roman" w:eastAsiaTheme="minorEastAsia"/>
          <w:color w:val="auto"/>
          <w:spacing w:val="-2"/>
          <w:sz w:val="24"/>
          <w:szCs w:val="24"/>
          <w:highlight w:val="none"/>
          <w:u w:val="none"/>
          <w:lang w:val="en-US" w:eastAsia="zh-CN"/>
        </w:rPr>
        <w:t>评标办法</w:t>
      </w:r>
      <w:r>
        <w:rPr>
          <w:rFonts w:hint="default" w:ascii="Times New Roman" w:hAnsi="Times New Roman" w:cs="Times New Roman" w:eastAsiaTheme="minorEastAsia"/>
          <w:color w:val="auto"/>
          <w:spacing w:val="-2"/>
          <w:sz w:val="24"/>
          <w:szCs w:val="24"/>
          <w:highlight w:val="none"/>
          <w:u w:val="none"/>
          <w:lang w:eastAsia="zh-CN"/>
        </w:rPr>
        <w:t>）</w:t>
      </w:r>
      <w:r>
        <w:rPr>
          <w:rFonts w:hint="default" w:ascii="Times New Roman" w:hAnsi="Times New Roman" w:eastAsia="宋体" w:cs="Times New Roman"/>
          <w:color w:val="auto"/>
          <w:spacing w:val="-2"/>
          <w:sz w:val="24"/>
          <w:szCs w:val="24"/>
          <w:highlight w:val="none"/>
        </w:rPr>
        <w:t>，评标标准和方法详见</w:t>
      </w:r>
      <w:r>
        <w:rPr>
          <w:rFonts w:hint="eastAsia" w:ascii="宋体" w:hAnsi="宋体" w:cs="宋体"/>
          <w:color w:val="auto"/>
          <w:spacing w:val="-2"/>
          <w:sz w:val="24"/>
          <w:szCs w:val="24"/>
          <w:highlight w:val="none"/>
          <w:u w:val="single"/>
          <w:lang w:val="en-US" w:eastAsia="zh-CN"/>
        </w:rPr>
        <w:t>招标文件</w:t>
      </w:r>
      <w:r>
        <w:rPr>
          <w:rFonts w:hint="default" w:ascii="Times New Roman" w:hAnsi="Times New Roman" w:eastAsia="宋体" w:cs="Times New Roman"/>
          <w:color w:val="auto"/>
          <w:spacing w:val="-6"/>
          <w:sz w:val="24"/>
          <w:szCs w:val="24"/>
          <w:highlight w:val="none"/>
        </w:rPr>
        <w:t>。</w:t>
      </w:r>
    </w:p>
    <w:p w14:paraId="04ACFA2F">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rPr>
      </w:pPr>
      <w:bookmarkStart w:id="50" w:name="_Toc1626"/>
      <w:bookmarkStart w:id="51" w:name="_Toc20659"/>
      <w:bookmarkStart w:id="52" w:name="_Toc26310"/>
      <w:bookmarkStart w:id="53" w:name="_Toc4689"/>
      <w:bookmarkStart w:id="54" w:name="_Toc26836"/>
      <w:r>
        <w:rPr>
          <w:rFonts w:hint="default" w:ascii="黑体" w:hAnsi="黑体" w:eastAsia="黑体" w:cs="黑体"/>
          <w:color w:val="auto"/>
          <w:sz w:val="28"/>
          <w:szCs w:val="28"/>
          <w:lang w:val="en-US" w:eastAsia="zh-CN"/>
        </w:rPr>
        <w:t>7</w:t>
      </w:r>
      <w:r>
        <w:rPr>
          <w:rFonts w:hint="default" w:ascii="黑体" w:hAnsi="黑体" w:eastAsia="黑体" w:cs="黑体"/>
          <w:color w:val="auto"/>
          <w:sz w:val="28"/>
          <w:szCs w:val="28"/>
        </w:rPr>
        <w:t>.发布公告的媒介</w:t>
      </w:r>
      <w:bookmarkEnd w:id="49"/>
      <w:bookmarkEnd w:id="50"/>
      <w:bookmarkEnd w:id="51"/>
      <w:bookmarkEnd w:id="52"/>
      <w:bookmarkEnd w:id="53"/>
      <w:bookmarkEnd w:id="54"/>
    </w:p>
    <w:p w14:paraId="7FE7F033">
      <w:pPr>
        <w:pStyle w:val="16"/>
        <w:pageBreakBefore w:val="0"/>
        <w:kinsoku/>
        <w:wordWrap w:val="0"/>
        <w:topLinePunct/>
        <w:bidi w:val="0"/>
        <w:spacing w:line="400" w:lineRule="atLeast"/>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 w:val="24"/>
          <w:szCs w:val="24"/>
          <w:highlight w:val="none"/>
        </w:rPr>
        <w:t>本次招标公告同时在</w:t>
      </w:r>
      <w:r>
        <w:rPr>
          <w:rFonts w:hint="eastAsia" w:ascii="Times New Roman" w:cs="Times New Roman"/>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辽宁省公共资源交易一张网电子化平台</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辽宁省招标投标监管网</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全国公共资源交易平台（辽宁·</w:t>
      </w:r>
      <w:r>
        <w:rPr>
          <w:rFonts w:hint="eastAsia" w:ascii="宋体" w:hAnsi="宋体" w:eastAsia="宋体" w:cs="宋体"/>
          <w:color w:val="auto"/>
          <w:sz w:val="24"/>
          <w:szCs w:val="24"/>
          <w:highlight w:val="none"/>
          <w:u w:val="single"/>
          <w:lang w:val="en-US" w:eastAsia="zh-CN"/>
        </w:rPr>
        <w:t>营口</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rPr>
        <w:t>（发布公告的媒介名称）上发布</w:t>
      </w:r>
      <w:r>
        <w:rPr>
          <w:rFonts w:hint="default" w:ascii="Times New Roman" w:hAnsi="Times New Roman" w:cs="Times New Roman"/>
          <w:color w:val="auto"/>
          <w:szCs w:val="24"/>
          <w:highlight w:val="none"/>
        </w:rPr>
        <w:t>。</w:t>
      </w:r>
    </w:p>
    <w:p w14:paraId="329A18AA">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rPr>
      </w:pPr>
      <w:bookmarkStart w:id="55" w:name="_Toc11549"/>
      <w:bookmarkStart w:id="56" w:name="_Toc11952"/>
      <w:bookmarkStart w:id="57" w:name="_Toc26506"/>
      <w:bookmarkStart w:id="58" w:name="_Toc470760979"/>
      <w:bookmarkStart w:id="59" w:name="_Toc31367"/>
      <w:r>
        <w:rPr>
          <w:rFonts w:hint="eastAsia" w:ascii="黑体" w:hAnsi="黑体" w:eastAsia="黑体" w:cs="黑体"/>
          <w:color w:val="auto"/>
          <w:sz w:val="28"/>
          <w:szCs w:val="28"/>
          <w:lang w:val="en-US" w:eastAsia="zh-CN"/>
        </w:rPr>
        <w:t>8</w:t>
      </w:r>
      <w:r>
        <w:rPr>
          <w:rFonts w:hint="default" w:ascii="黑体" w:hAnsi="黑体" w:eastAsia="黑体" w:cs="黑体"/>
          <w:color w:val="auto"/>
          <w:sz w:val="28"/>
          <w:szCs w:val="28"/>
        </w:rPr>
        <w:t>.联系方式</w:t>
      </w:r>
      <w:bookmarkEnd w:id="55"/>
      <w:bookmarkEnd w:id="56"/>
      <w:bookmarkEnd w:id="57"/>
      <w:bookmarkEnd w:id="58"/>
      <w:bookmarkEnd w:id="59"/>
    </w:p>
    <w:p w14:paraId="1DFC844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监督部门：</w:t>
      </w:r>
      <w:r>
        <w:rPr>
          <w:rFonts w:hint="eastAsia" w:cs="Times New Roman"/>
          <w:color w:val="auto"/>
          <w:sz w:val="24"/>
          <w:szCs w:val="24"/>
          <w:highlight w:val="none"/>
          <w:u w:val="single"/>
          <w:lang w:eastAsia="zh-CN"/>
        </w:rPr>
        <w:t>盖州市交通运输局</w:t>
      </w:r>
    </w:p>
    <w:p w14:paraId="04A507F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rPr>
        <w:t>盖州市清河大街政府2号楼</w:t>
      </w:r>
    </w:p>
    <w:p w14:paraId="5BDAE552">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邮编：</w:t>
      </w:r>
      <w:r>
        <w:rPr>
          <w:rFonts w:hint="eastAsia" w:eastAsia="黑体" w:cs="Times New Roman"/>
          <w:color w:val="auto"/>
          <w:sz w:val="24"/>
          <w:szCs w:val="24"/>
          <w:highlight w:val="none"/>
          <w:u w:val="single"/>
          <w:lang w:val="en-US" w:eastAsia="zh-CN"/>
        </w:rPr>
        <w:t xml:space="preserve"> 115200 </w:t>
      </w:r>
    </w:p>
    <w:p w14:paraId="64D6D4A9">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联系人：</w:t>
      </w:r>
      <w:r>
        <w:rPr>
          <w:rFonts w:hint="eastAsia" w:cs="Times New Roman"/>
          <w:color w:val="auto"/>
          <w:sz w:val="24"/>
          <w:szCs w:val="24"/>
          <w:highlight w:val="none"/>
          <w:u w:val="single"/>
          <w:lang w:val="en-US" w:eastAsia="zh-CN"/>
        </w:rPr>
        <w:t xml:space="preserve"> 任文宇 </w:t>
      </w:r>
    </w:p>
    <w:p w14:paraId="188CA0FC">
      <w:pPr>
        <w:keepNext w:val="0"/>
        <w:keepLines w:val="0"/>
        <w:pageBreakBefore w:val="0"/>
        <w:widowControl w:val="0"/>
        <w:tabs>
          <w:tab w:val="left" w:pos="7403"/>
        </w:tabs>
        <w:kinsoku/>
        <w:wordWrap w:val="0"/>
        <w:overflowPunct/>
        <w:topLinePunct/>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default" w:ascii="Times New Roman" w:hAnsi="Times New Roman" w:cs="Times New Roman"/>
          <w:color w:val="auto"/>
          <w:sz w:val="24"/>
          <w:szCs w:val="24"/>
          <w:highlight w:val="none"/>
        </w:rPr>
        <w:t>电话：</w:t>
      </w:r>
      <w:r>
        <w:rPr>
          <w:rFonts w:hint="eastAsia" w:cs="Times New Roman"/>
          <w:color w:val="auto"/>
          <w:sz w:val="24"/>
          <w:szCs w:val="24"/>
          <w:highlight w:val="none"/>
          <w:u w:val="single"/>
          <w:lang w:val="en-US" w:eastAsia="zh-CN"/>
        </w:rPr>
        <w:t xml:space="preserve"> 0417-7812343</w:t>
      </w:r>
    </w:p>
    <w:p w14:paraId="428CF65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0516534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eastAsia="黑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电子邮件：</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2F6A881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eastAsia="黑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网址：</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3D170D1F">
      <w:pPr>
        <w:pageBreakBefore w:val="0"/>
        <w:kinsoku/>
        <w:wordWrap w:val="0"/>
        <w:topLinePunct/>
        <w:bidi w:val="0"/>
        <w:spacing w:line="400" w:lineRule="exact"/>
        <w:ind w:firstLine="480" w:firstLineChars="200"/>
        <w:rPr>
          <w:rFonts w:hint="default" w:ascii="Times New Roman" w:hAnsi="Times New Roman" w:cs="Times New Roman"/>
          <w:color w:val="auto"/>
          <w:sz w:val="24"/>
          <w:szCs w:val="24"/>
          <w:highlight w:val="none"/>
        </w:rPr>
      </w:pPr>
    </w:p>
    <w:p w14:paraId="79F2FA8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招标人：</w:t>
      </w:r>
      <w:r>
        <w:rPr>
          <w:rFonts w:hint="eastAsia" w:ascii="Times New Roman" w:hAnsi="Times New Roman" w:cs="Times New Roman"/>
          <w:color w:val="auto"/>
          <w:sz w:val="24"/>
          <w:szCs w:val="24"/>
          <w:highlight w:val="none"/>
          <w:u w:val="single"/>
          <w:lang w:val="en-US" w:eastAsia="zh-CN"/>
        </w:rPr>
        <w:t>盖州市交通运输服务中心</w:t>
      </w:r>
    </w:p>
    <w:p w14:paraId="423A482A">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地址：</w:t>
      </w:r>
      <w:r>
        <w:rPr>
          <w:rFonts w:hint="eastAsia" w:ascii="Times New Roman" w:hAnsi="Times New Roman" w:cs="Times New Roman"/>
          <w:color w:val="auto"/>
          <w:sz w:val="24"/>
          <w:szCs w:val="24"/>
          <w:highlight w:val="none"/>
          <w:u w:val="single"/>
          <w:lang w:val="en-US" w:eastAsia="zh-CN"/>
        </w:rPr>
        <w:t>盖州市盖州路108号</w:t>
      </w:r>
    </w:p>
    <w:p w14:paraId="4AAD7692">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邮编：</w:t>
      </w:r>
      <w:r>
        <w:rPr>
          <w:rFonts w:hint="eastAsia" w:ascii="Times New Roman" w:hAnsi="Times New Roman" w:cs="Times New Roman"/>
          <w:color w:val="auto"/>
          <w:sz w:val="24"/>
          <w:szCs w:val="24"/>
          <w:highlight w:val="none"/>
          <w:u w:val="single"/>
          <w:lang w:val="en-US" w:eastAsia="zh-CN"/>
        </w:rPr>
        <w:t xml:space="preserve"> 115200 </w:t>
      </w:r>
    </w:p>
    <w:p w14:paraId="1ED84D0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联系人：</w:t>
      </w:r>
      <w:r>
        <w:rPr>
          <w:rFonts w:hint="eastAsia" w:cs="Times New Roman"/>
          <w:color w:val="auto"/>
          <w:sz w:val="24"/>
          <w:szCs w:val="24"/>
          <w:highlight w:val="none"/>
          <w:u w:val="single"/>
          <w:lang w:val="en-US" w:eastAsia="zh-CN"/>
        </w:rPr>
        <w:t xml:space="preserve"> 万恒举 </w:t>
      </w:r>
    </w:p>
    <w:p w14:paraId="25DA680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电话：</w:t>
      </w:r>
      <w:bookmarkStart w:id="60" w:name="_Toc369531496"/>
      <w:bookmarkStart w:id="61" w:name="_Toc352691454"/>
      <w:bookmarkStart w:id="62" w:name="_Toc361508561"/>
      <w:bookmarkStart w:id="63" w:name="_Toc247527534"/>
      <w:bookmarkStart w:id="64" w:name="_Toc3520"/>
      <w:bookmarkStart w:id="65" w:name="_Toc247513933"/>
      <w:bookmarkStart w:id="66" w:name="_Toc384308186"/>
      <w:bookmarkStart w:id="67" w:name="_Toc300834928"/>
      <w:r>
        <w:rPr>
          <w:rFonts w:hint="eastAsia" w:ascii="Times New Roman" w:hAnsi="Times New Roman" w:cs="Times New Roman"/>
          <w:color w:val="auto"/>
          <w:sz w:val="24"/>
          <w:szCs w:val="24"/>
          <w:highlight w:val="none"/>
          <w:u w:val="single"/>
          <w:lang w:val="en-US" w:eastAsia="zh-CN"/>
        </w:rPr>
        <w:t xml:space="preserve"> 0417</w:t>
      </w:r>
      <w:bookmarkEnd w:id="60"/>
      <w:bookmarkEnd w:id="61"/>
      <w:bookmarkEnd w:id="62"/>
      <w:bookmarkEnd w:id="63"/>
      <w:bookmarkEnd w:id="64"/>
      <w:bookmarkEnd w:id="65"/>
      <w:bookmarkEnd w:id="66"/>
      <w:bookmarkEnd w:id="67"/>
      <w:r>
        <w:rPr>
          <w:rFonts w:hint="eastAsia" w:ascii="Times New Roman" w:hAnsi="Times New Roman" w:cs="Times New Roman"/>
          <w:color w:val="auto"/>
          <w:sz w:val="24"/>
          <w:szCs w:val="24"/>
          <w:highlight w:val="none"/>
          <w:u w:val="single"/>
          <w:lang w:val="en-US" w:eastAsia="zh-CN"/>
        </w:rPr>
        <w:t>-</w:t>
      </w:r>
      <w:r>
        <w:rPr>
          <w:rFonts w:hint="eastAsia" w:cs="Times New Roman"/>
          <w:color w:val="auto"/>
          <w:sz w:val="24"/>
          <w:szCs w:val="24"/>
          <w:highlight w:val="none"/>
          <w:u w:val="single"/>
          <w:lang w:val="en-US" w:eastAsia="zh-CN"/>
        </w:rPr>
        <w:t>7690866</w:t>
      </w:r>
    </w:p>
    <w:p w14:paraId="51DD115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0257F46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eastAsia="黑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电子邮件：</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74B1682D">
      <w:pPr>
        <w:pageBreakBefore w:val="0"/>
        <w:kinsoku/>
        <w:wordWrap w:val="0"/>
        <w:topLinePunct/>
        <w:bidi w:val="0"/>
        <w:spacing w:line="400" w:lineRule="exact"/>
        <w:ind w:firstLine="480" w:firstLineChars="200"/>
        <w:rPr>
          <w:rFonts w:hint="eastAsia" w:eastAsia="黑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网址：</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01FD3776">
      <w:pPr>
        <w:pageBreakBefore w:val="0"/>
        <w:kinsoku/>
        <w:wordWrap w:val="0"/>
        <w:topLinePunct/>
        <w:bidi w:val="0"/>
        <w:spacing w:line="400" w:lineRule="exact"/>
        <w:ind w:firstLine="480" w:firstLineChars="200"/>
        <w:rPr>
          <w:rFonts w:hint="default" w:eastAsia="黑体" w:cs="Times New Roman"/>
          <w:color w:val="auto"/>
          <w:sz w:val="24"/>
          <w:szCs w:val="24"/>
          <w:highlight w:val="none"/>
          <w:u w:val="single"/>
          <w:lang w:val="en-US" w:eastAsia="zh-CN"/>
        </w:rPr>
      </w:pPr>
    </w:p>
    <w:p w14:paraId="2BF5738F">
      <w:pPr>
        <w:pageBreakBefore w:val="0"/>
        <w:kinsoku/>
        <w:wordWrap w:val="0"/>
        <w:topLinePunct/>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招标代理机构</w:t>
      </w:r>
      <w:r>
        <w:rPr>
          <w:rFonts w:hint="default" w:ascii="Times New Roman" w:hAnsi="Times New Roman" w:cs="Times New Roman"/>
          <w:color w:val="auto"/>
          <w:sz w:val="24"/>
          <w:szCs w:val="24"/>
          <w:highlight w:val="none"/>
        </w:rPr>
        <w:t>：</w:t>
      </w:r>
      <w:r>
        <w:rPr>
          <w:rFonts w:hint="eastAsia" w:ascii="宋体" w:hAnsi="宋体" w:cs="宋体"/>
          <w:color w:val="auto"/>
          <w:sz w:val="24"/>
          <w:szCs w:val="24"/>
          <w:highlight w:val="none"/>
          <w:u w:val="single"/>
          <w:lang w:val="en-US" w:eastAsia="zh-CN"/>
        </w:rPr>
        <w:t>辽宁巨鸿建设工程造价咨询有限公司</w:t>
      </w:r>
    </w:p>
    <w:p w14:paraId="74524F37">
      <w:pPr>
        <w:pageBreakBefore w:val="0"/>
        <w:kinsoku/>
        <w:wordWrap w:val="0"/>
        <w:topLinePunct/>
        <w:bidi w:val="0"/>
        <w:spacing w:line="400" w:lineRule="exact"/>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lang w:val="en-US" w:eastAsia="zh-CN"/>
        </w:rPr>
        <w:t>辽宁省营口北海经济开发区管理委员会办公楼8楼801室</w:t>
      </w:r>
    </w:p>
    <w:p w14:paraId="37B43B1C">
      <w:pPr>
        <w:pageBreakBefore w:val="0"/>
        <w:kinsoku/>
        <w:wordWrap w:val="0"/>
        <w:topLinePunct/>
        <w:bidi w:val="0"/>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邮编：</w:t>
      </w:r>
      <w:r>
        <w:rPr>
          <w:rFonts w:hint="eastAsia"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115211 </w:t>
      </w:r>
      <w:r>
        <w:rPr>
          <w:rFonts w:hint="eastAsia" w:ascii="宋体" w:hAnsi="宋体" w:cs="宋体"/>
          <w:color w:val="auto"/>
          <w:sz w:val="24"/>
          <w:szCs w:val="24"/>
          <w:highlight w:val="none"/>
          <w:u w:val="single"/>
          <w:lang w:val="en-US" w:eastAsia="zh-CN"/>
        </w:rPr>
        <w:t xml:space="preserve">        </w:t>
      </w:r>
    </w:p>
    <w:p w14:paraId="13E60AF1">
      <w:pPr>
        <w:pageBreakBefore w:val="0"/>
        <w:kinsoku/>
        <w:wordWrap w:val="0"/>
        <w:topLinePunct/>
        <w:bidi w:val="0"/>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联系人：</w:t>
      </w:r>
      <w:r>
        <w:rPr>
          <w:rFonts w:hint="eastAsia" w:cs="Times New Roman"/>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张永波         </w:t>
      </w:r>
    </w:p>
    <w:p w14:paraId="089A7DC4">
      <w:pPr>
        <w:pageBreakBefore w:val="0"/>
        <w:kinsoku/>
        <w:wordWrap w:val="0"/>
        <w:topLinePunct/>
        <w:bidi w:val="0"/>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电话：</w:t>
      </w:r>
      <w:r>
        <w:rPr>
          <w:rFonts w:hint="eastAsia" w:cs="Times New Roman"/>
          <w:color w:val="auto"/>
          <w:sz w:val="24"/>
          <w:szCs w:val="24"/>
          <w:highlight w:val="none"/>
          <w:u w:val="single"/>
          <w:lang w:val="en-US" w:eastAsia="zh-CN"/>
        </w:rPr>
        <w:t xml:space="preserve">    0417-7748888</w:t>
      </w:r>
      <w:r>
        <w:rPr>
          <w:rFonts w:hint="eastAsia" w:ascii="Times New Roman" w:hAnsi="Times New Roman" w:cs="Times New Roman"/>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2B45DF53">
      <w:pPr>
        <w:pageBreakBefore w:val="0"/>
        <w:kinsoku/>
        <w:wordWrap w:val="0"/>
        <w:topLinePunct/>
        <w:bidi w:val="0"/>
        <w:spacing w:line="400" w:lineRule="exact"/>
        <w:ind w:firstLine="480" w:firstLineChars="200"/>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7527DC57">
      <w:pPr>
        <w:pageBreakBefore w:val="0"/>
        <w:kinsoku/>
        <w:wordWrap w:val="0"/>
        <w:topLinePunct/>
        <w:bidi w:val="0"/>
        <w:spacing w:line="400" w:lineRule="exact"/>
        <w:ind w:firstLine="480" w:firstLineChars="200"/>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电子邮件：</w:t>
      </w:r>
      <w:r>
        <w:rPr>
          <w:rFonts w:hint="default" w:ascii="Times New Roman" w:hAnsi="Times New Roman" w:cs="Times New Roman"/>
          <w:color w:val="auto"/>
          <w:sz w:val="24"/>
          <w:szCs w:val="24"/>
          <w:highlight w:val="none"/>
          <w:u w:val="single"/>
        </w:rPr>
        <w:t>lnjhzbdl@163.com</w:t>
      </w:r>
    </w:p>
    <w:p w14:paraId="0FDCFD1A">
      <w:pPr>
        <w:pageBreakBefore w:val="0"/>
        <w:kinsoku/>
        <w:wordWrap w:val="0"/>
        <w:topLinePunct/>
        <w:bidi w:val="0"/>
        <w:spacing w:line="400" w:lineRule="atLeast"/>
        <w:ind w:firstLine="480" w:firstLineChars="200"/>
        <w:rPr>
          <w:rFonts w:hint="default" w:ascii="Times New Roman" w:hAnsi="Times New Roman" w:eastAsia="黑体" w:cs="Times New Roman"/>
          <w:color w:val="auto"/>
          <w:sz w:val="24"/>
          <w:highlight w:val="none"/>
          <w:lang w:val="en-US" w:eastAsia="zh-CN"/>
        </w:rPr>
      </w:pPr>
      <w:r>
        <w:rPr>
          <w:rFonts w:hint="default" w:ascii="Times New Roman" w:hAnsi="Times New Roman" w:cs="Times New Roman"/>
          <w:color w:val="auto"/>
          <w:sz w:val="24"/>
          <w:szCs w:val="24"/>
          <w:highlight w:val="none"/>
        </w:rPr>
        <w:t>网址：</w:t>
      </w:r>
      <w:r>
        <w:rPr>
          <w:rFonts w:hint="eastAsia" w:eastAsia="黑体" w:cs="Times New Roman"/>
          <w:color w:val="auto"/>
          <w:sz w:val="24"/>
          <w:szCs w:val="24"/>
          <w:highlight w:val="none"/>
          <w:u w:val="single"/>
          <w:lang w:val="en-US" w:eastAsia="zh-CN"/>
        </w:rPr>
        <w:t xml:space="preserve">         /          </w:t>
      </w:r>
    </w:p>
    <w:p w14:paraId="0D104629">
      <w:pPr>
        <w:pageBreakBefore w:val="0"/>
        <w:widowControl/>
        <w:kinsoku/>
        <w:wordWrap w:val="0"/>
        <w:bidi w:val="0"/>
        <w:ind w:firstLine="960" w:firstLineChars="4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6CF4ACCC">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t>　　</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8FFDF8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5CC5B88F">
      <w:pP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29"/>
          <w:szCs w:val="29"/>
          <w:highlight w:val="none"/>
        </w:rPr>
        <w:br w:type="page"/>
      </w:r>
    </w:p>
    <w:p w14:paraId="50A1E67F">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4DCBFEB9">
      <w:pPr>
        <w:pageBreakBefore w:val="0"/>
        <w:kinsoku/>
        <w:wordWrap w:val="0"/>
        <w:topLinePunct/>
        <w:bidi w:val="0"/>
        <w:spacing w:line="440" w:lineRule="exact"/>
        <w:ind w:right="31" w:rightChars="15"/>
        <w:rPr>
          <w:rFonts w:hint="default" w:ascii="Times New Roman" w:hAnsi="Times New Roman" w:eastAsia="黑体" w:cs="Times New Roman"/>
          <w:color w:val="auto"/>
          <w:sz w:val="29"/>
          <w:szCs w:val="29"/>
          <w:highlight w:val="none"/>
        </w:rPr>
      </w:pPr>
    </w:p>
    <w:p w14:paraId="559286E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38AEB800">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16D841E8">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27CAB46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D48F07C">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1CA6845E">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4502DBDE">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53293682">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56"/>
          <w:szCs w:val="56"/>
          <w:highlight w:val="none"/>
        </w:rPr>
      </w:pPr>
      <w:bookmarkStart w:id="68" w:name="_Toc31908"/>
      <w:bookmarkStart w:id="69" w:name="_Toc11201"/>
      <w:r>
        <w:rPr>
          <w:rFonts w:hint="default" w:ascii="Times New Roman" w:hAnsi="Times New Roman" w:eastAsia="黑体" w:cs="Times New Roman"/>
          <w:color w:val="auto"/>
          <w:sz w:val="56"/>
          <w:szCs w:val="56"/>
          <w:highlight w:val="none"/>
        </w:rPr>
        <w:t>第二章</w:t>
      </w:r>
      <w:r>
        <w:rPr>
          <w:rFonts w:hint="eastAsia" w:ascii="Times New Roman" w:hAnsi="Times New Roman"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投标人须知</w:t>
      </w:r>
      <w:bookmarkEnd w:id="68"/>
      <w:bookmarkEnd w:id="69"/>
    </w:p>
    <w:p w14:paraId="48702411">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48837A9A">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sectPr>
          <w:headerReference r:id="rId15" w:type="default"/>
          <w:footerReference r:id="rId17" w:type="default"/>
          <w:headerReference r:id="rId16" w:type="even"/>
          <w:footerReference r:id="rId18"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65E9556B">
      <w:pPr>
        <w:pageBreakBefore w:val="0"/>
        <w:kinsoku/>
        <w:wordWrap w:val="0"/>
        <w:bidi w:val="0"/>
        <w:spacing w:line="440" w:lineRule="exact"/>
        <w:jc w:val="center"/>
        <w:outlineLvl w:val="9"/>
        <w:rPr>
          <w:rStyle w:val="54"/>
          <w:rFonts w:hint="default" w:ascii="Times New Roman" w:hAnsi="Times New Roman" w:eastAsia="黑体" w:cs="Times New Roman"/>
          <w:color w:val="auto"/>
          <w:sz w:val="42"/>
          <w:szCs w:val="42"/>
          <w:highlight w:val="none"/>
        </w:rPr>
      </w:pPr>
      <w:bookmarkStart w:id="70" w:name="_Toc10289"/>
      <w:bookmarkStart w:id="71" w:name="_Toc9806"/>
      <w:bookmarkStart w:id="72" w:name="_Toc234832861"/>
      <w:bookmarkStart w:id="73" w:name="_Toc15806"/>
      <w:bookmarkStart w:id="74" w:name="_Toc22430"/>
      <w:r>
        <w:rPr>
          <w:rStyle w:val="54"/>
          <w:rFonts w:hint="default" w:ascii="Times New Roman" w:hAnsi="Times New Roman" w:eastAsia="黑体" w:cs="Times New Roman"/>
          <w:color w:val="auto"/>
          <w:sz w:val="42"/>
          <w:szCs w:val="42"/>
          <w:highlight w:val="none"/>
        </w:rPr>
        <w:t>第二章</w:t>
      </w:r>
      <w:r>
        <w:rPr>
          <w:rStyle w:val="54"/>
          <w:rFonts w:hint="eastAsia" w:eastAsia="黑体" w:cs="Times New Roman"/>
          <w:color w:val="auto"/>
          <w:sz w:val="42"/>
          <w:szCs w:val="42"/>
          <w:highlight w:val="none"/>
          <w:lang w:val="en-US"/>
        </w:rPr>
        <w:t xml:space="preserve"> </w:t>
      </w:r>
      <w:r>
        <w:rPr>
          <w:rStyle w:val="54"/>
          <w:rFonts w:hint="default" w:ascii="Times New Roman" w:hAnsi="Times New Roman" w:eastAsia="黑体" w:cs="Times New Roman"/>
          <w:color w:val="auto"/>
          <w:sz w:val="42"/>
          <w:szCs w:val="42"/>
          <w:highlight w:val="none"/>
        </w:rPr>
        <w:t>投标人须知</w:t>
      </w:r>
      <w:bookmarkEnd w:id="70"/>
      <w:bookmarkEnd w:id="71"/>
      <w:bookmarkEnd w:id="72"/>
    </w:p>
    <w:bookmarkEnd w:id="73"/>
    <w:bookmarkEnd w:id="74"/>
    <w:p w14:paraId="047A5BB3">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eastAsia" w:ascii="黑体" w:hAnsi="黑体" w:eastAsia="黑体" w:cs="黑体"/>
          <w:b w:val="0"/>
          <w:bCs/>
          <w:i w:val="0"/>
          <w:iCs w:val="0"/>
          <w:color w:val="auto"/>
          <w:sz w:val="28"/>
          <w:szCs w:val="28"/>
          <w:highlight w:val="none"/>
        </w:rPr>
      </w:pPr>
      <w:bookmarkStart w:id="75" w:name="_Toc4367"/>
      <w:bookmarkStart w:id="76" w:name="_Toc29020"/>
      <w:bookmarkStart w:id="77" w:name="_Toc20369"/>
      <w:bookmarkStart w:id="78" w:name="_Toc29274"/>
      <w:bookmarkStart w:id="79" w:name="_Toc234832862"/>
      <w:r>
        <w:rPr>
          <w:rFonts w:hint="eastAsia" w:ascii="黑体" w:hAnsi="黑体" w:eastAsia="黑体" w:cs="黑体"/>
          <w:b w:val="0"/>
          <w:bCs/>
          <w:i w:val="0"/>
          <w:iCs w:val="0"/>
          <w:color w:val="auto"/>
          <w:sz w:val="28"/>
          <w:szCs w:val="28"/>
          <w:highlight w:val="none"/>
        </w:rPr>
        <w:t>投标人须知前附表</w:t>
      </w:r>
      <w:r>
        <w:rPr>
          <w:rStyle w:val="48"/>
          <w:rFonts w:hint="eastAsia" w:ascii="黑体" w:hAnsi="黑体" w:eastAsia="黑体" w:cs="黑体"/>
          <w:b w:val="0"/>
          <w:bCs/>
          <w:i w:val="0"/>
          <w:iCs w:val="0"/>
          <w:color w:val="auto"/>
          <w:sz w:val="28"/>
          <w:szCs w:val="28"/>
          <w:highlight w:val="none"/>
        </w:rPr>
        <w:footnoteReference w:id="0"/>
      </w:r>
      <w:bookmarkEnd w:id="75"/>
      <w:bookmarkEnd w:id="76"/>
      <w:bookmarkEnd w:id="77"/>
      <w:bookmarkEnd w:id="78"/>
      <w:bookmarkEnd w:id="79"/>
    </w:p>
    <w:tbl>
      <w:tblPr>
        <w:tblStyle w:val="40"/>
        <w:tblW w:w="9216" w:type="dxa"/>
        <w:tblInd w:w="0" w:type="dxa"/>
        <w:tblLayout w:type="fixed"/>
        <w:tblCellMar>
          <w:top w:w="0" w:type="dxa"/>
          <w:left w:w="108" w:type="dxa"/>
          <w:bottom w:w="0" w:type="dxa"/>
          <w:right w:w="108" w:type="dxa"/>
        </w:tblCellMar>
      </w:tblPr>
      <w:tblGrid>
        <w:gridCol w:w="1036"/>
        <w:gridCol w:w="2779"/>
        <w:gridCol w:w="5401"/>
      </w:tblGrid>
      <w:tr w14:paraId="5525B28C">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1D557085">
            <w:pPr>
              <w:pageBreakBefore w:val="0"/>
              <w:kinsoku/>
              <w:wordWrap w:val="0"/>
              <w:bidi w:val="0"/>
              <w:spacing w:line="44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09766A1E">
            <w:pPr>
              <w:pageBreakBefore w:val="0"/>
              <w:kinsoku/>
              <w:wordWrap w:val="0"/>
              <w:bidi w:val="0"/>
              <w:spacing w:line="44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条款名称</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3A7FA39">
            <w:pPr>
              <w:pageBreakBefore w:val="0"/>
              <w:kinsoku/>
              <w:wordWrap w:val="0"/>
              <w:bidi w:val="0"/>
              <w:spacing w:line="44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编列内容</w:t>
            </w:r>
          </w:p>
        </w:tc>
      </w:tr>
      <w:tr w14:paraId="4E895BB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98685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885C6C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招标人</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844E869">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B4489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6F685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1.1.3</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C5A1D0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招标代理机构</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A8E4169">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CA285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0FA89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1.1.4</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00DED3C6">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招标项目名称</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135690F">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7C92AE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291477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1.1.5</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15A1C83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标段建设地点</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7B2A82C5">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4862A7E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6B626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2323CF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资金来源及比例</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49D12B6">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0BBC3E3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C8A0A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7CFB58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资金落实情况</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C4BF00B">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06B0912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EF4B411">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5E25540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招标范围</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7F3ED51">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0F28689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ED933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1EE47A8C">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计划工期</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C507577">
            <w:pP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1F2CB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7403B1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1.3.3</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980BB56">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质量要求</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4652800">
            <w:pPr>
              <w:pStyle w:val="16"/>
              <w:pageBreakBefore w:val="0"/>
              <w:kinsoku/>
              <w:wordWrap w:val="0"/>
              <w:topLinePunct/>
              <w:bidi w:val="0"/>
              <w:spacing w:line="360" w:lineRule="atLeast"/>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标段工程交工验收的质量评定：</w:t>
            </w:r>
            <w:r>
              <w:rPr>
                <w:rFonts w:hint="default" w:ascii="Times New Roman" w:hAnsi="Times New Roman" w:cs="Times New Roman"/>
                <w:color w:val="auto"/>
                <w:sz w:val="24"/>
                <w:szCs w:val="24"/>
                <w:highlight w:val="none"/>
                <w:u w:val="single"/>
              </w:rPr>
              <w:t>合格</w:t>
            </w:r>
          </w:p>
          <w:p w14:paraId="2F9128B5">
            <w:pPr>
              <w:pStyle w:val="16"/>
              <w:pageBreakBefore w:val="0"/>
              <w:kinsoku/>
              <w:wordWrap w:val="0"/>
              <w:topLinePunct/>
              <w:bidi w:val="0"/>
              <w:spacing w:line="440" w:lineRule="exact"/>
              <w:rPr>
                <w:rFonts w:hint="eastAsia"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竣工验收的质量评定：</w:t>
            </w:r>
            <w:r>
              <w:rPr>
                <w:rFonts w:hint="default" w:ascii="Times New Roman" w:hAnsi="Times New Roman" w:cs="Times New Roman"/>
                <w:color w:val="auto"/>
                <w:sz w:val="24"/>
                <w:szCs w:val="24"/>
                <w:highlight w:val="none"/>
                <w:u w:val="single"/>
              </w:rPr>
              <w:t>合格</w:t>
            </w:r>
          </w:p>
        </w:tc>
      </w:tr>
      <w:tr w14:paraId="7B47F7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A54CC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1.3.4</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104DDED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安全目标</w:t>
            </w:r>
            <w:r>
              <w:rPr>
                <w:rStyle w:val="48"/>
                <w:rFonts w:hint="default" w:ascii="Times New Roman" w:hAnsi="Times New Roman" w:eastAsia="黑体" w:cs="Times New Roman"/>
                <w:color w:val="auto"/>
                <w:sz w:val="24"/>
                <w:szCs w:val="24"/>
                <w:highlight w:val="none"/>
              </w:rPr>
              <w:footnoteReference w:id="1"/>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817854B">
            <w:pPr>
              <w:pStyle w:val="16"/>
              <w:pageBreakBefore w:val="0"/>
              <w:numPr>
                <w:ilvl w:val="0"/>
                <w:numId w:val="0"/>
              </w:numPr>
              <w:kinsoku/>
              <w:wordWrap w:val="0"/>
              <w:topLinePunct/>
              <w:bidi w:val="0"/>
              <w:spacing w:line="360" w:lineRule="atLeast"/>
              <w:rPr>
                <w:rFonts w:hint="eastAsia" w:ascii="Times New Roman"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（1）安全生产“零死亡”；</w:t>
            </w:r>
          </w:p>
          <w:p w14:paraId="0646D0AA">
            <w:pPr>
              <w:pStyle w:val="16"/>
              <w:pageBreakBefore w:val="0"/>
              <w:numPr>
                <w:ilvl w:val="-1"/>
                <w:numId w:val="0"/>
              </w:numPr>
              <w:kinsoku/>
              <w:wordWrap w:val="0"/>
              <w:topLinePunct/>
              <w:bidi w:val="0"/>
              <w:spacing w:line="440" w:lineRule="exact"/>
              <w:rPr>
                <w:rFonts w:hint="default" w:ascii="Times New Roman"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（2）其他：</w:t>
            </w:r>
            <w:r>
              <w:rPr>
                <w:rFonts w:hint="eastAsia" w:ascii="Times New Roman" w:cs="Times New Roman"/>
                <w:color w:val="auto"/>
                <w:sz w:val="24"/>
                <w:szCs w:val="24"/>
                <w:highlight w:val="none"/>
                <w:u w:val="single"/>
                <w:lang w:val="en-US" w:eastAsia="zh-CN"/>
              </w:rPr>
              <w:t xml:space="preserve">     /       </w:t>
            </w:r>
          </w:p>
        </w:tc>
      </w:tr>
      <w:tr w14:paraId="3DFFC7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45F097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0C30638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投标人资质条件、能力和信誉</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E7EFDA6">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资质要求</w:t>
            </w:r>
            <w:r>
              <w:rPr>
                <w:rFonts w:hint="default" w:ascii="Times New Roman" w:hAnsi="Times New Roman" w:eastAsia="宋体" w:cs="Times New Roman"/>
                <w:color w:val="auto"/>
                <w:sz w:val="24"/>
                <w:szCs w:val="24"/>
                <w:highlight w:val="none"/>
              </w:rPr>
              <w:t>：见附录1</w:t>
            </w:r>
          </w:p>
          <w:p w14:paraId="7B77EB4D">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财务要求：见附录2</w:t>
            </w:r>
          </w:p>
          <w:p w14:paraId="313858D6">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业绩要求：见附录3</w:t>
            </w:r>
          </w:p>
          <w:p w14:paraId="05BAA2C6">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信誉要求：见附录4</w:t>
            </w:r>
          </w:p>
          <w:p w14:paraId="5555C800">
            <w:pPr>
              <w:pStyle w:val="16"/>
              <w:pageBreakBefore w:val="0"/>
              <w:kinsoku/>
              <w:wordWrap w:val="0"/>
              <w:topLinePunct/>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项目经理和项目总工资格</w:t>
            </w:r>
            <w:r>
              <w:rPr>
                <w:rFonts w:hint="default" w:ascii="Times New Roman" w:hAnsi="Times New Roman" w:eastAsia="宋体" w:cs="Times New Roman"/>
                <w:color w:val="auto"/>
                <w:sz w:val="24"/>
                <w:szCs w:val="24"/>
                <w:highlight w:val="none"/>
              </w:rPr>
              <w:t>：见附录5</w:t>
            </w:r>
          </w:p>
          <w:p w14:paraId="56B1F652">
            <w:pPr>
              <w:pageBreakBefore w:val="0"/>
              <w:kinsoku/>
              <w:wordWrap w:val="0"/>
              <w:bidi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其他要求：</w:t>
            </w:r>
            <w:r>
              <w:rPr>
                <w:rStyle w:val="48"/>
                <w:rFonts w:hint="default" w:ascii="Times New Roman" w:hAnsi="Times New Roman" w:eastAsia="黑体" w:cs="Times New Roman"/>
                <w:color w:val="auto"/>
                <w:sz w:val="24"/>
                <w:szCs w:val="24"/>
                <w:highlight w:val="none"/>
              </w:rPr>
              <w:footnoteReference w:id="2"/>
            </w:r>
            <w:r>
              <w:rPr>
                <w:rFonts w:hint="eastAsia" w:cs="Times New Roman"/>
                <w:color w:val="auto"/>
                <w:sz w:val="24"/>
                <w:szCs w:val="24"/>
                <w:highlight w:val="none"/>
                <w:u w:val="single"/>
                <w:lang w:val="en-US" w:eastAsia="zh-CN"/>
              </w:rPr>
              <w:t xml:space="preserve"> / </w:t>
            </w:r>
          </w:p>
        </w:tc>
      </w:tr>
      <w:tr w14:paraId="620F995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F252B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6131086">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是否接受联合体投标</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BC1E7AB">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不接受</w:t>
            </w:r>
          </w:p>
        </w:tc>
      </w:tr>
      <w:tr w14:paraId="4C50D71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C7E622C">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1.4.3</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7BF1A6D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投标人不得存在的其他关联情形</w:t>
            </w: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71652E">
            <w:pPr>
              <w:pageBreakBefore w:val="0"/>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与招标人存在利害关系可能影响招标公正性的单位，不得参加投标。单位负责人为同一人或存在控股、管理关系的不同单位，不得参加同</w:t>
            </w:r>
            <w:r>
              <w:rPr>
                <w:rFonts w:hint="eastAsia" w:cs="Times New Roman"/>
                <w:color w:val="auto"/>
                <w:sz w:val="24"/>
                <w:szCs w:val="24"/>
                <w:highlight w:val="none"/>
                <w:lang w:val="en-US" w:eastAsia="zh-CN"/>
              </w:rPr>
              <w:t>一标段</w:t>
            </w:r>
            <w:r>
              <w:rPr>
                <w:rFonts w:hint="eastAsia" w:ascii="Times New Roman" w:hAnsi="Times New Roman" w:eastAsia="宋体" w:cs="Times New Roman"/>
                <w:color w:val="auto"/>
                <w:sz w:val="24"/>
                <w:szCs w:val="24"/>
                <w:highlight w:val="none"/>
                <w:lang w:val="en-US" w:eastAsia="zh-CN"/>
              </w:rPr>
              <w:t>投标，否则相关投标均无效。</w:t>
            </w:r>
          </w:p>
        </w:tc>
      </w:tr>
      <w:tr w14:paraId="39EE75A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582BA5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1.4.4</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DE9F4B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投标人不得存在的其他不良状况或不良信用记录</w:t>
            </w: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DB40A1">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cs="Times New Roman"/>
                <w:color w:val="auto"/>
                <w:sz w:val="24"/>
                <w:szCs w:val="24"/>
                <w:highlight w:val="none"/>
              </w:rPr>
              <w:t>被省级及以上交通运输主管部门取消招标项目所在地的投标资格且处于有效期内；</w:t>
            </w:r>
          </w:p>
          <w:p w14:paraId="65B49EFC">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（2）被责令停业，暂扣或吊销执照，或吊销资质证书；</w:t>
            </w:r>
          </w:p>
          <w:p w14:paraId="4B6C438E">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（3）进入清算程序，或被宣告破产，或其他丧失履约能力的情形；</w:t>
            </w:r>
          </w:p>
          <w:p w14:paraId="5B0BE75A">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（4）在国家企业信用信息公示系统（http：//www.gsxt.gov.cn）中被列入严重违法失信企业名单；</w:t>
            </w:r>
          </w:p>
          <w:p w14:paraId="1E408DB3">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（5）在“信用中国”网站（http：//www.creditchina.gov.cn）中被列入失信被执行人名单；</w:t>
            </w:r>
          </w:p>
          <w:p w14:paraId="3FA86B52">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（6）投标人或其法定代表人、拟委任的项目经理在近三年内有行贿犯罪行为的；</w:t>
            </w:r>
          </w:p>
          <w:p w14:paraId="4DFFCBFF">
            <w:pPr>
              <w:pageBreakBefore w:val="0"/>
              <w:numPr>
                <w:ilvl w:val="0"/>
                <w:numId w:val="0"/>
              </w:numPr>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（7）投标人在以往工程未因拖欠农民工工资、材料采购、工程分包款等，而受到省级有关部门的通报；</w:t>
            </w:r>
          </w:p>
          <w:p w14:paraId="397CAE71">
            <w:pPr>
              <w:pageBreakBefore w:val="0"/>
              <w:numPr>
                <w:ilvl w:val="0"/>
                <w:numId w:val="0"/>
              </w:numPr>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（8）法律法规或投标人须知前附表规定的其他情形。</w:t>
            </w:r>
          </w:p>
        </w:tc>
      </w:tr>
      <w:tr w14:paraId="7E2AB666">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01F7BAF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1.10.2</w:t>
            </w:r>
          </w:p>
        </w:tc>
        <w:tc>
          <w:tcPr>
            <w:tcW w:w="2779" w:type="dxa"/>
            <w:vMerge w:val="restart"/>
            <w:tcBorders>
              <w:top w:val="single" w:color="auto" w:sz="4" w:space="0"/>
              <w:left w:val="single" w:color="auto" w:sz="4" w:space="0"/>
              <w:right w:val="single" w:color="auto" w:sz="4" w:space="0"/>
            </w:tcBorders>
            <w:noWrap w:val="0"/>
            <w:vAlign w:val="center"/>
          </w:tcPr>
          <w:p w14:paraId="78E2CC0F">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6C4D9">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06BA87F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2FAB4984">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2779" w:type="dxa"/>
            <w:vMerge w:val="continue"/>
            <w:tcBorders>
              <w:left w:val="single" w:color="auto" w:sz="4" w:space="0"/>
              <w:bottom w:val="single" w:color="auto" w:sz="4" w:space="0"/>
              <w:right w:val="single" w:color="auto" w:sz="4" w:space="0"/>
            </w:tcBorders>
            <w:noWrap w:val="0"/>
            <w:vAlign w:val="center"/>
          </w:tcPr>
          <w:p w14:paraId="04C36145">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C8A34">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58DAE8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260A1B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1.11.1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200ECE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分包</w:t>
            </w: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21693">
            <w:pPr>
              <w:pageBreakBefore w:val="0"/>
              <w:kinsoku/>
              <w:wordWrap w:val="0"/>
              <w:bidi w:val="0"/>
              <w:spacing w:line="360" w:lineRule="atLeast"/>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不允许</w:t>
            </w:r>
          </w:p>
          <w:p w14:paraId="4227F737">
            <w:pPr>
              <w:pStyle w:val="15"/>
              <w:pageBreakBefore w:val="0"/>
              <w:kinsoku/>
              <w:wordWrap w:val="0"/>
              <w:bidi w:val="0"/>
              <w:spacing w:line="360" w:lineRule="atLeast"/>
              <w:ind w:firstLine="120" w:firstLineChars="50"/>
              <w:jc w:val="both"/>
              <w:rPr>
                <w:rFonts w:hint="eastAsia" w:ascii="Times New Roman" w:hAnsi="Times New Roman" w:eastAsia="宋体" w:cs="Times New Roman"/>
                <w:color w:val="auto"/>
                <w:kern w:val="2"/>
                <w:sz w:val="24"/>
                <w:szCs w:val="24"/>
                <w:lang w:val="en-US" w:eastAsia="zh-CN" w:bidi="ar-SA"/>
              </w:rPr>
            </w:pPr>
            <w:r>
              <w:rPr>
                <w:rFonts w:hint="eastAsia" w:cs="Times New Roman"/>
                <w:color w:val="auto"/>
                <w:sz w:val="24"/>
                <w:szCs w:val="24"/>
                <w:lang w:eastAsia="zh-CN"/>
              </w:rPr>
              <w:t>□</w:t>
            </w:r>
            <w:r>
              <w:rPr>
                <w:rFonts w:hint="eastAsia" w:ascii="宋体" w:hAnsi="宋体" w:eastAsia="宋体" w:cs="宋体"/>
                <w:color w:val="auto"/>
                <w:sz w:val="24"/>
                <w:szCs w:val="24"/>
                <w:highlight w:val="none"/>
                <w:lang w:val="en-US" w:eastAsia="zh-CN"/>
              </w:rPr>
              <w:t>允许，</w:t>
            </w:r>
            <w:r>
              <w:rPr>
                <w:rFonts w:hint="eastAsia" w:ascii="宋体" w:hAnsi="宋体" w:eastAsia="宋体" w:cs="宋体"/>
                <w:color w:val="auto"/>
                <w:sz w:val="24"/>
                <w:szCs w:val="24"/>
                <w:highlight w:val="none"/>
              </w:rPr>
              <w:t>承包人按照合同约定或者经发包人书面同意，可以将中标项目中负面清单以外的部分单位工程、分部工程或者分项工程分包给满足相应条件的其他专业施工单位完成。</w:t>
            </w:r>
          </w:p>
        </w:tc>
      </w:tr>
      <w:tr w14:paraId="50C2EE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A1FED9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B44E00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构成招标文件的其他资料</w:t>
            </w: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5538F">
            <w:pPr>
              <w:pageBreakBefore w:val="0"/>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4314300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0A27F56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w:t>
            </w:r>
          </w:p>
        </w:tc>
        <w:tc>
          <w:tcPr>
            <w:tcW w:w="2779" w:type="dxa"/>
            <w:vMerge w:val="restart"/>
            <w:tcBorders>
              <w:top w:val="single" w:color="auto" w:sz="4" w:space="0"/>
              <w:left w:val="single" w:color="auto" w:sz="4" w:space="0"/>
              <w:right w:val="single" w:color="auto" w:sz="4" w:space="0"/>
            </w:tcBorders>
            <w:noWrap w:val="0"/>
            <w:vAlign w:val="center"/>
          </w:tcPr>
          <w:p w14:paraId="377CF16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投标人要求澄清招标文件</w:t>
            </w: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4FC1C">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时间：递交投标文件截止之日</w:t>
            </w:r>
            <w:r>
              <w:rPr>
                <w:rFonts w:hint="eastAsia" w:cs="Times New Roman"/>
                <w:color w:val="auto"/>
                <w:sz w:val="24"/>
                <w:szCs w:val="24"/>
                <w:highlight w:val="none"/>
                <w:u w:val="single"/>
                <w:lang w:val="en-US" w:eastAsia="zh-CN"/>
              </w:rPr>
              <w:t>10</w:t>
            </w:r>
            <w:r>
              <w:rPr>
                <w:rFonts w:hint="default" w:ascii="Times New Roman" w:hAnsi="Times New Roman" w:cs="Times New Roman"/>
                <w:color w:val="auto"/>
                <w:sz w:val="24"/>
                <w:szCs w:val="24"/>
                <w:highlight w:val="none"/>
              </w:rPr>
              <w:t>天前（以发出时间为准）</w:t>
            </w:r>
          </w:p>
        </w:tc>
      </w:tr>
      <w:tr w14:paraId="0FD59EE6">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6DB1C808">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2779" w:type="dxa"/>
            <w:vMerge w:val="continue"/>
            <w:tcBorders>
              <w:left w:val="single" w:color="auto" w:sz="4" w:space="0"/>
              <w:bottom w:val="single" w:color="auto" w:sz="4" w:space="0"/>
              <w:right w:val="single" w:color="auto" w:sz="4" w:space="0"/>
            </w:tcBorders>
            <w:noWrap w:val="0"/>
            <w:vAlign w:val="center"/>
          </w:tcPr>
          <w:p w14:paraId="7187FEAE">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60952">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6C723EED">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2832CB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00F89870">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招标文件澄清发出的形式</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15FAD5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发出招标文件澄清</w:t>
            </w:r>
          </w:p>
        </w:tc>
      </w:tr>
      <w:tr w14:paraId="2A5AEFE8">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16ACD2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w:t>
            </w:r>
          </w:p>
        </w:tc>
        <w:tc>
          <w:tcPr>
            <w:tcW w:w="2779" w:type="dxa"/>
            <w:tcBorders>
              <w:top w:val="single" w:color="auto" w:sz="4" w:space="0"/>
              <w:left w:val="single" w:color="auto" w:sz="4" w:space="0"/>
              <w:right w:val="single" w:color="auto" w:sz="4" w:space="0"/>
            </w:tcBorders>
            <w:noWrap w:val="0"/>
            <w:vAlign w:val="center"/>
          </w:tcPr>
          <w:p w14:paraId="7FB20322">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投标人确认收到招标文件澄清</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782EE4CF">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w:t>
            </w:r>
            <w:r>
              <w:rPr>
                <w:rFonts w:hint="default" w:ascii="Times New Roman" w:hAnsi="Times New Roman" w:cs="Times New Roman"/>
                <w:color w:val="auto"/>
                <w:sz w:val="24"/>
                <w:szCs w:val="24"/>
                <w:highlight w:val="none"/>
                <w:lang w:val="en-US" w:eastAsia="zh-CN"/>
              </w:rPr>
              <w:t>澄清</w:t>
            </w: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发出完成即视为潜在投标人已收悉，无</w:t>
            </w:r>
            <w:r>
              <w:rPr>
                <w:rFonts w:hint="default" w:ascii="Times New Roman" w:hAnsi="Times New Roman" w:cs="Times New Roman"/>
                <w:color w:val="auto"/>
                <w:sz w:val="24"/>
                <w:szCs w:val="24"/>
                <w:highlight w:val="none"/>
                <w:lang w:val="en-US" w:eastAsia="zh-CN"/>
              </w:rPr>
              <w:t>需</w:t>
            </w:r>
            <w:r>
              <w:rPr>
                <w:rFonts w:hint="default" w:ascii="Times New Roman" w:hAnsi="Times New Roman" w:cs="Times New Roman"/>
                <w:color w:val="auto"/>
                <w:sz w:val="24"/>
                <w:szCs w:val="24"/>
                <w:highlight w:val="none"/>
              </w:rPr>
              <w:t>回函确认。</w:t>
            </w:r>
          </w:p>
        </w:tc>
      </w:tr>
      <w:tr w14:paraId="387C2FF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CA7C1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5972558">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w:t>
            </w:r>
            <w:r>
              <w:rPr>
                <w:rFonts w:hint="eastAsia" w:cs="Times New Roman"/>
                <w:color w:val="auto"/>
                <w:sz w:val="24"/>
                <w:szCs w:val="24"/>
                <w:highlight w:val="none"/>
                <w:lang w:val="en-US" w:eastAsia="zh-CN"/>
              </w:rPr>
              <w:t>澄清</w:t>
            </w:r>
            <w:r>
              <w:rPr>
                <w:rFonts w:hint="default" w:ascii="Times New Roman" w:hAnsi="Times New Roman" w:cs="Times New Roman"/>
                <w:color w:val="auto"/>
                <w:sz w:val="24"/>
                <w:szCs w:val="24"/>
                <w:highlight w:val="none"/>
              </w:rPr>
              <w:t>发出的形式</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95ADC98">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发出招标文件</w:t>
            </w:r>
            <w:r>
              <w:rPr>
                <w:rFonts w:hint="eastAsia" w:cs="Times New Roman"/>
                <w:color w:val="auto"/>
                <w:sz w:val="24"/>
                <w:szCs w:val="24"/>
                <w:highlight w:val="none"/>
                <w:lang w:val="en-US" w:eastAsia="zh-CN"/>
              </w:rPr>
              <w:t>澄清</w:t>
            </w:r>
          </w:p>
        </w:tc>
      </w:tr>
      <w:tr w14:paraId="3C568692">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007C2D2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w:t>
            </w:r>
          </w:p>
        </w:tc>
        <w:tc>
          <w:tcPr>
            <w:tcW w:w="2779" w:type="dxa"/>
            <w:tcBorders>
              <w:top w:val="single" w:color="auto" w:sz="4" w:space="0"/>
              <w:left w:val="single" w:color="auto" w:sz="4" w:space="0"/>
              <w:right w:val="single" w:color="auto" w:sz="4" w:space="0"/>
            </w:tcBorders>
            <w:noWrap w:val="0"/>
            <w:vAlign w:val="center"/>
          </w:tcPr>
          <w:p w14:paraId="24890002">
            <w:pPr>
              <w:pageBreakBefore w:val="0"/>
              <w:kinsoku/>
              <w:wordWrap w:val="0"/>
              <w:bidi w:val="0"/>
              <w:spacing w:line="44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投标人确认收到招标文件</w:t>
            </w:r>
            <w:r>
              <w:rPr>
                <w:rFonts w:hint="eastAsia" w:cs="Times New Roman"/>
                <w:color w:val="auto"/>
                <w:sz w:val="24"/>
                <w:szCs w:val="24"/>
                <w:highlight w:val="none"/>
                <w:lang w:val="en-US" w:eastAsia="zh-CN"/>
              </w:rPr>
              <w:t>澄清</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47BF4CD">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w:t>
            </w:r>
            <w:r>
              <w:rPr>
                <w:rFonts w:hint="eastAsia" w:cs="Times New Roman"/>
                <w:color w:val="auto"/>
                <w:sz w:val="24"/>
                <w:szCs w:val="24"/>
                <w:highlight w:val="none"/>
                <w:lang w:val="en-US" w:eastAsia="zh-CN"/>
              </w:rPr>
              <w:t>澄清</w:t>
            </w: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发出完成即视为潜在投标人已收悉，无</w:t>
            </w:r>
            <w:r>
              <w:rPr>
                <w:rFonts w:hint="default" w:ascii="Times New Roman" w:hAnsi="Times New Roman" w:cs="Times New Roman"/>
                <w:color w:val="auto"/>
                <w:sz w:val="24"/>
                <w:szCs w:val="24"/>
                <w:highlight w:val="none"/>
                <w:lang w:val="en-US" w:eastAsia="zh-CN"/>
              </w:rPr>
              <w:t>需</w:t>
            </w:r>
            <w:r>
              <w:rPr>
                <w:rFonts w:hint="default" w:ascii="Times New Roman" w:hAnsi="Times New Roman" w:cs="Times New Roman"/>
                <w:color w:val="auto"/>
                <w:sz w:val="24"/>
                <w:szCs w:val="24"/>
                <w:highlight w:val="none"/>
              </w:rPr>
              <w:t>回函确认。</w:t>
            </w:r>
          </w:p>
        </w:tc>
      </w:tr>
      <w:tr w14:paraId="69A14A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7AD3E8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1487532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构成投标文件的其他资料</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F853416">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ascii="宋体" w:hAnsi="宋体" w:eastAsia="宋体" w:cs="宋体"/>
                <w:color w:val="auto"/>
                <w:sz w:val="24"/>
                <w:szCs w:val="24"/>
                <w:highlight w:val="none"/>
                <w:lang w:eastAsia="zh-CN"/>
              </w:rPr>
              <w:t>无</w:t>
            </w:r>
          </w:p>
        </w:tc>
      </w:tr>
      <w:tr w14:paraId="5141EFE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EE87C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74D6D5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增值税税金的计算方法</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3461EB6">
            <w:pPr>
              <w:spacing w:line="440" w:lineRule="exact"/>
              <w:rPr>
                <w:rFonts w:hint="eastAsia" w:ascii="宋体" w:hAnsi="宋体" w:eastAsia="宋体" w:cs="宋体"/>
                <w:color w:val="auto"/>
                <w:sz w:val="24"/>
                <w:szCs w:val="24"/>
                <w:highlight w:val="none"/>
              </w:rPr>
            </w:pPr>
            <w:r>
              <w:rPr>
                <w:rFonts w:hint="eastAsia"/>
                <w:color w:val="auto"/>
                <w:sz w:val="24"/>
                <w:highlight w:val="none"/>
                <w:lang w:eastAsia="zh-CN"/>
              </w:rPr>
              <w:t>☑</w:t>
            </w:r>
            <w:r>
              <w:rPr>
                <w:rFonts w:hint="eastAsia" w:ascii="宋体" w:hAnsi="宋体" w:eastAsia="宋体" w:cs="宋体"/>
                <w:color w:val="auto"/>
                <w:sz w:val="24"/>
                <w:szCs w:val="24"/>
                <w:highlight w:val="none"/>
              </w:rPr>
              <w:t>一般计税法</w:t>
            </w:r>
          </w:p>
          <w:p w14:paraId="19E99B92">
            <w:pPr>
              <w:spacing w:line="440" w:lineRule="exact"/>
              <w:rPr>
                <w:rFonts w:hint="eastAsia" w:ascii="宋体" w:hAnsi="宋体" w:eastAsia="宋体" w:cs="宋体"/>
                <w:color w:val="auto"/>
                <w:sz w:val="24"/>
                <w:szCs w:val="24"/>
                <w:highlight w:val="none"/>
              </w:rPr>
            </w:pPr>
            <w:r>
              <w:rPr>
                <w:rFonts w:hint="eastAsia"/>
                <w:color w:val="auto"/>
                <w:sz w:val="24"/>
                <w:highlight w:val="none"/>
                <w:lang w:eastAsia="zh-CN"/>
              </w:rPr>
              <w:t>□</w:t>
            </w:r>
            <w:r>
              <w:rPr>
                <w:rFonts w:hint="eastAsia" w:ascii="宋体" w:hAnsi="宋体" w:eastAsia="宋体" w:cs="宋体"/>
                <w:color w:val="auto"/>
                <w:sz w:val="24"/>
                <w:szCs w:val="24"/>
                <w:highlight w:val="none"/>
              </w:rPr>
              <w:t>简易计税法</w:t>
            </w:r>
          </w:p>
          <w:p w14:paraId="5C4FEE46">
            <w:pPr>
              <w:spacing w:line="440" w:lineRule="exact"/>
              <w:rPr>
                <w:rFonts w:hint="eastAsia" w:ascii="宋体" w:hAnsi="宋体" w:eastAsia="宋体" w:cs="宋体"/>
                <w:color w:val="auto"/>
                <w:sz w:val="24"/>
                <w:szCs w:val="24"/>
                <w:highlight w:val="none"/>
              </w:rPr>
            </w:pPr>
            <w:r>
              <w:rPr>
                <w:rFonts w:hint="eastAsia"/>
                <w:color w:val="auto"/>
                <w:sz w:val="24"/>
                <w:highlight w:val="none"/>
                <w:lang w:eastAsia="zh-CN"/>
              </w:rPr>
              <w:t>□</w:t>
            </w:r>
            <w:r>
              <w:rPr>
                <w:rFonts w:hint="eastAsia" w:ascii="宋体" w:hAnsi="宋体" w:eastAsia="宋体" w:cs="宋体"/>
                <w:color w:val="auto"/>
                <w:sz w:val="24"/>
                <w:szCs w:val="24"/>
                <w:highlight w:val="none"/>
              </w:rPr>
              <w:t>扣缴计税法</w:t>
            </w:r>
          </w:p>
          <w:p w14:paraId="68F9C27B">
            <w:pPr>
              <w:pageBreakBefore w:val="0"/>
              <w:kinsoku/>
              <w:wordWrap w:val="0"/>
              <w:bidi w:val="0"/>
              <w:spacing w:line="440" w:lineRule="exact"/>
              <w:ind w:left="460" w:hanging="480" w:hangingChars="200"/>
              <w:rPr>
                <w:rFonts w:hint="default" w:ascii="Times New Roman" w:hAnsi="Times New Roman" w:cs="Times New Roman"/>
                <w:color w:val="auto"/>
                <w:spacing w:val="10"/>
                <w:sz w:val="24"/>
                <w:szCs w:val="24"/>
                <w:highlight w:val="none"/>
                <w:bdr w:val="single" w:color="auto" w:sz="4" w:space="0"/>
              </w:rPr>
            </w:pPr>
            <w:r>
              <w:rPr>
                <w:rFonts w:hint="eastAsia"/>
                <w:color w:val="auto"/>
                <w:sz w:val="24"/>
                <w:highlight w:val="none"/>
                <w:lang w:eastAsia="zh-CN"/>
              </w:rPr>
              <w:t>□</w:t>
            </w:r>
            <w:r>
              <w:rPr>
                <w:rFonts w:hint="eastAsia" w:ascii="宋体" w:hAnsi="宋体" w:eastAsia="宋体" w:cs="宋体"/>
                <w:color w:val="auto"/>
                <w:sz w:val="24"/>
                <w:szCs w:val="24"/>
                <w:highlight w:val="none"/>
              </w:rPr>
              <w:t>其他计税法</w:t>
            </w:r>
          </w:p>
        </w:tc>
      </w:tr>
      <w:tr w14:paraId="42E2F8A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24FDB41">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A40335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工程量清单的填写方式</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E78D9F7">
            <w:pPr>
              <w:pageBreakBefore w:val="0"/>
              <w:kinsoku/>
              <w:wordWrap w:val="0"/>
              <w:bidi w:val="0"/>
              <w:spacing w:line="440" w:lineRule="exact"/>
              <w:ind w:left="160" w:hanging="120" w:hangingChars="50"/>
              <w:rPr>
                <w:rFonts w:hint="default" w:ascii="Times New Roman" w:hAnsi="Times New Roman" w:cs="Times New Roman"/>
                <w:color w:val="auto"/>
                <w:sz w:val="24"/>
                <w:szCs w:val="24"/>
                <w:highlight w:val="none"/>
                <w:u w:val="single"/>
                <w:lang w:val="en-US"/>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投标人按照招标人提供的工程量清单电子文件填写工程量清单，下载网站：</w:t>
            </w:r>
            <w:r>
              <w:rPr>
                <w:rFonts w:hint="default" w:ascii="Times New Roman" w:hAnsi="Times New Roman" w:cs="Times New Roman"/>
                <w:color w:val="auto"/>
                <w:sz w:val="24"/>
                <w:szCs w:val="24"/>
                <w:highlight w:val="none"/>
                <w:u w:val="single"/>
              </w:rPr>
              <w:t>通过</w:t>
            </w:r>
            <w:r>
              <w:rPr>
                <w:rFonts w:hint="eastAsia" w:ascii="宋体" w:hAnsi="宋体" w:eastAsia="宋体" w:cs="宋体"/>
                <w:color w:val="auto"/>
                <w:sz w:val="24"/>
                <w:szCs w:val="24"/>
                <w:highlight w:val="none"/>
                <w:u w:val="single"/>
              </w:rPr>
              <w:t>“</w:t>
            </w:r>
            <w:r>
              <w:rPr>
                <w:rFonts w:hint="eastAsia" w:cs="Times New Roman"/>
                <w:color w:val="auto"/>
                <w:sz w:val="24"/>
                <w:szCs w:val="24"/>
                <w:highlight w:val="none"/>
                <w:u w:val="single"/>
                <w:lang w:eastAsia="zh-CN"/>
              </w:rPr>
              <w:t>电子交易平台</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u w:val="single"/>
              </w:rPr>
              <w:t>发出</w:t>
            </w:r>
          </w:p>
        </w:tc>
      </w:tr>
      <w:tr w14:paraId="2D632EB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154104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7C3A402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报价方式</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9EEC2BF">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单价</w:t>
            </w:r>
          </w:p>
          <w:p w14:paraId="134DCE89">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总价</w:t>
            </w:r>
          </w:p>
        </w:tc>
      </w:tr>
      <w:tr w14:paraId="40EEEFB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F055FBB">
            <w:pPr>
              <w:pageBreakBefore w:val="0"/>
              <w:kinsoku/>
              <w:wordWrap w:val="0"/>
              <w:bidi w:val="0"/>
              <w:spacing w:line="440" w:lineRule="exact"/>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3.2.</w:t>
            </w:r>
            <w:r>
              <w:rPr>
                <w:rFonts w:hint="eastAsia" w:cs="Times New Roman"/>
                <w:color w:val="auto"/>
                <w:sz w:val="24"/>
                <w:szCs w:val="24"/>
                <w:highlight w:val="none"/>
                <w:lang w:val="en-US" w:eastAsia="zh-CN"/>
              </w:rPr>
              <w:t>7</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2AD9A98">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最高投标限价</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B58AAA1">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无</w:t>
            </w:r>
          </w:p>
          <w:p w14:paraId="3C2AE1BE">
            <w:pPr>
              <w:pageBreakBefore w:val="0"/>
              <w:kinsoku/>
              <w:wordWrap w:val="0"/>
              <w:bidi w:val="0"/>
              <w:spacing w:line="440" w:lineRule="exact"/>
              <w:rPr>
                <w:rFonts w:hint="default" w:cs="Times New Roman"/>
                <w:color w:val="auto"/>
                <w:sz w:val="24"/>
                <w:szCs w:val="24"/>
                <w:highlight w:val="yellow"/>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有</w:t>
            </w:r>
            <w:r>
              <w:rPr>
                <w:rFonts w:hint="default" w:ascii="Times New Roman" w:hAnsi="Times New Roman" w:cs="Times New Roman"/>
                <w:color w:val="auto"/>
                <w:sz w:val="24"/>
                <w:szCs w:val="24"/>
                <w:highlight w:val="none"/>
                <w:shd w:val="clear"/>
              </w:rPr>
              <w:t>，最高投标限价：</w:t>
            </w:r>
            <w:r>
              <w:rPr>
                <w:rFonts w:hint="default" w:ascii="Times New Roman" w:hAnsi="Times New Roman" w:cs="Times New Roman"/>
                <w:color w:val="auto"/>
                <w:sz w:val="24"/>
                <w:szCs w:val="24"/>
                <w:highlight w:val="none"/>
                <w:shd w:val="clear"/>
                <w:lang w:val="en-US" w:eastAsia="zh-CN"/>
              </w:rPr>
              <w:t>15,137,318.00</w:t>
            </w:r>
            <w:r>
              <w:rPr>
                <w:rFonts w:hint="eastAsia" w:cs="Times New Roman"/>
                <w:color w:val="auto"/>
                <w:sz w:val="24"/>
                <w:szCs w:val="24"/>
                <w:highlight w:val="none"/>
                <w:shd w:val="clear"/>
                <w:lang w:val="en-US" w:eastAsia="zh-CN"/>
              </w:rPr>
              <w:t>元（大写人民币壹仟伍佰壹拾叁万柒仟叁佰壹拾捌元整）</w:t>
            </w:r>
          </w:p>
          <w:p w14:paraId="775B64F8">
            <w:pPr>
              <w:pStyle w:val="16"/>
              <w:pageBreakBefore w:val="0"/>
              <w:kinsoku/>
              <w:wordWrap w:val="0"/>
              <w:overflowPunct/>
              <w:topLinePunct/>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有，最高投标限价以补遗书的形式通过</w:t>
            </w:r>
            <w:r>
              <w:rPr>
                <w:rFonts w:hint="eastAsia" w:ascii="宋体" w:hAnsi="宋体" w:eastAsia="宋体" w:cs="宋体"/>
                <w:color w:val="auto"/>
                <w:sz w:val="24"/>
                <w:szCs w:val="24"/>
                <w:highlight w:val="none"/>
              </w:rPr>
              <w:t>“</w:t>
            </w:r>
            <w:r>
              <w:rPr>
                <w:rFonts w:hint="eastAsia" w:ascii="Times New Roman"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发布</w:t>
            </w:r>
          </w:p>
        </w:tc>
      </w:tr>
      <w:tr w14:paraId="754848B0">
        <w:tblPrEx>
          <w:tblCellMar>
            <w:top w:w="0" w:type="dxa"/>
            <w:left w:w="108" w:type="dxa"/>
            <w:bottom w:w="0" w:type="dxa"/>
            <w:right w:w="108" w:type="dxa"/>
          </w:tblCellMar>
        </w:tblPrEx>
        <w:trPr>
          <w:trHeight w:val="3003"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DE04C0">
            <w:pPr>
              <w:pageBreakBefore w:val="0"/>
              <w:kinsoku/>
              <w:wordWrap w:val="0"/>
              <w:bidi w:val="0"/>
              <w:spacing w:line="440" w:lineRule="exact"/>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3.2.</w:t>
            </w:r>
            <w:r>
              <w:rPr>
                <w:rFonts w:hint="eastAsia" w:cs="Times New Roman"/>
                <w:color w:val="auto"/>
                <w:sz w:val="24"/>
                <w:szCs w:val="24"/>
                <w:highlight w:val="none"/>
                <w:lang w:val="en-US" w:eastAsia="zh-CN"/>
              </w:rPr>
              <w:t>8</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3852EB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投标报价的其他要求</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C5D1530">
            <w:pPr>
              <w:pageBreakBefore w:val="0"/>
              <w:kinsoku/>
              <w:wordWrap w:val="0"/>
              <w:bidi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2813B6AF">
            <w:pPr>
              <w:pageBreakBefore w:val="0"/>
              <w:kinsoku/>
              <w:wordWrap w:val="0"/>
              <w:bidi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本项目最高投标限价</w:t>
            </w:r>
            <w:r>
              <w:rPr>
                <w:rFonts w:hint="eastAsia" w:cs="Times New Roman"/>
                <w:b/>
                <w:bCs/>
                <w:color w:val="auto"/>
                <w:sz w:val="24"/>
                <w:szCs w:val="24"/>
                <w:highlight w:val="none"/>
                <w:u w:val="single"/>
                <w:lang w:val="en-US" w:eastAsia="zh-CN"/>
              </w:rPr>
              <w:t xml:space="preserve"> 15,137,318.00 </w:t>
            </w:r>
            <w:r>
              <w:rPr>
                <w:rFonts w:hint="default" w:ascii="Times New Roman" w:hAnsi="Times New Roman" w:cs="Times New Roman"/>
                <w:b/>
                <w:bCs/>
                <w:color w:val="auto"/>
                <w:sz w:val="24"/>
                <w:szCs w:val="24"/>
                <w:highlight w:val="none"/>
                <w:lang w:val="en-US" w:eastAsia="zh-CN"/>
              </w:rPr>
              <w:t>元</w:t>
            </w:r>
            <w:r>
              <w:rPr>
                <w:rFonts w:hint="default" w:ascii="Times New Roman" w:hAnsi="Times New Roman" w:cs="Times New Roman"/>
                <w:b/>
                <w:bCs/>
                <w:color w:val="auto"/>
                <w:sz w:val="24"/>
                <w:szCs w:val="24"/>
                <w:highlight w:val="none"/>
              </w:rPr>
              <w:t>，其中安全生产费用</w:t>
            </w:r>
            <w:r>
              <w:rPr>
                <w:rFonts w:hint="default" w:ascii="Times New Roman" w:hAnsi="Times New Roman" w:cs="Times New Roman"/>
                <w:b/>
                <w:bCs/>
                <w:color w:val="auto"/>
                <w:sz w:val="24"/>
                <w:szCs w:val="24"/>
                <w:highlight w:val="none"/>
                <w:lang w:eastAsia="zh-CN"/>
              </w:rPr>
              <w:t>：</w:t>
            </w:r>
            <w:r>
              <w:rPr>
                <w:rFonts w:hint="eastAsia" w:cs="Times New Roman"/>
                <w:b/>
                <w:bCs/>
                <w:color w:val="auto"/>
                <w:sz w:val="24"/>
                <w:szCs w:val="24"/>
                <w:highlight w:val="none"/>
                <w:u w:val="single"/>
                <w:lang w:val="en-US" w:eastAsia="zh-CN"/>
              </w:rPr>
              <w:t xml:space="preserve"> 227,060.00 </w:t>
            </w:r>
            <w:r>
              <w:rPr>
                <w:rFonts w:hint="default" w:ascii="Times New Roman" w:hAnsi="Times New Roman" w:cs="Times New Roman"/>
                <w:b/>
                <w:bCs/>
                <w:color w:val="auto"/>
                <w:sz w:val="24"/>
                <w:szCs w:val="24"/>
                <w:highlight w:val="none"/>
                <w:lang w:val="en-US" w:eastAsia="zh-CN"/>
              </w:rPr>
              <w:t>元</w:t>
            </w:r>
            <w:r>
              <w:rPr>
                <w:rFonts w:hint="default" w:ascii="Times New Roman" w:hAnsi="Times New Roman" w:cs="Times New Roman"/>
                <w:b/>
                <w:bCs/>
                <w:color w:val="auto"/>
                <w:sz w:val="24"/>
                <w:szCs w:val="24"/>
                <w:highlight w:val="none"/>
              </w:rPr>
              <w:t>。</w:t>
            </w:r>
          </w:p>
          <w:p w14:paraId="484B2657">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施工用电和水应由投标人自行调查解决，所需费用均应已含入工程量清单各支付子目的单价或总额价中，并计入签约合同价，招标人将不另行支付。</w:t>
            </w:r>
          </w:p>
          <w:p w14:paraId="7C53FBF0">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中标人应根据工程实际情况确定临时占地最长使用期限，临时占地的租地费用由投标人在投标阶段综合考虑并计入相关清单子目报价中，招标人将不另行支付。</w:t>
            </w:r>
          </w:p>
          <w:p w14:paraId="0F35C49E">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投标人的投标报价中应含各类保险费。各类保险费均应已含入工程量清单各支付子目的单价中，并计入签约合同价，招标人将不另行支付。</w:t>
            </w:r>
          </w:p>
          <w:p w14:paraId="42EF0707">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投标人的投标价应包括投标人完成本招标项目施工、缺陷修复工作的全部费用。投标人应依据相应的工程量计算规则和定额等计价依据计算报价。</w:t>
            </w:r>
          </w:p>
          <w:p w14:paraId="3679B349">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投标人应自行踏勘现场以充分了解工地位置、情况、道路、储存空间、装卸限制及任何其他足以影响投标报价的情况，任何因忽视或误解工地情况而导致的索赔或工期延长申请将不被批准。</w:t>
            </w:r>
          </w:p>
          <w:p w14:paraId="27CB45D8">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施工期间承包人必须严格执行国家、地方政府有关施工安全管理方面的法律、法规及规章制度，同时严格执行发包人制订的本项目安全生产管理方面的规章制度、安全检查程序及施工安全管理要求，所需费用均已含入工程量清单各支付子目的单价或总额价中，并计入签约合同价，招标人将不另行支付。</w:t>
            </w:r>
          </w:p>
          <w:p w14:paraId="120156C2">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7</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投标人应充分考虑采购满足招标人要求的材料所需的一切费用，所需费用均应已含入工程量清单各支付子目的单价或总额价中，并计入签约合同价，招标人将不另行支付。</w:t>
            </w:r>
          </w:p>
          <w:p w14:paraId="43687BCC">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8</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将本项目旧钢护栏、旧标志标牌等原有设施(如有)运送到招标人指定地点以及对已有的里程碑、百米桩进行维护所需的一切费用，上述材料及设施归招标人所有，所需运输费用均已含入工程量清单各支付子目的单价或总额价中，并计入签约合同价，招标人将不另行支付。投标人在投标报价时无需单独考虑该部分费用。</w:t>
            </w:r>
          </w:p>
          <w:p w14:paraId="762CB89E">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9</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投标人应充分考虑本项目施工过程中为保证道路通行所采取的各项必要措施，所需费用均已含入工程量清单各支付子目的单价或总额价中，并计入签约合同价，招标人将不另行支付。</w:t>
            </w:r>
          </w:p>
          <w:p w14:paraId="56B92B85">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10</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投标人应充分考虑不间断施工所需的生产生活相关费用，所需费用均已含入工程量清单各支付子目的单价或总额价中，并计入签约合同价，招标人将不另行支付。</w:t>
            </w:r>
          </w:p>
          <w:p w14:paraId="31729380">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11</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本项目承包人的临时用地选址应由投标人自行调查解决，各投标人应对临时用地位置和面积合理设置施工所需的生产生活设施，所需费用均已含入工程量清单各支付子目的单价或总额价中，并计入签约合同价，招标人将不另行支付。</w:t>
            </w:r>
          </w:p>
          <w:p w14:paraId="4A4B7FB1">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12</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投标人应充分考虑本项目施工可能与其他工程等发生的干扰与交叉，并将因此带来的费用含入工程量清单各支付子目的单价或总额价中，并计入签约合同价，招标人将不另行支付。</w:t>
            </w:r>
          </w:p>
          <w:p w14:paraId="6D1DCC64">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13</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除招标文件另有规定外，根据国家和辽宁省有关的法律、法规的规定，以投标人作为征收对象的所有税费，包括因国家实行营业税改增值税征收税费而引起的费用的变化，均包含在投标人的工程量清单各子目的综合单价中，并计入签约合同价，招标人不另行支付(增加或扣减)，中标人按照国家相关税收法律、法规出具各支付款项的增值税专用(或普通)发票。</w:t>
            </w:r>
          </w:p>
        </w:tc>
      </w:tr>
      <w:tr w14:paraId="412CF0A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2B37B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F13450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投标有效期</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9116EFB">
            <w:pPr>
              <w:pageBreakBefore w:val="0"/>
              <w:kinsoku/>
              <w:wordWrap w:val="0"/>
              <w:bidi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自投标人提交投标文件截止之日起计算</w:t>
            </w:r>
            <w:r>
              <w:rPr>
                <w:rFonts w:hint="eastAsia" w:cs="Times New Roman"/>
                <w:color w:val="auto"/>
                <w:sz w:val="24"/>
                <w:szCs w:val="24"/>
                <w:u w:val="single"/>
                <w:lang w:val="en-US" w:eastAsia="zh-CN"/>
              </w:rPr>
              <w:t>90</w:t>
            </w:r>
            <w:r>
              <w:rPr>
                <w:rFonts w:hint="default" w:ascii="Times New Roman" w:hAnsi="Times New Roman" w:cs="Times New Roman"/>
                <w:color w:val="auto"/>
                <w:sz w:val="24"/>
                <w:szCs w:val="24"/>
              </w:rPr>
              <w:t>日</w:t>
            </w:r>
          </w:p>
        </w:tc>
      </w:tr>
      <w:tr w14:paraId="33D976F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93DDA2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7E673530">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投标保证金</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6CB215D6">
            <w:pPr>
              <w:pStyle w:val="16"/>
              <w:topLinePunct/>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是否要求投标人递交投标保证金：</w:t>
            </w:r>
          </w:p>
          <w:p w14:paraId="1E7F4CFA">
            <w:pPr>
              <w:pStyle w:val="16"/>
              <w:topLinePunct/>
              <w:spacing w:line="360" w:lineRule="auto"/>
              <w:rPr>
                <w:rFonts w:hint="default" w:ascii="Times New Roman" w:hAnsi="Times New Roman" w:cs="Times New Roman"/>
                <w:color w:val="auto"/>
                <w:sz w:val="24"/>
                <w:szCs w:val="24"/>
                <w:highlight w:val="none"/>
                <w:lang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要求</w:t>
            </w:r>
            <w:r>
              <w:rPr>
                <w:rFonts w:hint="default" w:ascii="Times New Roman" w:hAnsi="Times New Roman" w:cs="Times New Roman"/>
                <w:color w:val="auto"/>
                <w:sz w:val="24"/>
                <w:szCs w:val="24"/>
                <w:highlight w:val="none"/>
                <w:lang w:eastAsia="zh-CN"/>
              </w:rPr>
              <w:t>：</w:t>
            </w:r>
          </w:p>
          <w:p w14:paraId="0CE868F4">
            <w:pPr>
              <w:pStyle w:val="16"/>
              <w:topLinePunct/>
              <w:spacing w:line="360" w:lineRule="auto"/>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投标保证金的金额：</w:t>
            </w:r>
            <w:r>
              <w:rPr>
                <w:rFonts w:hint="eastAsia" w:ascii="Times New Roman" w:cs="Times New Roman"/>
                <w:color w:val="auto"/>
                <w:sz w:val="24"/>
                <w:szCs w:val="24"/>
                <w:highlight w:val="none"/>
                <w:u w:val="single"/>
                <w:lang w:val="en-US" w:eastAsia="zh-CN"/>
              </w:rPr>
              <w:t>15万元</w:t>
            </w:r>
          </w:p>
          <w:p w14:paraId="2482C74F">
            <w:pPr>
              <w:pStyle w:val="16"/>
              <w:topLinePunct/>
              <w:spacing w:line="360" w:lineRule="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投标保证金</w:t>
            </w:r>
            <w:r>
              <w:rPr>
                <w:rFonts w:hint="default" w:ascii="Times New Roman" w:hAnsi="Times New Roman" w:cs="Times New Roman"/>
                <w:color w:val="auto"/>
                <w:sz w:val="24"/>
                <w:szCs w:val="24"/>
                <w:highlight w:val="none"/>
                <w:lang w:eastAsia="zh-CN"/>
              </w:rPr>
              <w:t>的</w:t>
            </w:r>
            <w:r>
              <w:rPr>
                <w:rFonts w:hint="default" w:ascii="Times New Roman" w:hAnsi="Times New Roman" w:cs="Times New Roman"/>
                <w:color w:val="auto"/>
                <w:sz w:val="24"/>
                <w:szCs w:val="24"/>
                <w:highlight w:val="none"/>
              </w:rPr>
              <w:t>形式</w:t>
            </w:r>
          </w:p>
          <w:p w14:paraId="1A82FE7E">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采用现金（银行电汇或网银转账或转账支票）形式：</w:t>
            </w:r>
          </w:p>
          <w:p w14:paraId="663B2717">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default" w:ascii="Times New Roman" w:hAnsi="Times New Roman" w:eastAsia="黑体" w:cs="Times New Roman"/>
                <w:bCs/>
                <w:i/>
                <w:iCs/>
                <w:color w:val="auto"/>
                <w:sz w:val="24"/>
                <w:szCs w:val="24"/>
                <w:highlight w:val="none"/>
              </w:rPr>
            </w:pPr>
            <w:r>
              <w:rPr>
                <w:rFonts w:hint="default" w:ascii="Times New Roman" w:hAnsi="Times New Roman" w:cs="Times New Roman"/>
                <w:color w:val="auto"/>
                <w:sz w:val="24"/>
                <w:szCs w:val="24"/>
                <w:highlight w:val="none"/>
              </w:rPr>
              <w:t>招标人指定的开户银行及账号如下：</w:t>
            </w:r>
          </w:p>
          <w:p w14:paraId="70AFFEE5">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开户银行：</w:t>
            </w:r>
            <w:r>
              <w:rPr>
                <w:rFonts w:hint="default" w:ascii="Times New Roman" w:hAnsi="Times New Roman" w:cs="Times New Roman"/>
                <w:color w:val="auto"/>
                <w:sz w:val="24"/>
                <w:szCs w:val="24"/>
                <w:highlight w:val="none"/>
                <w:u w:val="single"/>
                <w:lang w:eastAsia="zh-CN"/>
              </w:rPr>
              <w:t>中国建设银行股份有限公司盖州支行</w:t>
            </w:r>
          </w:p>
          <w:p w14:paraId="5758FDEB">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账户名称：</w:t>
            </w:r>
            <w:r>
              <w:rPr>
                <w:rFonts w:hint="eastAsia" w:cs="Times New Roman"/>
                <w:color w:val="auto"/>
                <w:sz w:val="24"/>
                <w:szCs w:val="24"/>
                <w:highlight w:val="none"/>
                <w:u w:val="single"/>
                <w:lang w:eastAsia="zh-CN"/>
              </w:rPr>
              <w:t>辽宁巨鸿建设工程造价咨询有限公司</w:t>
            </w:r>
          </w:p>
          <w:p w14:paraId="5AF3A010">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账号：</w:t>
            </w:r>
            <w:r>
              <w:rPr>
                <w:rFonts w:hint="default" w:ascii="Times New Roman" w:hAnsi="Times New Roman" w:cs="Times New Roman"/>
                <w:color w:val="auto"/>
                <w:sz w:val="24"/>
                <w:szCs w:val="24"/>
                <w:highlight w:val="none"/>
                <w:u w:val="single"/>
                <w:lang w:val="en-US" w:eastAsia="zh-CN"/>
              </w:rPr>
              <w:t>21050168610400000839</w:t>
            </w:r>
          </w:p>
          <w:p w14:paraId="45ECC0DD">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为确保在</w:t>
            </w:r>
            <w:r>
              <w:rPr>
                <w:rFonts w:hint="default" w:ascii="Times New Roman" w:hAnsi="Times New Roman" w:cs="Times New Roman"/>
                <w:color w:val="auto"/>
                <w:sz w:val="24"/>
                <w:szCs w:val="24"/>
                <w:highlight w:val="none"/>
                <w:lang w:val="en-US" w:eastAsia="zh-CN"/>
              </w:rPr>
              <w:t>规定</w:t>
            </w:r>
            <w:r>
              <w:rPr>
                <w:rFonts w:hint="default" w:ascii="Times New Roman" w:hAnsi="Times New Roman" w:cs="Times New Roman"/>
                <w:color w:val="auto"/>
                <w:sz w:val="24"/>
                <w:szCs w:val="24"/>
                <w:highlight w:val="none"/>
              </w:rPr>
              <w:t>时间前投标保证金能到达招标人指定账户，投标人在汇款时须充分考虑银行汇款的时间误差风险，否则所造成的后果由投标人自负。</w:t>
            </w:r>
          </w:p>
          <w:p w14:paraId="6D3ED587">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pacing w:val="-8"/>
                <w:sz w:val="24"/>
                <w:szCs w:val="24"/>
                <w:highlight w:val="none"/>
                <w:lang w:val="en-US" w:eastAsia="zh-CN"/>
              </w:rPr>
            </w:pPr>
            <w:r>
              <w:rPr>
                <w:rFonts w:hint="eastAsia"/>
                <w:color w:val="auto"/>
                <w:sz w:val="24"/>
                <w:highlight w:val="none"/>
                <w:lang w:eastAsia="zh-CN"/>
              </w:rPr>
              <w:t>☑</w:t>
            </w:r>
            <w:r>
              <w:rPr>
                <w:rFonts w:hint="default" w:ascii="Times New Roman" w:hAnsi="Times New Roman" w:cs="Times New Roman"/>
                <w:color w:val="auto"/>
                <w:spacing w:val="-8"/>
                <w:sz w:val="24"/>
                <w:szCs w:val="24"/>
                <w:highlight w:val="none"/>
              </w:rPr>
              <w:t>采用银行保函</w:t>
            </w:r>
            <w:r>
              <w:rPr>
                <w:rFonts w:hint="default" w:ascii="Times New Roman" w:hAnsi="Times New Roman" w:cs="Times New Roman"/>
                <w:color w:val="auto"/>
                <w:spacing w:val="-8"/>
                <w:sz w:val="24"/>
                <w:szCs w:val="24"/>
                <w:highlight w:val="none"/>
                <w:lang w:val="en-US" w:eastAsia="zh-CN"/>
              </w:rPr>
              <w:t>形式：</w:t>
            </w:r>
          </w:p>
          <w:p w14:paraId="6F2747E2">
            <w:pPr>
              <w:pStyle w:val="16"/>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出具保函的银行级别：</w:t>
            </w:r>
            <w:r>
              <w:rPr>
                <w:rFonts w:hint="eastAsia" w:ascii="Times New Roman" w:cs="Times New Roman"/>
                <w:color w:val="auto"/>
                <w:sz w:val="24"/>
                <w:szCs w:val="24"/>
                <w:highlight w:val="none"/>
                <w:u w:val="single"/>
                <w:lang w:val="en-US" w:eastAsia="zh-CN"/>
              </w:rPr>
              <w:t xml:space="preserve">  /   </w:t>
            </w:r>
          </w:p>
          <w:p w14:paraId="38300250">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none"/>
              </w:rPr>
              <w:t>银行保函应采用招标文件提供的格式，若采用银行自有格式，其提交的银行保函内容不得对担保金额、担保范围、担保期限、担保内容作出降低担保效力的实质性修改。</w:t>
            </w:r>
          </w:p>
          <w:p w14:paraId="1F62C2B4">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采用电子保函形式：</w:t>
            </w:r>
          </w:p>
          <w:p w14:paraId="652A6F42">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保函应由投标人自主</w:t>
            </w:r>
            <w:r>
              <w:rPr>
                <w:rFonts w:hint="eastAsia" w:ascii="Times New Roman" w:cs="Times New Roman"/>
                <w:b w:val="0"/>
                <w:bCs w:val="0"/>
                <w:color w:val="auto"/>
                <w:sz w:val="24"/>
                <w:szCs w:val="24"/>
                <w:highlight w:val="none"/>
                <w:lang w:val="en-US" w:eastAsia="zh-CN"/>
              </w:rPr>
              <w:t>选择</w:t>
            </w:r>
            <w:r>
              <w:rPr>
                <w:rFonts w:hint="default" w:ascii="Times New Roman" w:hAnsi="Times New Roman" w:cs="Times New Roman"/>
                <w:b w:val="0"/>
                <w:bCs w:val="0"/>
                <w:color w:val="auto"/>
                <w:sz w:val="24"/>
                <w:szCs w:val="24"/>
                <w:highlight w:val="none"/>
                <w:lang w:val="en-US" w:eastAsia="zh-CN"/>
              </w:rPr>
              <w:t>具有金融服务担保能力的机构出具，保函办理机构应提供电子化保函验真渠道和保函财务费用支付</w:t>
            </w:r>
            <w:r>
              <w:rPr>
                <w:rFonts w:hint="eastAsia" w:ascii="Times New Roman" w:cs="Times New Roman"/>
                <w:b w:val="0"/>
                <w:bCs w:val="0"/>
                <w:color w:val="auto"/>
                <w:sz w:val="24"/>
                <w:szCs w:val="24"/>
                <w:highlight w:val="none"/>
                <w:lang w:val="en-US" w:eastAsia="zh-CN"/>
              </w:rPr>
              <w:t>凭证（保函财务费用应从投标人基本账户支出）</w:t>
            </w:r>
            <w:r>
              <w:rPr>
                <w:rFonts w:hint="default" w:ascii="Times New Roman" w:hAnsi="Times New Roman" w:cs="Times New Roman"/>
                <w:b w:val="0"/>
                <w:bCs w:val="0"/>
                <w:color w:val="auto"/>
                <w:sz w:val="24"/>
                <w:szCs w:val="24"/>
                <w:highlight w:val="none"/>
                <w:lang w:val="en-US" w:eastAsia="zh-CN"/>
              </w:rPr>
              <w:t>。</w:t>
            </w:r>
          </w:p>
          <w:p w14:paraId="5704067A">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eastAsia" w:ascii="Times New Roman" w:cs="Times New Roman"/>
                <w:color w:val="auto"/>
                <w:sz w:val="24"/>
                <w:szCs w:val="24"/>
                <w:highlight w:val="none"/>
                <w:u w:val="single"/>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其他</w:t>
            </w:r>
            <w:r>
              <w:rPr>
                <w:rFonts w:hint="eastAsia" w:ascii="Times New Roman" w:cs="Times New Roman"/>
                <w:color w:val="auto"/>
                <w:sz w:val="24"/>
                <w:szCs w:val="24"/>
                <w:highlight w:val="none"/>
                <w:lang w:val="en-US" w:eastAsia="zh-CN"/>
              </w:rPr>
              <w:t>要求</w:t>
            </w:r>
            <w:r>
              <w:rPr>
                <w:rFonts w:hint="default"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u w:val="single"/>
                <w:lang w:val="en-US" w:eastAsia="zh-CN"/>
              </w:rPr>
              <w:t>1.采用电汇或转账方式缴纳的，应在投标截止时间前通过企业基本户缴纳至指定账户，并按照招标文件中投标文件格式要求填写缴纳信息和上传缴纳凭证、基本户开户许可证等证明材料，投标保证金截止时间之后递交的投标保证金将被拒绝。请投标人在汇款时务必注明所投标项目名称及标段（可简写），否则因款项用途不明导致投标无效等后果由投标人自行承担；</w:t>
            </w:r>
          </w:p>
          <w:p w14:paraId="7AC928FF">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eastAsia" w:ascii="Times New Roman" w:cs="Times New Roman"/>
                <w:color w:val="auto"/>
                <w:sz w:val="24"/>
                <w:szCs w:val="24"/>
                <w:highlight w:val="none"/>
                <w:u w:val="single"/>
                <w:lang w:val="en-US" w:eastAsia="zh-CN"/>
              </w:rPr>
            </w:pPr>
            <w:r>
              <w:rPr>
                <w:rFonts w:hint="eastAsia" w:ascii="Times New Roman" w:cs="Times New Roman"/>
                <w:color w:val="auto"/>
                <w:sz w:val="24"/>
                <w:szCs w:val="24"/>
                <w:highlight w:val="none"/>
                <w:u w:val="single"/>
                <w:lang w:val="en-US" w:eastAsia="zh-CN"/>
              </w:rPr>
              <w:t>2.使用银行保函或担保保函形式缴纳投标保证金，保函需制作为电子图片，附加在“投标文件格式”指定位置。投标人提供的保函需注明所投标项目、标段名称，否则，由此导致投标无效等后果由投标人自行承担。保函的有效期应与投标有效期一致或长于投标有效期；</w:t>
            </w:r>
          </w:p>
          <w:p w14:paraId="6658F0C0">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eastAsia" w:ascii="Times New Roman" w:cs="Times New Roman"/>
                <w:color w:val="auto"/>
                <w:sz w:val="24"/>
                <w:szCs w:val="24"/>
                <w:highlight w:val="none"/>
                <w:u w:val="single"/>
                <w:lang w:val="en-US" w:eastAsia="zh-CN"/>
              </w:rPr>
            </w:pPr>
            <w:r>
              <w:rPr>
                <w:rFonts w:hint="eastAsia" w:ascii="Times New Roman" w:cs="Times New Roman"/>
                <w:color w:val="auto"/>
                <w:sz w:val="24"/>
                <w:szCs w:val="24"/>
                <w:highlight w:val="none"/>
                <w:u w:val="single"/>
                <w:lang w:val="en-US" w:eastAsia="zh-CN"/>
              </w:rPr>
              <w:t>3.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w:t>
            </w:r>
          </w:p>
          <w:p w14:paraId="024EE7FD">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u w:val="single"/>
                <w:lang w:val="en-US" w:eastAsia="zh-CN"/>
              </w:rPr>
            </w:pPr>
            <w:r>
              <w:rPr>
                <w:rFonts w:hint="eastAsia" w:ascii="Times New Roman" w:cs="Times New Roman"/>
                <w:color w:val="auto"/>
                <w:sz w:val="24"/>
                <w:szCs w:val="24"/>
                <w:highlight w:val="none"/>
                <w:u w:val="single"/>
                <w:lang w:val="en-US" w:eastAsia="zh-CN"/>
              </w:rPr>
              <w:t>4.投标人应按照招标文件中给定的投标文件格式完整准确填写投标保证金缴纳信息、缴纳凭证等证明材料，否则由此造成的不一致或错误由投标人自行承担。</w:t>
            </w:r>
          </w:p>
          <w:p w14:paraId="7B27CA9A">
            <w:pPr>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不要求</w:t>
            </w:r>
          </w:p>
        </w:tc>
      </w:tr>
      <w:tr w14:paraId="7A5B28BD">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21E7C1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3.4.3</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06211757">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投标保证金利息计算原则</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B9F1783">
            <w:pPr>
              <w:pStyle w:val="16"/>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hAnsi="宋体" w:cs="宋体"/>
                <w:color w:val="auto"/>
                <w:spacing w:val="-6"/>
                <w:highlight w:val="none"/>
                <w:u w:val="single"/>
                <w:lang w:val="en-US" w:eastAsia="zh-CN"/>
              </w:rPr>
              <w:t xml:space="preserve">  /  </w:t>
            </w:r>
          </w:p>
        </w:tc>
      </w:tr>
      <w:tr w14:paraId="0C4DC77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B0942D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3.4.4</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427A45C">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其他可以不予退还投标保证金的情形</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4B6F5700">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有下列情形之一的，投标保证金可不予退还：</w:t>
            </w:r>
          </w:p>
          <w:p w14:paraId="21188BAC">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（1）投标人不接受依据评标办法的规定对其投标文件中细微偏差进行澄清和补正；</w:t>
            </w:r>
          </w:p>
          <w:p w14:paraId="17CB32D1">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投标人在规定的投标有效期内撤销或修改其投标文件，包括在收到中标通知书前放弃中标候选人资格的情形；</w:t>
            </w:r>
          </w:p>
          <w:p w14:paraId="36825166">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（3）中标人在收到中标通知书后，无正当理由拒签合同协议书；</w:t>
            </w:r>
          </w:p>
          <w:p w14:paraId="1AA4A176">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（4）中标人在签订合同时向招标人提出附加条件，或不按照招标文件要求提交履约保证金；</w:t>
            </w:r>
          </w:p>
          <w:p w14:paraId="3A81C00B">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（5）投标人提交了虚假资料；</w:t>
            </w:r>
          </w:p>
          <w:p w14:paraId="577FF709">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Times New Roman" w:hAnsi="Times New Roman" w:cs="Times New Roman"/>
                <w:color w:val="auto"/>
                <w:sz w:val="24"/>
                <w:szCs w:val="24"/>
                <w:highlight w:val="none"/>
              </w:rPr>
              <w:t>（6）投标人有串标、围标、“挂靠”其他单位参与投标，贿赂评标专家或招标工作人员，以及其他违反国家招标投标管理有关规定的行为</w:t>
            </w:r>
            <w:r>
              <w:rPr>
                <w:rFonts w:hint="eastAsia" w:ascii="Times New Roman" w:hAnsi="Times New Roman" w:cs="Times New Roman"/>
                <w:color w:val="auto"/>
                <w:sz w:val="24"/>
                <w:szCs w:val="24"/>
                <w:highlight w:val="none"/>
                <w:lang w:eastAsia="zh-CN"/>
              </w:rPr>
              <w:t>。</w:t>
            </w:r>
          </w:p>
        </w:tc>
      </w:tr>
      <w:tr w14:paraId="3A9994B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4632F6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CD232C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资格审查资料的特殊要求</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FCD4E41">
            <w:pPr>
              <w:pStyle w:val="16"/>
              <w:pageBreakBefore w:val="0"/>
              <w:kinsoku/>
              <w:wordWrap w:val="0"/>
              <w:topLinePunct/>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无</w:t>
            </w:r>
          </w:p>
          <w:p w14:paraId="07F4B17A">
            <w:pPr>
              <w:pStyle w:val="16"/>
              <w:pageBreakBefore w:val="0"/>
              <w:kinsoku/>
              <w:wordWrap w:val="0"/>
              <w:topLinePunct/>
              <w:bidi w:val="0"/>
              <w:spacing w:line="440" w:lineRule="exact"/>
              <w:rPr>
                <w:rFonts w:hint="default" w:ascii="Times New Roman" w:hAnsi="Times New Roman" w:cs="Times New Roman"/>
                <w:color w:val="auto"/>
                <w:sz w:val="24"/>
                <w:szCs w:val="24"/>
                <w:highlight w:val="none"/>
                <w:u w:val="singl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有，具体要求：</w:t>
            </w:r>
            <w:r>
              <w:rPr>
                <w:rFonts w:hint="default" w:ascii="Times New Roman" w:hAnsi="Times New Roman" w:cs="Times New Roman"/>
                <w:color w:val="auto"/>
                <w:sz w:val="24"/>
                <w:szCs w:val="24"/>
                <w:highlight w:val="none"/>
                <w:u w:val="single"/>
                <w:lang w:val="en-US" w:eastAsia="zh-CN"/>
              </w:rPr>
              <w:t>投标文件“资格审查资料”各项表格应提供的证明材料以本附表各附录中的规定为准</w:t>
            </w:r>
            <w:r>
              <w:rPr>
                <w:rFonts w:hint="eastAsia" w:ascii="Times New Roman" w:cs="Times New Roman"/>
                <w:color w:val="auto"/>
                <w:sz w:val="24"/>
                <w:szCs w:val="24"/>
                <w:highlight w:val="none"/>
                <w:u w:val="single"/>
                <w:lang w:val="en-US" w:eastAsia="zh-CN"/>
              </w:rPr>
              <w:t>。</w:t>
            </w:r>
          </w:p>
        </w:tc>
      </w:tr>
      <w:tr w14:paraId="43F0A14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CC8574D">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3957D5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近年财务状况的年份要求</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E0C7DE6">
            <w:pPr>
              <w:pageBreakBefore w:val="0"/>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u w:val="single"/>
              </w:rPr>
              <w:t xml:space="preserve">  </w:t>
            </w:r>
            <w:r>
              <w:rPr>
                <w:rFonts w:hint="eastAsia" w:eastAsia="黑体" w:cs="Times New Roman"/>
                <w:color w:val="auto"/>
                <w:sz w:val="24"/>
                <w:szCs w:val="24"/>
                <w:highlight w:val="none"/>
                <w:u w:val="single"/>
                <w:lang w:val="en-US" w:eastAsia="zh-CN"/>
              </w:rPr>
              <w:t>/</w:t>
            </w:r>
            <w:r>
              <w:rPr>
                <w:rFonts w:hint="default" w:ascii="Times New Roman" w:hAnsi="Times New Roman" w:eastAsia="黑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年至</w:t>
            </w:r>
            <w:r>
              <w:rPr>
                <w:rFonts w:hint="default" w:ascii="Times New Roman" w:hAnsi="Times New Roman" w:eastAsia="黑体" w:cs="Times New Roman"/>
                <w:color w:val="auto"/>
                <w:sz w:val="24"/>
                <w:szCs w:val="24"/>
                <w:highlight w:val="none"/>
                <w:u w:val="single"/>
              </w:rPr>
              <w:t xml:space="preserve">   </w:t>
            </w:r>
            <w:r>
              <w:rPr>
                <w:rFonts w:hint="eastAsia" w:eastAsia="黑体" w:cs="Times New Roman"/>
                <w:color w:val="auto"/>
                <w:sz w:val="24"/>
                <w:szCs w:val="24"/>
                <w:highlight w:val="none"/>
                <w:u w:val="single"/>
                <w:lang w:val="en-US" w:eastAsia="zh-CN"/>
              </w:rPr>
              <w:t xml:space="preserve">/ </w:t>
            </w:r>
            <w:r>
              <w:rPr>
                <w:rFonts w:hint="default" w:ascii="Times New Roman" w:hAnsi="Times New Roman" w:eastAsia="黑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p>
        </w:tc>
      </w:tr>
      <w:tr w14:paraId="53AE5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A7020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428FB7F">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近年完成的类似项目情况的时间要求</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E90396A">
            <w:pPr>
              <w:pageBreakBefore w:val="0"/>
              <w:kinsoku/>
              <w:wordWrap w:val="0"/>
              <w:bidi w:val="0"/>
              <w:spacing w:line="360" w:lineRule="atLeast"/>
              <w:rPr>
                <w:rFonts w:hint="default" w:ascii="Times New Roman" w:hAnsi="Times New Roman" w:cs="Times New Roman"/>
                <w:color w:val="auto"/>
                <w:sz w:val="24"/>
                <w:szCs w:val="24"/>
                <w:highlight w:val="none"/>
                <w:shd w:val="clear" w:color="auto" w:fill="auto"/>
              </w:rPr>
            </w:pPr>
            <w:r>
              <w:rPr>
                <w:rFonts w:hint="default" w:ascii="Times New Roman" w:hAnsi="Times New Roman" w:eastAsia="黑体" w:cs="Times New Roman"/>
                <w:color w:val="auto"/>
                <w:sz w:val="24"/>
                <w:szCs w:val="24"/>
                <w:highlight w:val="none"/>
                <w:u w:val="single"/>
                <w:shd w:val="clear" w:color="auto" w:fill="auto"/>
              </w:rPr>
              <w:t xml:space="preserve">  </w:t>
            </w:r>
            <w:r>
              <w:rPr>
                <w:rFonts w:hint="eastAsia" w:eastAsia="黑体" w:cs="Times New Roman"/>
                <w:color w:val="auto"/>
                <w:sz w:val="24"/>
                <w:szCs w:val="24"/>
                <w:highlight w:val="none"/>
                <w:u w:val="single"/>
                <w:shd w:val="clear" w:color="auto" w:fill="auto"/>
                <w:lang w:val="en-US" w:eastAsia="zh-CN"/>
              </w:rPr>
              <w:t>2023</w:t>
            </w:r>
            <w:r>
              <w:rPr>
                <w:rFonts w:hint="default" w:ascii="Times New Roman" w:hAnsi="Times New Roman" w:eastAsia="黑体" w:cs="Times New Roman"/>
                <w:color w:val="auto"/>
                <w:sz w:val="24"/>
                <w:szCs w:val="24"/>
                <w:highlight w:val="none"/>
                <w:u w:val="single"/>
                <w:shd w:val="clear" w:color="auto" w:fill="auto"/>
              </w:rPr>
              <w:t xml:space="preserve"> </w:t>
            </w:r>
            <w:r>
              <w:rPr>
                <w:rFonts w:hint="default" w:ascii="Times New Roman" w:hAnsi="Times New Roman" w:cs="Times New Roman"/>
                <w:color w:val="auto"/>
                <w:sz w:val="24"/>
                <w:szCs w:val="24"/>
                <w:highlight w:val="none"/>
                <w:shd w:val="clear" w:color="auto" w:fill="auto"/>
              </w:rPr>
              <w:t>年</w:t>
            </w:r>
            <w:r>
              <w:rPr>
                <w:rFonts w:hint="default" w:ascii="Times New Roman" w:hAnsi="Times New Roman" w:eastAsia="黑体" w:cs="Times New Roman"/>
                <w:color w:val="auto"/>
                <w:sz w:val="24"/>
                <w:szCs w:val="24"/>
                <w:highlight w:val="none"/>
                <w:u w:val="single"/>
                <w:shd w:val="clear" w:color="auto" w:fill="auto"/>
              </w:rPr>
              <w:t xml:space="preserve">  </w:t>
            </w:r>
            <w:r>
              <w:rPr>
                <w:rFonts w:hint="eastAsia" w:eastAsia="黑体" w:cs="Times New Roman"/>
                <w:color w:val="auto"/>
                <w:sz w:val="24"/>
                <w:szCs w:val="24"/>
                <w:highlight w:val="none"/>
                <w:u w:val="single"/>
                <w:shd w:val="clear" w:color="auto" w:fill="auto"/>
                <w:lang w:val="en-US" w:eastAsia="zh-CN"/>
              </w:rPr>
              <w:t>01</w:t>
            </w:r>
            <w:r>
              <w:rPr>
                <w:rFonts w:hint="default" w:ascii="Times New Roman" w:hAnsi="Times New Roman" w:eastAsia="黑体" w:cs="Times New Roman"/>
                <w:color w:val="auto"/>
                <w:sz w:val="24"/>
                <w:szCs w:val="24"/>
                <w:highlight w:val="none"/>
                <w:u w:val="single"/>
                <w:shd w:val="clear" w:color="auto" w:fill="auto"/>
              </w:rPr>
              <w:t xml:space="preserve"> </w:t>
            </w:r>
            <w:r>
              <w:rPr>
                <w:rFonts w:hint="default" w:ascii="Times New Roman" w:hAnsi="Times New Roman" w:cs="Times New Roman"/>
                <w:color w:val="auto"/>
                <w:sz w:val="24"/>
                <w:szCs w:val="24"/>
                <w:highlight w:val="none"/>
                <w:shd w:val="clear" w:color="auto" w:fill="auto"/>
              </w:rPr>
              <w:t>月</w:t>
            </w:r>
            <w:r>
              <w:rPr>
                <w:rFonts w:hint="default" w:ascii="Times New Roman" w:hAnsi="Times New Roman" w:eastAsia="黑体" w:cs="Times New Roman"/>
                <w:color w:val="auto"/>
                <w:sz w:val="24"/>
                <w:szCs w:val="24"/>
                <w:highlight w:val="none"/>
                <w:u w:val="single"/>
                <w:shd w:val="clear" w:color="auto" w:fill="auto"/>
              </w:rPr>
              <w:t xml:space="preserve">  </w:t>
            </w:r>
            <w:r>
              <w:rPr>
                <w:rFonts w:hint="eastAsia" w:eastAsia="黑体" w:cs="Times New Roman"/>
                <w:color w:val="auto"/>
                <w:sz w:val="24"/>
                <w:szCs w:val="24"/>
                <w:highlight w:val="none"/>
                <w:u w:val="single"/>
                <w:shd w:val="clear" w:color="auto" w:fill="auto"/>
                <w:lang w:val="en-US" w:eastAsia="zh-CN"/>
              </w:rPr>
              <w:t>01</w:t>
            </w:r>
            <w:r>
              <w:rPr>
                <w:rFonts w:hint="default" w:ascii="Times New Roman" w:hAnsi="Times New Roman" w:eastAsia="黑体" w:cs="Times New Roman"/>
                <w:color w:val="auto"/>
                <w:sz w:val="24"/>
                <w:szCs w:val="24"/>
                <w:highlight w:val="none"/>
                <w:u w:val="single"/>
                <w:shd w:val="clear" w:color="auto" w:fill="auto"/>
              </w:rPr>
              <w:t xml:space="preserve"> </w:t>
            </w:r>
            <w:r>
              <w:rPr>
                <w:rFonts w:hint="default" w:ascii="Times New Roman" w:hAnsi="Times New Roman" w:cs="Times New Roman"/>
                <w:color w:val="auto"/>
                <w:sz w:val="24"/>
                <w:szCs w:val="24"/>
                <w:highlight w:val="none"/>
                <w:shd w:val="clear" w:color="auto" w:fill="auto"/>
              </w:rPr>
              <w:t>日至投标文件递交截止日</w:t>
            </w:r>
          </w:p>
        </w:tc>
      </w:tr>
      <w:tr w14:paraId="6FA4687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8BDCAD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81B3AA1">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是否允许递交备选投标方案</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76A64DA6">
            <w:pPr>
              <w:pStyle w:val="16"/>
              <w:pageBreakBefore w:val="0"/>
              <w:kinsoku/>
              <w:wordWrap w:val="0"/>
              <w:topLinePunct/>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不允许</w:t>
            </w:r>
          </w:p>
          <w:p w14:paraId="58FF1E35">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允许</w:t>
            </w:r>
          </w:p>
        </w:tc>
      </w:tr>
      <w:tr w14:paraId="7028200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3ED631">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br w:type="page"/>
            </w:r>
            <w:r>
              <w:rPr>
                <w:rFonts w:hint="default" w:ascii="Times New Roman" w:hAnsi="Times New Roman" w:cs="Times New Roman"/>
                <w:color w:val="auto"/>
                <w:sz w:val="24"/>
                <w:szCs w:val="24"/>
                <w:highlight w:val="none"/>
              </w:rPr>
              <w:t>3.7.</w:t>
            </w:r>
            <w:r>
              <w:rPr>
                <w:rFonts w:hint="default" w:ascii="Times New Roman" w:hAnsi="Times New Roman" w:cs="Times New Roman"/>
                <w:color w:val="auto"/>
                <w:sz w:val="24"/>
                <w:szCs w:val="24"/>
                <w:highlight w:val="none"/>
                <w:lang w:val="en-US" w:eastAsia="zh-CN"/>
              </w:rPr>
              <w:t>5</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C413421">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投标文件</w:t>
            </w:r>
            <w:r>
              <w:rPr>
                <w:rFonts w:hint="default" w:ascii="Times New Roman" w:hAnsi="Times New Roman" w:cs="Times New Roman"/>
                <w:color w:val="auto"/>
                <w:sz w:val="24"/>
                <w:szCs w:val="24"/>
                <w:highlight w:val="none"/>
                <w:lang w:val="en-US" w:eastAsia="zh-CN"/>
              </w:rPr>
              <w:t>上传</w:t>
            </w:r>
            <w:r>
              <w:rPr>
                <w:rFonts w:hint="default" w:ascii="Times New Roman" w:hAnsi="Times New Roman" w:cs="Times New Roman"/>
                <w:color w:val="auto"/>
                <w:sz w:val="24"/>
                <w:szCs w:val="24"/>
                <w:highlight w:val="none"/>
              </w:rPr>
              <w:t>要求</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CE6FB7C">
            <w:pPr>
              <w:pStyle w:val="16"/>
              <w:pageBreakBefore w:val="0"/>
              <w:kinsoku/>
              <w:wordWrap w:val="0"/>
              <w:topLinePunct/>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投标人应在规定的投标截止时间前，通过互联网</w:t>
            </w:r>
            <w:r>
              <w:rPr>
                <w:rFonts w:hint="eastAsia" w:ascii="Times New Roman"/>
                <w:color w:val="auto"/>
                <w:sz w:val="24"/>
                <w:szCs w:val="32"/>
                <w:highlight w:val="none"/>
                <w:lang w:val="en-US" w:eastAsia="zh-CN"/>
              </w:rPr>
              <w:t>使用</w:t>
            </w:r>
            <w:r>
              <w:rPr>
                <w:rFonts w:hint="default" w:ascii="Times New Roman" w:hAnsi="Times New Roman" w:cs="Times New Roman"/>
                <w:color w:val="auto"/>
                <w:sz w:val="24"/>
                <w:szCs w:val="24"/>
                <w:highlight w:val="none"/>
              </w:rPr>
              <w:t>CA数字证书登录</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）将拒绝接收。</w:t>
            </w:r>
          </w:p>
        </w:tc>
      </w:tr>
      <w:tr w14:paraId="70C638F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BD390CA">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3.7.</w:t>
            </w:r>
            <w:r>
              <w:rPr>
                <w:rFonts w:hint="default" w:ascii="Times New Roman" w:hAnsi="Times New Roman" w:cs="Times New Roman"/>
                <w:color w:val="auto"/>
                <w:sz w:val="24"/>
                <w:szCs w:val="24"/>
                <w:highlight w:val="none"/>
                <w:lang w:val="en-US" w:eastAsia="zh-CN"/>
              </w:rPr>
              <w:t>6</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E39B399">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投标文件其他要求</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C6BB211">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本项目采用电子招标投标形式，投标期间不需提供纸质投标文件。中标人在合同签订前需向招标人提交资料：</w:t>
            </w:r>
          </w:p>
          <w:p w14:paraId="64BFB142">
            <w:pPr>
              <w:spacing w:line="440" w:lineRule="exact"/>
              <w:jc w:val="lef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纸质版投标文件：</w:t>
            </w:r>
            <w:r>
              <w:rPr>
                <w:rFonts w:hint="eastAsia" w:cs="Times New Roman"/>
                <w:color w:val="auto"/>
                <w:sz w:val="24"/>
                <w:szCs w:val="24"/>
                <w:highlight w:val="none"/>
                <w:u w:val="single"/>
                <w:lang w:val="en-US" w:eastAsia="zh-CN"/>
              </w:rPr>
              <w:t xml:space="preserve">  6  </w:t>
            </w:r>
            <w:r>
              <w:rPr>
                <w:rFonts w:hint="default" w:ascii="Times New Roman" w:hAnsi="Times New Roman" w:cs="Times New Roman"/>
                <w:color w:val="auto"/>
                <w:sz w:val="24"/>
                <w:szCs w:val="24"/>
                <w:highlight w:val="none"/>
              </w:rPr>
              <w:t>套；</w:t>
            </w:r>
          </w:p>
          <w:p w14:paraId="00C70B82">
            <w:pPr>
              <w:pStyle w:val="16"/>
              <w:pageBreakBefore w:val="0"/>
              <w:kinsoku/>
              <w:wordWrap w:val="0"/>
              <w:topLinePunct/>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Cs w:val="24"/>
                <w:highlight w:val="none"/>
              </w:rPr>
              <w:t>电子版投标文件，具体要求为：</w:t>
            </w:r>
            <w:r>
              <w:rPr>
                <w:rFonts w:hint="default" w:ascii="Times New Roman" w:hAnsi="Times New Roman" w:cs="Times New Roman"/>
                <w:color w:val="auto"/>
                <w:szCs w:val="24"/>
                <w:highlight w:val="none"/>
                <w:u w:val="single"/>
              </w:rPr>
              <w:t>电子投标文件U盘2份(PDF格式）。</w:t>
            </w:r>
          </w:p>
        </w:tc>
      </w:tr>
      <w:tr w14:paraId="00948D8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09BE5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0350A4A">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1667D74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r>
              <w:rPr>
                <w:rFonts w:hint="eastAsia" w:cs="Times New Roman"/>
                <w:color w:val="auto"/>
                <w:kern w:val="2"/>
                <w:sz w:val="24"/>
                <w:szCs w:val="24"/>
                <w:highlight w:val="none"/>
                <w:lang w:val="en-US" w:eastAsia="zh-CN" w:bidi="ar-SA"/>
              </w:rPr>
              <w:t>。</w:t>
            </w:r>
          </w:p>
          <w:p w14:paraId="75BBAE71">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r>
              <w:rPr>
                <w:rFonts w:hint="eastAsia" w:cs="Times New Roman"/>
                <w:color w:val="auto"/>
                <w:kern w:val="2"/>
                <w:sz w:val="24"/>
                <w:szCs w:val="24"/>
                <w:highlight w:val="none"/>
                <w:lang w:val="en-US" w:eastAsia="zh-CN" w:bidi="ar-SA"/>
              </w:rPr>
              <w:t>。</w:t>
            </w:r>
          </w:p>
          <w:p w14:paraId="5E6309B2">
            <w:pPr>
              <w:shd w:val="clear"/>
              <w:spacing w:line="44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color w:val="auto"/>
                <w:kern w:val="2"/>
                <w:sz w:val="24"/>
                <w:szCs w:val="24"/>
                <w:highlight w:val="none"/>
                <w:u w:val="single"/>
                <w:lang w:val="en-US" w:eastAsia="zh-CN" w:bidi="ar-SA"/>
              </w:rPr>
              <w:t>辽宁省公共资源交易中心不见面开标大厅</w:t>
            </w:r>
          </w:p>
          <w:p w14:paraId="497E7C28">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single"/>
                <w:lang w:val="en-US" w:eastAsia="zh-CN" w:bidi="ar-SA"/>
              </w:rPr>
              <w:t>（https://www.lnsggzy.com/BidOpeningHall/bidhall/dqliaoning/login）</w:t>
            </w:r>
          </w:p>
        </w:tc>
      </w:tr>
      <w:tr w14:paraId="5F7FC97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4C919D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554BACAD">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第一个信封（商务及技术文件）开标程序</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9FD28A8">
            <w:pPr>
              <w:pageBreakBefore w:val="0"/>
              <w:numPr>
                <w:ilvl w:val="0"/>
                <w:numId w:val="0"/>
              </w:numPr>
              <w:kinsoku/>
              <w:wordWrap w:val="0"/>
              <w:bidi w:val="0"/>
              <w:spacing w:line="440" w:lineRule="exact"/>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lang w:val="en-US" w:eastAsia="zh-CN"/>
              </w:rPr>
              <w:t>第一个信封</w:t>
            </w:r>
            <w:r>
              <w:rPr>
                <w:rFonts w:hint="default" w:ascii="Times New Roman" w:hAnsi="Times New Roman" w:cs="Times New Roman"/>
                <w:color w:val="auto"/>
                <w:sz w:val="24"/>
                <w:szCs w:val="24"/>
                <w:highlight w:val="none"/>
              </w:rPr>
              <w:t>（商务及技术文件）</w:t>
            </w:r>
            <w:r>
              <w:rPr>
                <w:rFonts w:hint="default" w:ascii="Times New Roman" w:hAnsi="Times New Roman" w:cs="Times New Roman"/>
                <w:color w:val="auto"/>
                <w:sz w:val="24"/>
                <w:szCs w:val="24"/>
                <w:highlight w:val="none"/>
                <w:lang w:eastAsia="zh-CN"/>
              </w:rPr>
              <w:t>解密</w:t>
            </w:r>
            <w:r>
              <w:rPr>
                <w:rFonts w:hint="eastAsia" w:cs="Times New Roman"/>
                <w:color w:val="auto"/>
                <w:sz w:val="24"/>
                <w:szCs w:val="24"/>
                <w:highlight w:val="none"/>
                <w:lang w:val="en-US" w:eastAsia="zh-CN"/>
              </w:rPr>
              <w:t>时长：</w:t>
            </w:r>
            <w:r>
              <w:rPr>
                <w:rFonts w:hint="eastAsia" w:cs="Times New Roman"/>
                <w:color w:val="auto"/>
                <w:sz w:val="24"/>
                <w:szCs w:val="24"/>
                <w:highlight w:val="none"/>
                <w:u w:val="single"/>
                <w:lang w:val="en-US" w:eastAsia="zh-CN"/>
              </w:rPr>
              <w:t>30</w:t>
            </w:r>
            <w:r>
              <w:rPr>
                <w:rFonts w:hint="eastAsia" w:cs="Times New Roman"/>
                <w:color w:val="auto"/>
                <w:sz w:val="24"/>
                <w:szCs w:val="24"/>
                <w:highlight w:val="none"/>
                <w:u w:val="none"/>
                <w:lang w:val="en-US" w:eastAsia="zh-CN"/>
              </w:rPr>
              <w:t>分钟，当所有上传的电子投标文件均完成解密时，时长相应缩短。</w:t>
            </w:r>
          </w:p>
          <w:p w14:paraId="7650775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投标人必须在规定解密时间内完成投标文件的远程解密。</w:t>
            </w:r>
            <w:r>
              <w:rPr>
                <w:rFonts w:hint="eastAsia" w:ascii="宋体" w:hAnsi="宋体" w:eastAsia="宋体" w:cs="宋体"/>
                <w:color w:val="auto"/>
                <w:sz w:val="24"/>
                <w:szCs w:val="24"/>
                <w:highlight w:val="none"/>
                <w:lang w:val="en-US" w:eastAsia="zh-CN"/>
              </w:rPr>
              <w:t>除特殊说明情况外，若出现在规定时间未成功解密的情况，视为撤销投标文件</w:t>
            </w:r>
            <w:r>
              <w:rPr>
                <w:rFonts w:hint="eastAsia" w:ascii="宋体" w:hAnsi="宋体" w:eastAsia="宋体" w:cs="宋体"/>
                <w:color w:val="auto"/>
                <w:sz w:val="24"/>
                <w:szCs w:val="24"/>
                <w:highlight w:val="none"/>
                <w:lang w:eastAsia="zh-CN"/>
              </w:rPr>
              <w:t>。</w:t>
            </w:r>
          </w:p>
        </w:tc>
      </w:tr>
      <w:tr w14:paraId="38D70EA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B073DC5">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5.2.1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587ED1B">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投标人参与详细评审的具体标段号的随机确定程序</w:t>
            </w:r>
            <w:r>
              <w:rPr>
                <w:rStyle w:val="48"/>
                <w:rFonts w:hint="default" w:ascii="Times New Roman" w:hAnsi="Times New Roman" w:cs="Times New Roman"/>
                <w:color w:val="auto"/>
                <w:sz w:val="24"/>
                <w:szCs w:val="24"/>
                <w:highlight w:val="none"/>
              </w:rPr>
              <w:footnoteReference w:id="3"/>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7E1535F">
            <w:pPr>
              <w:pageBreakBefore w:val="0"/>
              <w:kinsoku/>
              <w:wordWrap w:val="0"/>
              <w:bidi w:val="0"/>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适用，随机确定投标标段：</w:t>
            </w:r>
            <w:r>
              <w:rPr>
                <w:rFonts w:hint="eastAsia" w:ascii="宋体" w:hAnsi="宋体" w:eastAsia="宋体" w:cs="宋体"/>
                <w:color w:val="auto"/>
                <w:sz w:val="24"/>
                <w:szCs w:val="24"/>
                <w:highlight w:val="none"/>
                <w:u w:val="single"/>
                <w:lang w:val="en-US" w:eastAsia="zh-CN"/>
              </w:rPr>
              <w:t xml:space="preserve">        </w:t>
            </w:r>
          </w:p>
          <w:p w14:paraId="017385A0">
            <w:pPr>
              <w:pageBreakBefore w:val="0"/>
              <w:kinsoku/>
              <w:wordWrap w:val="0"/>
              <w:bidi w:val="0"/>
              <w:spacing w:line="440" w:lineRule="exact"/>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不适用</w:t>
            </w:r>
          </w:p>
        </w:tc>
      </w:tr>
      <w:tr w14:paraId="5842EA2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A8F0FC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21DB37B">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第二个信封（报价文件）开标程序</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177BDC2">
            <w:pPr>
              <w:wordWrap w:val="0"/>
              <w:spacing w:line="440" w:lineRule="exact"/>
              <w:rPr>
                <w:color w:val="auto"/>
                <w:sz w:val="24"/>
                <w:highlight w:val="none"/>
                <w:lang w:eastAsia="zh"/>
              </w:rPr>
            </w:pP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第二个信封（报价文件）</w:t>
            </w:r>
            <w:r>
              <w:rPr>
                <w:rFonts w:hint="default" w:ascii="Times New Roman" w:hAnsi="Times New Roman" w:cs="Times New Roman"/>
                <w:color w:val="auto"/>
                <w:sz w:val="24"/>
                <w:szCs w:val="24"/>
                <w:highlight w:val="none"/>
                <w:lang w:eastAsia="zh-CN"/>
              </w:rPr>
              <w:t>解密</w:t>
            </w:r>
            <w:r>
              <w:rPr>
                <w:rFonts w:hint="eastAsia" w:cs="Times New Roman"/>
                <w:color w:val="auto"/>
                <w:sz w:val="24"/>
                <w:szCs w:val="24"/>
                <w:highlight w:val="none"/>
                <w:lang w:val="en-US" w:eastAsia="zh-CN"/>
              </w:rPr>
              <w:t>时长：</w:t>
            </w:r>
            <w:r>
              <w:rPr>
                <w:rFonts w:hint="eastAsia" w:cs="Times New Roman"/>
                <w:color w:val="auto"/>
                <w:sz w:val="24"/>
                <w:szCs w:val="24"/>
                <w:highlight w:val="none"/>
                <w:u w:val="single"/>
                <w:lang w:val="en-US" w:eastAsia="zh-CN"/>
              </w:rPr>
              <w:t>30</w:t>
            </w:r>
            <w:r>
              <w:rPr>
                <w:rFonts w:hint="eastAsia"/>
                <w:color w:val="auto"/>
                <w:sz w:val="24"/>
                <w:highlight w:val="none"/>
                <w:u w:val="none"/>
                <w:lang w:eastAsia="zh"/>
              </w:rPr>
              <w:t>分钟，当所有参与第二个信封评审的电子投标文件均完成解密时，时长相应缩短。</w:t>
            </w:r>
          </w:p>
          <w:p w14:paraId="61571D77">
            <w:pPr>
              <w:pageBreakBefore w:val="0"/>
              <w:kinsoku/>
              <w:wordWrap w:val="0"/>
              <w:bidi w:val="0"/>
              <w:spacing w:line="440" w:lineRule="exact"/>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人必须在规定解密时间内完成投标文件的远程解密。除特殊说明情况外，若出现在规定时间未成功解密的情况，视为撤销投标文件。投标人应确保“不见面开标大厅”所留项目联系方式正确且开评标期间全程畅通。如若投标人未解密文件或投标人电话未接通或投标人所留联系方式不正确，均视为自动放弃，按未递交处理。</w:t>
            </w:r>
          </w:p>
        </w:tc>
      </w:tr>
      <w:tr w14:paraId="2E9E306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7D7FBC">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5.3.1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0B549FD2">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开标补救措施</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1082F8B3">
            <w:pPr>
              <w:pageBreakBefore w:val="0"/>
              <w:kinsoku/>
              <w:wordWrap w:val="0"/>
              <w:bidi w:val="0"/>
              <w:spacing w:line="440" w:lineRule="exact"/>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086A64A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C94406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6F3865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评标委员会的组建</w:t>
            </w:r>
            <w:r>
              <w:rPr>
                <w:rStyle w:val="48"/>
                <w:rFonts w:hint="default" w:ascii="Times New Roman" w:hAnsi="Times New Roman" w:cs="Times New Roman"/>
                <w:color w:val="auto"/>
                <w:sz w:val="24"/>
                <w:szCs w:val="24"/>
                <w:highlight w:val="none"/>
              </w:rPr>
              <w:footnoteReference w:id="4"/>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8998106">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评标委员会构成：</w:t>
            </w:r>
            <w:r>
              <w:rPr>
                <w:rFonts w:hint="eastAsia"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rPr>
              <w:t>人，其中招标人代表</w:t>
            </w:r>
            <w:r>
              <w:rPr>
                <w:rFonts w:hint="eastAsia" w:cs="Times New Roman"/>
                <w:color w:val="auto"/>
                <w:sz w:val="24"/>
                <w:szCs w:val="24"/>
                <w:highlight w:val="none"/>
                <w:u w:val="single"/>
                <w:lang w:val="en-US" w:eastAsia="zh-CN"/>
              </w:rPr>
              <w:t>0</w:t>
            </w:r>
            <w:r>
              <w:rPr>
                <w:rFonts w:hint="default" w:ascii="Times New Roman" w:hAnsi="Times New Roman" w:cs="Times New Roman"/>
                <w:color w:val="auto"/>
                <w:sz w:val="24"/>
                <w:szCs w:val="24"/>
                <w:highlight w:val="none"/>
              </w:rPr>
              <w:t>人，专家</w:t>
            </w:r>
            <w:r>
              <w:rPr>
                <w:rFonts w:hint="eastAsia"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rPr>
              <w:t>人；</w:t>
            </w:r>
          </w:p>
          <w:p w14:paraId="46303E64">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评标专家确定方式：</w:t>
            </w:r>
            <w:r>
              <w:rPr>
                <w:rFonts w:hint="default" w:ascii="Times New Roman" w:hAnsi="Times New Roman" w:cs="Times New Roman"/>
                <w:color w:val="auto"/>
                <w:sz w:val="24"/>
                <w:szCs w:val="24"/>
                <w:u w:val="single"/>
              </w:rPr>
              <w:t>依法从相应评标专家库中随机抽取</w:t>
            </w:r>
          </w:p>
        </w:tc>
      </w:tr>
      <w:tr w14:paraId="03BDDADA">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D52C7C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6.3.2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5B5F565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评标委员会推荐中标候选人的人数</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13A0AAB">
            <w:pPr>
              <w:pageBreakBefore w:val="0"/>
              <w:kinsoku/>
              <w:wordWrap w:val="0"/>
              <w:bidi w:val="0"/>
              <w:spacing w:line="440" w:lineRule="exact"/>
              <w:rPr>
                <w:rFonts w:hint="default" w:ascii="Times New Roman" w:hAnsi="Times New Roman" w:cs="Times New Roman"/>
                <w:color w:val="auto"/>
                <w:spacing w:val="10"/>
                <w:sz w:val="24"/>
                <w:szCs w:val="24"/>
                <w:highlight w:val="none"/>
                <w:bdr w:val="single" w:color="auto" w:sz="4" w:space="0"/>
              </w:rPr>
            </w:pPr>
            <w:r>
              <w:rPr>
                <w:rFonts w:hint="eastAsia" w:cs="Times New Roman"/>
                <w:color w:val="auto"/>
                <w:sz w:val="24"/>
                <w:szCs w:val="24"/>
                <w:lang w:val="en-US" w:eastAsia="zh-CN"/>
              </w:rPr>
              <w:t>3名</w:t>
            </w:r>
          </w:p>
        </w:tc>
      </w:tr>
      <w:tr w14:paraId="0ABCEBD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745E8A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3E1E01A">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中标候选人公示媒介及期限</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公示媒介：同发布招标公告媒介</w:t>
            </w:r>
          </w:p>
          <w:p w14:paraId="51ED97CC">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公示期限：</w:t>
            </w:r>
            <w:r>
              <w:rPr>
                <w:rFonts w:hint="default" w:ascii="Times New Roman" w:hAnsi="Times New Roman" w:cs="Times New Roman"/>
                <w:color w:val="auto"/>
                <w:sz w:val="24"/>
                <w:szCs w:val="24"/>
                <w:highlight w:val="none"/>
                <w:u w:val="single"/>
              </w:rPr>
              <w:t>不少于3</w:t>
            </w:r>
            <w:r>
              <w:rPr>
                <w:rFonts w:hint="default" w:ascii="Times New Roman" w:hAnsi="Times New Roman" w:cs="Times New Roman"/>
                <w:color w:val="auto"/>
                <w:sz w:val="24"/>
                <w:szCs w:val="24"/>
                <w:highlight w:val="none"/>
              </w:rPr>
              <w:t>日</w:t>
            </w:r>
          </w:p>
          <w:p w14:paraId="0AFBAAE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公示的其他内容：</w:t>
            </w:r>
          </w:p>
          <w:p w14:paraId="3781BBD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highlight w:val="none"/>
                <w:u w:val="single"/>
                <w:lang w:val="en-US" w:eastAsia="zh-CN"/>
              </w:rPr>
            </w:pPr>
            <w:r>
              <w:rPr>
                <w:rFonts w:hint="eastAsia"/>
                <w:color w:val="auto"/>
                <w:sz w:val="24"/>
                <w:highlight w:val="none"/>
                <w:lang w:eastAsia="zh-CN"/>
              </w:rPr>
              <w:t>□</w:t>
            </w:r>
            <w:r>
              <w:rPr>
                <w:rFonts w:hint="eastAsia" w:cs="Times New Roman"/>
                <w:color w:val="auto"/>
                <w:sz w:val="24"/>
                <w:szCs w:val="24"/>
                <w:highlight w:val="none"/>
                <w:u w:val="single"/>
                <w:lang w:val="en-US" w:eastAsia="zh-CN"/>
              </w:rPr>
              <w:t xml:space="preserve">   /   </w:t>
            </w:r>
          </w:p>
          <w:p w14:paraId="65BCCD4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u w:val="none"/>
              </w:rPr>
              <w:t>如发现投标人存在弄虚作假行为，招标人将取消其中标候选人资格，并上报省级交通主管部门，作为不良记录纳入</w:t>
            </w:r>
            <w:r>
              <w:rPr>
                <w:rFonts w:hint="eastAsia" w:cs="Times New Roman"/>
                <w:color w:val="auto"/>
                <w:sz w:val="24"/>
                <w:szCs w:val="24"/>
                <w:highlight w:val="none"/>
                <w:u w:val="none"/>
                <w:lang w:eastAsia="zh-CN"/>
              </w:rPr>
              <w:t>全国公路建设市场监督管理系统</w:t>
            </w:r>
            <w:r>
              <w:rPr>
                <w:rFonts w:hint="default" w:ascii="Times New Roman" w:hAnsi="Times New Roman" w:cs="Times New Roman"/>
                <w:color w:val="auto"/>
                <w:sz w:val="24"/>
                <w:szCs w:val="24"/>
                <w:highlight w:val="none"/>
                <w:u w:val="none"/>
              </w:rPr>
              <w:t>。</w:t>
            </w:r>
          </w:p>
        </w:tc>
      </w:tr>
      <w:tr w14:paraId="68F6C32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2420E92">
            <w:pPr>
              <w:pageBreakBefore w:val="0"/>
              <w:kinsoku/>
              <w:wordWrap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7.4</w:t>
            </w:r>
            <w:r>
              <w:rPr>
                <w:rFonts w:hint="eastAsia" w:cs="Times New Roman"/>
                <w:color w:val="auto"/>
                <w:sz w:val="24"/>
                <w:szCs w:val="24"/>
                <w:highlight w:val="none"/>
                <w:lang w:val="en-US" w:eastAsia="zh-CN"/>
              </w:rPr>
              <w:t>.1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D01A706">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是否授权评标委员会确定中标人</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0461DE1B">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是</w:t>
            </w:r>
          </w:p>
          <w:p w14:paraId="65690AA5">
            <w:pPr>
              <w:pageBreakBefore w:val="0"/>
              <w:kinsoku/>
              <w:wordWrap w:val="0"/>
              <w:bidi w:val="0"/>
              <w:snapToGrid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否</w:t>
            </w:r>
          </w:p>
        </w:tc>
      </w:tr>
      <w:tr w14:paraId="6A0BC3F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21C2546">
            <w:pPr>
              <w:pageBreakBefore w:val="0"/>
              <w:kinsoku/>
              <w:wordWrap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7.4.2</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A18B24E">
            <w:pPr>
              <w:pageBreakBefore w:val="0"/>
              <w:kinsoku/>
              <w:wordWrap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定标规则</w:t>
            </w:r>
            <w:r>
              <w:rPr>
                <w:rStyle w:val="48"/>
                <w:rFonts w:hint="eastAsia" w:cs="Times New Roman"/>
                <w:color w:val="auto"/>
                <w:sz w:val="24"/>
                <w:szCs w:val="24"/>
                <w:highlight w:val="none"/>
                <w:lang w:val="en-US" w:eastAsia="zh-CN"/>
              </w:rPr>
              <w:footnoteReference w:id="5"/>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49C25DDD">
            <w:pPr>
              <w:pageBreakBefore w:val="0"/>
              <w:kinsoku/>
              <w:wordWrap w:val="0"/>
              <w:bidi w:val="0"/>
              <w:snapToGrid w:val="0"/>
              <w:spacing w:line="440" w:lineRule="exact"/>
              <w:rPr>
                <w:rFonts w:hint="default"/>
                <w:color w:val="auto"/>
                <w:sz w:val="24"/>
                <w:highlight w:val="none"/>
                <w:lang w:val="en-US" w:eastAsia="zh-CN"/>
              </w:rPr>
            </w:pPr>
            <w:r>
              <w:rPr>
                <w:rFonts w:hint="eastAsia" w:ascii="宋体" w:hAnsi="宋体" w:eastAsia="宋体" w:cs="宋体"/>
                <w:color w:val="auto"/>
                <w:sz w:val="24"/>
                <w:highlight w:val="none"/>
                <w:lang w:val="en-US" w:eastAsia="zh-CN"/>
              </w:rPr>
              <w:t>招标人根据</w:t>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highlight w:val="none"/>
                <w:lang w:val="en-US" w:eastAsia="zh-CN"/>
              </w:rPr>
              <w:t>推荐的中标候选人排序，‌确定排名第一的中标候选人为中标人‌‌‌。</w:t>
            </w:r>
          </w:p>
        </w:tc>
      </w:tr>
      <w:tr w14:paraId="6E90C3F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AAA3B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7.5</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31F10A0">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中标通知书的形式</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20D94815">
            <w:pPr>
              <w:pageBreakBefore w:val="0"/>
              <w:kinsoku/>
              <w:wordWrap w:val="0"/>
              <w:bidi w:val="0"/>
              <w:spacing w:line="440" w:lineRule="exact"/>
              <w:rPr>
                <w:rFonts w:hint="default" w:ascii="Times New Roman" w:hAnsi="Times New Roman" w:eastAsia="宋体" w:cs="Times New Roman"/>
                <w:color w:val="auto"/>
                <w:sz w:val="24"/>
                <w:szCs w:val="24"/>
                <w:highlight w:val="none"/>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书面形式</w:t>
            </w:r>
          </w:p>
          <w:p w14:paraId="61F5B63E">
            <w:pPr>
              <w:pageBreakBefore w:val="0"/>
              <w:kinsoku/>
              <w:wordWrap w:val="0"/>
              <w:overflowPunct/>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电子形式：</w:t>
            </w:r>
          </w:p>
        </w:tc>
      </w:tr>
      <w:tr w14:paraId="6A22294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E0CB2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7.6</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3B2F085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中标结果公告媒介及期限</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1BE70171">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公告媒介：同发布招标公告媒介</w:t>
            </w:r>
          </w:p>
          <w:p w14:paraId="7BCC0869">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不少于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tc>
      </w:tr>
      <w:tr w14:paraId="5894342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2CEBF">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7.7.1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47F904F">
            <w:pPr>
              <w:spacing w:line="440" w:lineRule="exact"/>
              <w:jc w:val="center"/>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cs="Times New Roman"/>
                <w:color w:val="auto"/>
                <w:sz w:val="24"/>
                <w:szCs w:val="24"/>
                <w:highlight w:val="none"/>
              </w:rPr>
              <w:t>履约保证金</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5EE28A3F">
            <w:pPr>
              <w:pStyle w:val="16"/>
              <w:topLinePunct/>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是否要求中标人提交履约保证金：</w:t>
            </w:r>
          </w:p>
          <w:p w14:paraId="0B674437">
            <w:pPr>
              <w:pStyle w:val="16"/>
              <w:keepNext w:val="0"/>
              <w:keepLines w:val="0"/>
              <w:pageBreakBefore w:val="0"/>
              <w:widowControl w:val="0"/>
              <w:kinsoku/>
              <w:wordWrap w:val="0"/>
              <w:overflowPunct/>
              <w:topLinePunct/>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要求，履约保证金的形式：</w:t>
            </w:r>
            <w:r>
              <w:rPr>
                <w:rFonts w:hint="default" w:ascii="Times New Roman" w:hAnsi="Times New Roman" w:cs="Times New Roman"/>
                <w:color w:val="auto"/>
                <w:sz w:val="24"/>
                <w:szCs w:val="24"/>
                <w:highlight w:val="none"/>
                <w:u w:val="single"/>
              </w:rPr>
              <w:t>由中标人自主选择银行保函或者现金、支票等招标人可接受的支付形式。</w:t>
            </w:r>
            <w:r>
              <w:rPr>
                <w:rStyle w:val="48"/>
                <w:rFonts w:hint="default" w:ascii="Times New Roman" w:hAnsi="Times New Roman" w:cs="Times New Roman"/>
                <w:color w:val="auto"/>
                <w:sz w:val="24"/>
                <w:szCs w:val="24"/>
                <w:highlight w:val="none"/>
              </w:rPr>
              <w:footnoteReference w:id="6"/>
            </w:r>
          </w:p>
          <w:p w14:paraId="76695955">
            <w:pPr>
              <w:wordWrap w:val="0"/>
              <w:spacing w:line="440" w:lineRule="exact"/>
              <w:ind w:firstLine="480" w:firstLineChars="200"/>
              <w:rPr>
                <w:color w:val="auto"/>
                <w:sz w:val="24"/>
                <w:highlight w:val="none"/>
              </w:rPr>
            </w:pPr>
            <w:r>
              <w:rPr>
                <w:color w:val="auto"/>
                <w:sz w:val="24"/>
                <w:highlight w:val="none"/>
              </w:rPr>
              <w:t>履约保证金的金额：</w:t>
            </w:r>
            <w:r>
              <w:rPr>
                <w:rFonts w:hint="eastAsia" w:ascii="宋体" w:hAnsi="宋体" w:eastAsia="宋体" w:cs="宋体"/>
                <w:b w:val="0"/>
                <w:bCs w:val="0"/>
                <w:color w:val="auto"/>
                <w:sz w:val="24"/>
                <w:szCs w:val="24"/>
                <w:highlight w:val="none"/>
                <w:u w:val="single"/>
              </w:rPr>
              <w:t>5％</w:t>
            </w:r>
            <w:r>
              <w:rPr>
                <w:rFonts w:hint="default" w:ascii="Times New Roman" w:hAnsi="Times New Roman" w:cs="Times New Roman"/>
                <w:color w:val="auto"/>
                <w:sz w:val="24"/>
                <w:szCs w:val="24"/>
                <w:highlight w:val="none"/>
              </w:rPr>
              <w:t>签约合同价</w:t>
            </w:r>
            <w:r>
              <w:rPr>
                <w:rStyle w:val="48"/>
                <w:rFonts w:hint="default" w:ascii="Times New Roman" w:hAnsi="Times New Roman" w:cs="Times New Roman"/>
                <w:color w:val="auto"/>
                <w:sz w:val="24"/>
                <w:szCs w:val="24"/>
                <w:highlight w:val="none"/>
              </w:rPr>
              <w:footnoteReference w:id="7"/>
            </w:r>
          </w:p>
          <w:p w14:paraId="25A58CE8">
            <w:pPr>
              <w:wordWrap w:val="0"/>
              <w:spacing w:line="440" w:lineRule="exact"/>
              <w:ind w:firstLine="448" w:firstLineChars="200"/>
              <w:rPr>
                <w:rFonts w:hint="eastAsia" w:eastAsia="宋体"/>
                <w:color w:val="auto"/>
                <w:sz w:val="24"/>
                <w:highlight w:val="none"/>
                <w:u w:val="single"/>
                <w:lang w:eastAsia="zh-CN"/>
              </w:rPr>
            </w:pPr>
            <w:r>
              <w:rPr>
                <w:color w:val="auto"/>
                <w:spacing w:val="-8"/>
                <w:sz w:val="24"/>
                <w:highlight w:val="none"/>
              </w:rPr>
              <w:t>采用银行保函时，出具保函的银行级别</w:t>
            </w:r>
            <w:r>
              <w:rPr>
                <w:color w:val="auto"/>
                <w:sz w:val="24"/>
                <w:highlight w:val="none"/>
              </w:rPr>
              <w:t>：</w:t>
            </w:r>
          </w:p>
          <w:p w14:paraId="7FFB59DC">
            <w:pPr>
              <w:wordWrap w:val="0"/>
              <w:spacing w:line="440" w:lineRule="exact"/>
              <w:ind w:firstLine="480" w:firstLineChars="200"/>
              <w:rPr>
                <w:rFonts w:hint="eastAsia"/>
                <w:color w:val="auto"/>
                <w:sz w:val="24"/>
                <w:highlight w:val="none"/>
                <w:u w:val="single"/>
                <w:lang w:val="en-US" w:eastAsia="zh-CN"/>
              </w:rPr>
            </w:pPr>
            <w:r>
              <w:rPr>
                <w:rFonts w:hint="eastAsia"/>
                <w:color w:val="auto"/>
                <w:sz w:val="24"/>
                <w:highlight w:val="none"/>
                <w:u w:val="none"/>
                <w:lang w:val="en-US" w:eastAsia="zh-CN"/>
              </w:rPr>
              <w:t>采用电子保函：</w:t>
            </w:r>
          </w:p>
          <w:p w14:paraId="7BF1848F">
            <w:pPr>
              <w:keepNext w:val="0"/>
              <w:keepLines w:val="0"/>
              <w:pageBreakBefore w:val="0"/>
              <w:widowControl w:val="0"/>
              <w:kinsoku/>
              <w:wordWrap w:val="0"/>
              <w:overflowPunct/>
              <w:autoSpaceDE/>
              <w:autoSpaceDN/>
              <w:bidi w:val="0"/>
              <w:adjustRightInd/>
              <w:snapToGrid/>
              <w:spacing w:line="440" w:lineRule="exact"/>
              <w:textAlignment w:val="auto"/>
              <w:rPr>
                <w:rFonts w:hint="default" w:ascii="Times New Roman" w:hAnsi="Times New Roman" w:eastAsia="宋体" w:cs="Times New Roman"/>
                <w:color w:val="auto"/>
                <w:kern w:val="2"/>
                <w:sz w:val="24"/>
                <w:szCs w:val="24"/>
                <w:highlight w:val="yellow"/>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不要求</w:t>
            </w:r>
          </w:p>
        </w:tc>
      </w:tr>
      <w:tr w14:paraId="044B780A">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93DFCD">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7.8</w:t>
            </w:r>
          </w:p>
        </w:tc>
        <w:tc>
          <w:tcPr>
            <w:tcW w:w="2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C8B5E">
            <w:pPr>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签订合同</w:t>
            </w:r>
          </w:p>
        </w:tc>
        <w:tc>
          <w:tcPr>
            <w:tcW w:w="54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C65A2">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7.8签订合同</w:t>
            </w:r>
          </w:p>
          <w:p w14:paraId="116F0FB9">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补充第7.8.</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w:t>
            </w:r>
          </w:p>
          <w:p w14:paraId="094017ED">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人员履约要求</w:t>
            </w:r>
          </w:p>
          <w:p w14:paraId="618206C9">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收到中标通知书后，应及时向招标人报送满足要求的其他管理人员、其他设备的详细资料【详见合同附件格式《附件四其他管理和技术人员最低要求》】，如中标人报送的人员不满足招标文件要求，招标人有权取消其中标资格。</w:t>
            </w:r>
          </w:p>
          <w:p w14:paraId="34568A6B">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中标人进场时，如果所提供的人员低于投标阶段以及中标后合同谈判阶段所承诺的人员最低标准，即被认为未按合同文件规定履约，发包人将有权与中标人解除合同，另行安排其他单位进行施工。</w:t>
            </w:r>
          </w:p>
          <w:p w14:paraId="48F689EF">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补充第7.8.</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项：</w:t>
            </w:r>
          </w:p>
          <w:p w14:paraId="7E4CEC6B">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如果根据投标人须知第3.5.3项(适用于已进行资格预审的)、第3.5.11项(适用于未进行资格预审的)规定，招标人取消了中标人的中标资格，招标人将以《中华人民共和国招标投标法》、《中华人民共和国招标投标法实施条例》为依据，参照《公路工程建设项目招标投标管理办法》重新组织招标；如果根据投标人须知第7.7.2项或第7.8.1项规定，招标人取消了中标人的中标资格，招标人可将合同授予下一个中标候选人，或者以《中华人民共和国招标投标法》、《中华人民共和国招标投标法实施条例》为依据，参照《公路工程建设项目招标投标管理办法》重新组织招标。</w:t>
            </w:r>
          </w:p>
          <w:p w14:paraId="7D1520E7">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补充第7.8.</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项：</w:t>
            </w:r>
          </w:p>
          <w:p w14:paraId="5F86CDAF">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不平衡单价的调整</w:t>
            </w:r>
          </w:p>
          <w:p w14:paraId="71F536BF">
            <w:pPr>
              <w:pageBreakBefore w:val="0"/>
              <w:kinsoku/>
              <w:wordWrap w:val="0"/>
              <w:bidi w:val="0"/>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如果招标人在评标结束后发现并认为中标人工程量清单中某些子目的单价不合理，则招标人可以要求中标人就该类子目的报价进行澄清，或提供详细的价格分析以证明这些价格在建议的施工方法和计划的条件下具有合理性。如不能证明其合理性，则在签订合同前进行澄清谈判时，招标人将有权按照总价不变的原则对有关单价进行调整。</w:t>
            </w:r>
          </w:p>
        </w:tc>
      </w:tr>
      <w:tr w14:paraId="29BC03A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5D27AD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8.5.1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2F129A5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监督部门</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77BFC95F">
            <w:pPr>
              <w:pageBreakBefore w:val="0"/>
              <w:kinsoku/>
              <w:wordWrap w:val="0"/>
              <w:bidi w:val="0"/>
              <w:spacing w:line="440" w:lineRule="exact"/>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监督部门</w:t>
            </w:r>
            <w:r>
              <w:rPr>
                <w:rFonts w:hint="default" w:ascii="Times New Roman" w:hAnsi="Times New Roman" w:cs="Times New Roman"/>
                <w:color w:val="auto"/>
                <w:sz w:val="24"/>
                <w:szCs w:val="24"/>
                <w:highlight w:val="none"/>
                <w:shd w:val="clear"/>
              </w:rPr>
              <w:t>：</w:t>
            </w:r>
            <w:r>
              <w:rPr>
                <w:rFonts w:hint="eastAsia" w:cs="Times New Roman"/>
                <w:color w:val="auto"/>
                <w:sz w:val="24"/>
                <w:szCs w:val="24"/>
                <w:highlight w:val="none"/>
                <w:u w:val="single"/>
                <w:shd w:val="clear"/>
                <w:lang w:eastAsia="zh-CN"/>
              </w:rPr>
              <w:t>盖州市交通运输局</w:t>
            </w:r>
          </w:p>
          <w:p w14:paraId="14E87CA8">
            <w:pPr>
              <w:pageBreakBefore w:val="0"/>
              <w:kinsoku/>
              <w:wordWrap w:val="0"/>
              <w:bidi w:val="0"/>
              <w:spacing w:line="440" w:lineRule="exact"/>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rPr>
              <w:t>盖州市清河大街政府2号楼</w:t>
            </w:r>
          </w:p>
          <w:p w14:paraId="58764E7E">
            <w:pPr>
              <w:pageBreakBefore w:val="0"/>
              <w:kinsoku/>
              <w:wordWrap w:val="0"/>
              <w:bidi w:val="0"/>
              <w:spacing w:line="440" w:lineRule="exac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电话：</w:t>
            </w:r>
            <w:r>
              <w:rPr>
                <w:rFonts w:hint="eastAsia" w:cs="Times New Roman"/>
                <w:color w:val="auto"/>
                <w:sz w:val="24"/>
                <w:szCs w:val="24"/>
                <w:highlight w:val="none"/>
                <w:u w:val="single"/>
                <w:lang w:val="en-US" w:eastAsia="zh-CN"/>
              </w:rPr>
              <w:t xml:space="preserve">  0417-7812343 </w:t>
            </w:r>
          </w:p>
          <w:p w14:paraId="16C2A3E3">
            <w:pPr>
              <w:pageBreakBefore w:val="0"/>
              <w:kinsoku/>
              <w:wordWrap w:val="0"/>
              <w:bidi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       </w:t>
            </w:r>
          </w:p>
          <w:p w14:paraId="5A70CC13">
            <w:pPr>
              <w:pageBreakBefore w:val="0"/>
              <w:kinsoku/>
              <w:wordWrap w:val="0"/>
              <w:bidi w:val="0"/>
              <w:spacing w:line="440" w:lineRule="exac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邮政编码：</w:t>
            </w:r>
            <w:r>
              <w:rPr>
                <w:rFonts w:hint="eastAsia" w:cs="Times New Roman"/>
                <w:color w:val="auto"/>
                <w:sz w:val="24"/>
                <w:szCs w:val="24"/>
                <w:highlight w:val="none"/>
                <w:u w:val="single"/>
                <w:lang w:val="en-US" w:eastAsia="zh-CN"/>
              </w:rPr>
              <w:t xml:space="preserve"> 115200 </w:t>
            </w:r>
          </w:p>
          <w:p w14:paraId="5BFFDBFF">
            <w:pPr>
              <w:widowControl w:val="0"/>
              <w:spacing w:line="44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664D27E7">
            <w:pPr>
              <w:widowControl w:val="0"/>
              <w:spacing w:line="44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4FAECA85">
            <w:pPr>
              <w:spacing w:line="44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w:t>
            </w:r>
          </w:p>
          <w:p w14:paraId="1CE84880">
            <w:pPr>
              <w:spacing w:line="44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w:t>
            </w:r>
            <w:r>
              <w:rPr>
                <w:rFonts w:hint="eastAsia" w:cs="Times New Roman"/>
                <w:color w:val="auto"/>
                <w:sz w:val="24"/>
                <w:szCs w:val="24"/>
                <w:highlight w:val="none"/>
                <w:lang w:val="en-US" w:eastAsia="zh-CN"/>
              </w:rPr>
              <w:t>行</w:t>
            </w:r>
            <w:r>
              <w:rPr>
                <w:rFonts w:hint="default" w:ascii="Times New Roman" w:hAnsi="Times New Roman" w:eastAsia="宋体" w:cs="Times New Roman"/>
                <w:color w:val="auto"/>
                <w:sz w:val="24"/>
                <w:szCs w:val="24"/>
                <w:highlight w:val="none"/>
              </w:rPr>
              <w:t>要求投诉人递交提出异议的证明文件，已向其他有关行政监督部门投诉的，应当一并说明。未按规定提出异议或者未提交已提出异议的证明文件的投诉，不予受理。</w:t>
            </w:r>
          </w:p>
          <w:p w14:paraId="33662B8E">
            <w:pPr>
              <w:spacing w:line="44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7F27174A">
            <w:pPr>
              <w:pageBreakBefore w:val="0"/>
              <w:kinsoku/>
              <w:wordWrap w:val="0"/>
              <w:bidi w:val="0"/>
              <w:spacing w:line="440" w:lineRule="exact"/>
              <w:ind w:left="636" w:leftChars="0" w:hanging="636" w:hangingChars="265"/>
              <w:rPr>
                <w:rFonts w:hint="default" w:ascii="Times New Roman" w:hAnsi="Times New Roman" w:cs="Times New Roman"/>
                <w:color w:val="auto"/>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47D92974">
        <w:tblPrEx>
          <w:tblCellMar>
            <w:top w:w="0" w:type="dxa"/>
            <w:left w:w="108" w:type="dxa"/>
            <w:bottom w:w="0" w:type="dxa"/>
            <w:right w:w="108" w:type="dxa"/>
          </w:tblCellMar>
        </w:tblPrEx>
        <w:trPr>
          <w:trHeight w:val="340" w:hRule="atLeast"/>
        </w:trPr>
        <w:tc>
          <w:tcPr>
            <w:tcW w:w="9216" w:type="dxa"/>
            <w:gridSpan w:val="3"/>
            <w:tcBorders>
              <w:top w:val="single" w:color="auto" w:sz="4" w:space="0"/>
              <w:left w:val="single" w:color="auto" w:sz="4" w:space="0"/>
              <w:bottom w:val="single" w:color="auto" w:sz="4" w:space="0"/>
              <w:right w:val="single" w:color="auto" w:sz="4" w:space="0"/>
            </w:tcBorders>
            <w:noWrap w:val="0"/>
            <w:vAlign w:val="center"/>
          </w:tcPr>
          <w:p w14:paraId="2FEE0998">
            <w:pPr>
              <w:pageBreakBefore w:val="0"/>
              <w:kinsoku/>
              <w:wordWrap w:val="0"/>
              <w:bidi w:val="0"/>
              <w:spacing w:line="440" w:lineRule="exact"/>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需要补充的其他内容</w:t>
            </w:r>
          </w:p>
        </w:tc>
      </w:tr>
      <w:tr w14:paraId="7A14FBA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DCFEE14">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9.1</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CA0D562">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施工组织设计的编制要求</w:t>
            </w:r>
            <w:r>
              <w:rPr>
                <w:rStyle w:val="48"/>
                <w:rFonts w:hint="default" w:ascii="Times New Roman" w:hAnsi="Times New Roman" w:cs="Times New Roman"/>
                <w:b w:val="0"/>
                <w:bCs w:val="0"/>
                <w:color w:val="auto"/>
                <w:sz w:val="24"/>
                <w:szCs w:val="24"/>
                <w:highlight w:val="none"/>
                <w:lang w:val="en-US" w:eastAsia="zh-CN"/>
              </w:rPr>
              <w:footnoteReference w:id="8"/>
            </w:r>
            <w:r>
              <w:rPr>
                <w:rFonts w:hint="eastAsia" w:ascii="宋体" w:hAnsi="宋体" w:eastAsia="宋体" w:cs="宋体"/>
                <w:b/>
                <w:bCs/>
                <w:color w:val="auto"/>
                <w:sz w:val="24"/>
                <w:szCs w:val="24"/>
                <w:highlight w:val="none"/>
                <w:lang w:val="en-US" w:eastAsia="zh-CN"/>
              </w:rPr>
              <w:t>（本项目不适用）</w:t>
            </w:r>
          </w:p>
        </w:tc>
        <w:tc>
          <w:tcPr>
            <w:tcW w:w="5401" w:type="dxa"/>
            <w:tcBorders>
              <w:top w:val="single" w:color="auto" w:sz="4" w:space="0"/>
              <w:left w:val="single" w:color="auto" w:sz="4" w:space="0"/>
              <w:bottom w:val="single" w:color="auto" w:sz="4" w:space="0"/>
              <w:right w:val="single" w:color="auto" w:sz="4" w:space="0"/>
            </w:tcBorders>
            <w:noWrap w:val="0"/>
            <w:vAlign w:val="center"/>
          </w:tcPr>
          <w:p w14:paraId="377B2D16">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投标文件</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val="en-US" w:eastAsia="zh-CN"/>
              </w:rPr>
              <w:t>施工组织设计</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编制要求：</w:t>
            </w:r>
          </w:p>
          <w:p w14:paraId="2B04CD50">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采用暗标形式，必须按下列格式编制，否则视为未对招标文件作出实质性响应，按否决投标处理。</w:t>
            </w:r>
          </w:p>
          <w:p w14:paraId="7BA3A07C">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（1）采用</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u w:val="none"/>
                <w:lang w:val="en-US" w:eastAsia="zh-CN"/>
              </w:rPr>
              <w:t>（大小）</w:t>
            </w:r>
            <w:r>
              <w:rPr>
                <w:rFonts w:hint="default" w:ascii="Times New Roman" w:hAnsi="Times New Roman" w:cs="Times New Roman"/>
                <w:color w:val="auto"/>
                <w:sz w:val="24"/>
                <w:szCs w:val="24"/>
                <w:highlight w:val="none"/>
              </w:rPr>
              <w:t>纸张。页边距：</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rPr>
              <w:t>。</w:t>
            </w:r>
          </w:p>
          <w:p w14:paraId="5CA036B8">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（2）除图纸、图表外所用文字采用</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u w:val="none"/>
                <w:lang w:val="en-US" w:eastAsia="zh-CN"/>
              </w:rPr>
              <w:t>（字体、字号、颜色要求）</w:t>
            </w:r>
            <w:r>
              <w:rPr>
                <w:rFonts w:hint="default" w:ascii="Times New Roman" w:hAnsi="Times New Roman" w:cs="Times New Roman"/>
                <w:color w:val="auto"/>
                <w:sz w:val="24"/>
                <w:szCs w:val="24"/>
                <w:highlight w:val="none"/>
              </w:rPr>
              <w:t>，图纸、图表中所有文字采用</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u w:val="none"/>
                <w:lang w:val="en-US" w:eastAsia="zh-CN"/>
              </w:rPr>
              <w:t>（字体、字号、颜色要求）</w:t>
            </w:r>
            <w:r>
              <w:rPr>
                <w:rFonts w:hint="default" w:ascii="Times New Roman" w:hAnsi="Times New Roman" w:cs="Times New Roman"/>
                <w:color w:val="auto"/>
                <w:sz w:val="24"/>
                <w:szCs w:val="24"/>
                <w:highlight w:val="none"/>
              </w:rPr>
              <w:t>；不得有任何加粗、斜体、下划线、边框、底纹、阴影等标记。不得设置目录、页码、页眉、页脚；段落设置：</w:t>
            </w:r>
            <w:r>
              <w:rPr>
                <w:rFonts w:hint="default" w:ascii="Times New Roman" w:hAnsi="Times New Roman" w:cs="Times New Roman"/>
                <w:color w:val="auto"/>
                <w:sz w:val="24"/>
                <w:szCs w:val="24"/>
                <w:highlight w:val="none"/>
                <w:u w:val="none"/>
                <w:lang w:val="en-US" w:eastAsia="zh-CN"/>
              </w:rPr>
              <w:t>（行距要求）</w:t>
            </w:r>
            <w:r>
              <w:rPr>
                <w:rFonts w:hint="default" w:ascii="Times New Roman" w:hAnsi="Times New Roman" w:cs="Times New Roman"/>
                <w:color w:val="auto"/>
                <w:sz w:val="24"/>
                <w:szCs w:val="24"/>
                <w:highlight w:val="none"/>
              </w:rPr>
              <w:t>，段落设置中</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如果定义了文档网格，则自动调整右缩进</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不打勾，</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如果定义了文档网格，则对齐到网格</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要打勾。</w:t>
            </w:r>
          </w:p>
          <w:p w14:paraId="223D2D29">
            <w:pPr>
              <w:pageBreakBefore w:val="0"/>
              <w:kinsoku/>
              <w:wordWrap w:val="0"/>
              <w:bidi w:val="0"/>
              <w:spacing w:line="440" w:lineRule="exact"/>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auto"/>
                <w:sz w:val="24"/>
                <w:szCs w:val="24"/>
                <w:highlight w:val="none"/>
                <w:lang w:val="en-US" w:eastAsia="zh-CN"/>
              </w:rPr>
              <w:t>投标人</w:t>
            </w:r>
            <w:r>
              <w:rPr>
                <w:rFonts w:hint="default" w:ascii="Times New Roman" w:hAnsi="Times New Roman" w:cs="Times New Roman"/>
                <w:color w:val="auto"/>
                <w:sz w:val="24"/>
                <w:szCs w:val="24"/>
                <w:highlight w:val="none"/>
              </w:rPr>
              <w:t>或人员电子签章，不得出现其他不符合暗标要求的内容</w:t>
            </w:r>
            <w:r>
              <w:rPr>
                <w:rFonts w:hint="default" w:ascii="Times New Roman" w:hAnsi="Times New Roman" w:cs="Times New Roman"/>
                <w:color w:val="auto"/>
                <w:sz w:val="24"/>
                <w:szCs w:val="24"/>
                <w:highlight w:val="none"/>
                <w:lang w:eastAsia="zh-CN"/>
              </w:rPr>
              <w:t>。</w:t>
            </w:r>
          </w:p>
          <w:p w14:paraId="6E05A15D">
            <w:pPr>
              <w:pageBreakBefore w:val="0"/>
              <w:kinsoku/>
              <w:wordWrap w:val="0"/>
              <w:bidi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其他要求：</w:t>
            </w:r>
            <w:r>
              <w:rPr>
                <w:rFonts w:hint="eastAsia" w:cs="Times New Roman"/>
                <w:b/>
                <w:bCs/>
                <w:color w:val="auto"/>
                <w:sz w:val="24"/>
                <w:szCs w:val="24"/>
                <w:highlight w:val="none"/>
                <w:u w:val="single"/>
                <w:lang w:val="en-US" w:eastAsia="zh-CN"/>
              </w:rPr>
              <w:t>本项目不采用暗标</w:t>
            </w:r>
            <w:r>
              <w:rPr>
                <w:rFonts w:hint="default" w:ascii="Times New Roman" w:hAnsi="Times New Roman" w:cs="Times New Roman"/>
                <w:b/>
                <w:bCs/>
                <w:color w:val="auto"/>
                <w:sz w:val="24"/>
                <w:szCs w:val="24"/>
                <w:highlight w:val="none"/>
                <w:u w:val="single"/>
              </w:rPr>
              <w:t>形式</w:t>
            </w:r>
            <w:r>
              <w:rPr>
                <w:rFonts w:hint="default" w:ascii="Times New Roman" w:hAnsi="Times New Roman" w:cs="Times New Roman"/>
                <w:color w:val="auto"/>
                <w:sz w:val="24"/>
                <w:szCs w:val="24"/>
                <w:highlight w:val="none"/>
              </w:rPr>
              <w:t>。</w:t>
            </w:r>
          </w:p>
        </w:tc>
      </w:tr>
      <w:tr w14:paraId="6B226EAA">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D8403D">
            <w:pPr>
              <w:pageBreakBefore w:val="0"/>
              <w:kinsoku/>
              <w:wordWrap w:val="0"/>
              <w:bidi w:val="0"/>
              <w:spacing w:line="440" w:lineRule="exact"/>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9</w:t>
            </w:r>
            <w:r>
              <w:rPr>
                <w:rFonts w:hint="default" w:cs="Times New Roman"/>
                <w:color w:val="auto"/>
                <w:sz w:val="24"/>
                <w:szCs w:val="24"/>
                <w:highlight w:val="none"/>
                <w:lang w:val="en-US" w:eastAsia="zh-CN"/>
              </w:rPr>
              <w:t>.</w:t>
            </w:r>
            <w:r>
              <w:rPr>
                <w:rFonts w:hint="eastAsia" w:cs="Times New Roman"/>
                <w:color w:val="auto"/>
                <w:sz w:val="24"/>
                <w:szCs w:val="24"/>
                <w:highlight w:val="none"/>
                <w:lang w:val="en-US" w:eastAsia="zh-CN"/>
              </w:rPr>
              <w:t>2</w:t>
            </w:r>
          </w:p>
        </w:tc>
        <w:tc>
          <w:tcPr>
            <w:tcW w:w="8180" w:type="dxa"/>
            <w:gridSpan w:val="2"/>
            <w:tcBorders>
              <w:top w:val="single" w:color="auto" w:sz="4" w:space="0"/>
              <w:left w:val="single" w:color="auto" w:sz="4" w:space="0"/>
              <w:bottom w:val="single" w:color="auto" w:sz="4" w:space="0"/>
              <w:right w:val="single" w:color="auto" w:sz="4" w:space="0"/>
            </w:tcBorders>
            <w:noWrap w:val="0"/>
            <w:vAlign w:val="center"/>
          </w:tcPr>
          <w:p w14:paraId="76993E09">
            <w:pPr>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w:t>
            </w:r>
            <w:r>
              <w:rPr>
                <w:rFonts w:hint="eastAsia" w:cs="Times New Roman"/>
                <w:color w:val="auto"/>
                <w:sz w:val="24"/>
                <w:szCs w:val="24"/>
                <w:highlight w:val="none"/>
                <w:lang w:eastAsia="zh-CN"/>
              </w:rPr>
              <w:t>9</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2款</w:t>
            </w:r>
            <w:r>
              <w:rPr>
                <w:rFonts w:hint="default" w:ascii="Times New Roman" w:hAnsi="Times New Roman" w:eastAsia="宋体" w:cs="Times New Roman"/>
                <w:color w:val="auto"/>
                <w:sz w:val="24"/>
                <w:szCs w:val="24"/>
                <w:highlight w:val="none"/>
                <w:vertAlign w:val="superscript"/>
              </w:rPr>
              <w:footnoteReference w:id="9"/>
            </w:r>
            <w:r>
              <w:rPr>
                <w:rFonts w:hint="default" w:ascii="Times New Roman" w:hAnsi="Times New Roman" w:eastAsia="宋体" w:cs="Times New Roman"/>
                <w:color w:val="auto"/>
                <w:sz w:val="24"/>
                <w:szCs w:val="24"/>
                <w:highlight w:val="none"/>
              </w:rPr>
              <w:t>：</w:t>
            </w:r>
          </w:p>
          <w:p w14:paraId="15A556EB">
            <w:pPr>
              <w:pageBreakBefore w:val="0"/>
              <w:kinsoku/>
              <w:wordWrap w:val="0"/>
              <w:bidi w:val="0"/>
              <w:spacing w:line="440" w:lineRule="exact"/>
              <w:jc w:val="left"/>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本项目实施过程中推广以工代赈，在确保工程质量安全和符合进度要求等前提下，应充分挖掘主体工程建设及附属临建、工地服务保障、建后管护等方面用工潜力，平衡好建设和管护领域劳动合同制用工和以工代赈劳务用工之间关系，尽可能多地通过以工代赈方式吸纳当地群众参与工程建设。</w:t>
            </w:r>
          </w:p>
        </w:tc>
      </w:tr>
      <w:tr w14:paraId="50A588AD">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AE6A4A">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9.3</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E15287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r>
              <w:rPr>
                <w:rFonts w:hint="eastAsia" w:ascii="宋体" w:hAnsi="宋体" w:eastAsia="宋体" w:cs="宋体"/>
                <w:color w:val="auto"/>
                <w:sz w:val="24"/>
                <w:szCs w:val="24"/>
                <w:highlight w:val="none"/>
              </w:rPr>
              <w:t>：</w:t>
            </w:r>
          </w:p>
          <w:p w14:paraId="0EE9E046">
            <w:pPr>
              <w:spacing w:before="69" w:line="328" w:lineRule="auto"/>
              <w:ind w:right="96"/>
              <w:jc w:val="left"/>
              <w:rPr>
                <w:rFonts w:hint="eastAsia" w:ascii="宋体" w:hAnsi="宋体" w:eastAsia="宋体" w:cs="宋体"/>
                <w:color w:val="auto"/>
                <w:sz w:val="24"/>
                <w:szCs w:val="24"/>
              </w:rPr>
            </w:pPr>
            <w:r>
              <w:rPr>
                <w:rFonts w:hint="eastAsia" w:ascii="宋体" w:hAnsi="宋体" w:eastAsia="宋体" w:cs="宋体"/>
                <w:color w:val="auto"/>
                <w:spacing w:val="14"/>
                <w:sz w:val="24"/>
                <w:szCs w:val="24"/>
              </w:rPr>
              <w:t>投标</w:t>
            </w:r>
            <w:r>
              <w:rPr>
                <w:rFonts w:hint="eastAsia" w:ascii="宋体" w:hAnsi="宋体" w:eastAsia="宋体" w:cs="宋体"/>
                <w:color w:val="auto"/>
                <w:spacing w:val="7"/>
                <w:sz w:val="24"/>
                <w:szCs w:val="24"/>
              </w:rPr>
              <w:t>人应根据《公路水运工程安全生产监督管理办法》以及《关于印发&lt;企</w:t>
            </w:r>
            <w:r>
              <w:rPr>
                <w:rFonts w:hint="eastAsia" w:ascii="宋体" w:hAnsi="宋体" w:eastAsia="宋体" w:cs="宋体"/>
                <w:color w:val="auto"/>
                <w:spacing w:val="5"/>
                <w:sz w:val="24"/>
                <w:szCs w:val="24"/>
              </w:rPr>
              <w:t>业安全生产费用提取和使用管理办法&gt;的通知》(财企〔2012〕16号)的规</w:t>
            </w:r>
            <w:r>
              <w:rPr>
                <w:rFonts w:hint="eastAsia" w:ascii="宋体" w:hAnsi="宋体" w:eastAsia="宋体" w:cs="宋体"/>
                <w:color w:val="auto"/>
                <w:spacing w:val="15"/>
                <w:sz w:val="24"/>
                <w:szCs w:val="24"/>
              </w:rPr>
              <w:t>定</w:t>
            </w:r>
            <w:r>
              <w:rPr>
                <w:rFonts w:hint="eastAsia" w:ascii="宋体" w:hAnsi="宋体" w:eastAsia="宋体" w:cs="宋体"/>
                <w:color w:val="auto"/>
                <w:spacing w:val="8"/>
                <w:sz w:val="24"/>
                <w:szCs w:val="24"/>
              </w:rPr>
              <w:t>，在投标总价中计入安全生产费用，</w:t>
            </w:r>
            <w:r>
              <w:rPr>
                <w:rFonts w:hint="eastAsia" w:ascii="宋体" w:hAnsi="宋体" w:eastAsia="宋体" w:cs="宋体"/>
                <w:b/>
                <w:bCs/>
                <w:color w:val="auto"/>
                <w:spacing w:val="8"/>
                <w:sz w:val="24"/>
                <w:szCs w:val="24"/>
              </w:rPr>
              <w:t>安全生产费用以固定金额形式计入工程</w:t>
            </w:r>
            <w:r>
              <w:rPr>
                <w:rFonts w:hint="eastAsia" w:ascii="宋体" w:hAnsi="宋体" w:eastAsia="宋体" w:cs="宋体"/>
                <w:b/>
                <w:bCs/>
                <w:color w:val="auto"/>
                <w:spacing w:val="7"/>
                <w:sz w:val="24"/>
                <w:szCs w:val="24"/>
              </w:rPr>
              <w:t>量清单第100章中</w:t>
            </w:r>
            <w:r>
              <w:rPr>
                <w:rFonts w:hint="eastAsia" w:ascii="宋体" w:hAnsi="宋体" w:eastAsia="宋体" w:cs="宋体"/>
                <w:b/>
                <w:bCs/>
                <w:color w:val="auto"/>
                <w:spacing w:val="7"/>
                <w:sz w:val="24"/>
                <w:szCs w:val="24"/>
                <w:highlight w:val="none"/>
              </w:rPr>
              <w:t>(安全生产费用为招标人公布的最高投标限价的1.5％</w:t>
            </w:r>
            <w:r>
              <w:rPr>
                <w:rFonts w:hint="eastAsia" w:ascii="宋体" w:hAnsi="宋体" w:eastAsia="宋体" w:cs="宋体"/>
                <w:b/>
                <w:bCs/>
                <w:color w:val="auto"/>
                <w:spacing w:val="7"/>
                <w:sz w:val="24"/>
                <w:szCs w:val="24"/>
                <w:highlight w:val="none"/>
                <w:lang w:eastAsia="zh-CN"/>
              </w:rPr>
              <w:t>，</w:t>
            </w:r>
            <w:r>
              <w:rPr>
                <w:rFonts w:hint="eastAsia" w:ascii="宋体" w:hAnsi="宋体" w:eastAsia="宋体" w:cs="宋体"/>
                <w:b/>
                <w:bCs/>
                <w:color w:val="auto"/>
                <w:spacing w:val="7"/>
                <w:sz w:val="24"/>
                <w:szCs w:val="24"/>
                <w:highlight w:val="none"/>
                <w:shd w:val="clear"/>
              </w:rPr>
              <w:t>安全生产费用</w:t>
            </w:r>
            <w:r>
              <w:rPr>
                <w:rFonts w:hint="eastAsia" w:ascii="宋体" w:hAnsi="宋体" w:eastAsia="宋体" w:cs="宋体"/>
                <w:b/>
                <w:bCs/>
                <w:color w:val="auto"/>
                <w:spacing w:val="7"/>
                <w:sz w:val="24"/>
                <w:szCs w:val="24"/>
                <w:highlight w:val="none"/>
                <w:shd w:val="clear"/>
                <w:lang w:eastAsia="zh-CN"/>
              </w:rPr>
              <w:t>：</w:t>
            </w:r>
            <w:r>
              <w:rPr>
                <w:rFonts w:hint="eastAsia" w:ascii="宋体" w:hAnsi="宋体" w:cs="宋体"/>
                <w:b/>
                <w:bCs/>
                <w:color w:val="auto"/>
                <w:spacing w:val="7"/>
                <w:sz w:val="24"/>
                <w:szCs w:val="24"/>
                <w:highlight w:val="none"/>
                <w:shd w:val="clear"/>
                <w:lang w:val="en-US" w:eastAsia="zh-CN"/>
              </w:rPr>
              <w:t>227,060.00</w:t>
            </w:r>
            <w:r>
              <w:rPr>
                <w:rFonts w:hint="eastAsia" w:ascii="宋体" w:hAnsi="宋体" w:eastAsia="宋体" w:cs="宋体"/>
                <w:b/>
                <w:bCs/>
                <w:color w:val="auto"/>
                <w:spacing w:val="7"/>
                <w:sz w:val="24"/>
                <w:szCs w:val="24"/>
                <w:highlight w:val="none"/>
                <w:shd w:val="clear"/>
                <w:lang w:val="en-US" w:eastAsia="zh-CN"/>
              </w:rPr>
              <w:t>元</w:t>
            </w:r>
            <w:r>
              <w:rPr>
                <w:rFonts w:hint="eastAsia" w:ascii="宋体" w:hAnsi="宋体" w:eastAsia="宋体" w:cs="宋体"/>
                <w:b/>
                <w:bCs/>
                <w:color w:val="auto"/>
                <w:spacing w:val="7"/>
                <w:sz w:val="24"/>
                <w:szCs w:val="24"/>
                <w:highlight w:val="none"/>
                <w:shd w:val="clear"/>
              </w:rPr>
              <w:t>)</w:t>
            </w:r>
            <w:r>
              <w:rPr>
                <w:rFonts w:hint="eastAsia" w:ascii="宋体" w:hAnsi="宋体" w:eastAsia="宋体" w:cs="宋体"/>
                <w:b/>
                <w:bCs/>
                <w:color w:val="auto"/>
                <w:sz w:val="24"/>
                <w:szCs w:val="24"/>
                <w:highlight w:val="none"/>
              </w:rPr>
              <w:t>，</w:t>
            </w:r>
            <w:r>
              <w:rPr>
                <w:rFonts w:hint="eastAsia" w:ascii="宋体" w:hAnsi="宋体" w:eastAsia="宋体" w:cs="宋体"/>
                <w:color w:val="auto"/>
                <w:spacing w:val="15"/>
                <w:sz w:val="24"/>
                <w:szCs w:val="24"/>
              </w:rPr>
              <w:t>投</w:t>
            </w:r>
            <w:r>
              <w:rPr>
                <w:rFonts w:hint="eastAsia" w:ascii="宋体" w:hAnsi="宋体" w:eastAsia="宋体" w:cs="宋体"/>
                <w:color w:val="auto"/>
                <w:spacing w:val="8"/>
                <w:sz w:val="24"/>
                <w:szCs w:val="24"/>
              </w:rPr>
              <w:t>标人在投标报价时不得对该固定金额进行调整。如投标人须在此基础上增加</w:t>
            </w:r>
            <w:r>
              <w:rPr>
                <w:rFonts w:hint="eastAsia" w:ascii="宋体" w:hAnsi="宋体" w:eastAsia="宋体" w:cs="宋体"/>
                <w:color w:val="auto"/>
                <w:spacing w:val="13"/>
                <w:sz w:val="24"/>
                <w:szCs w:val="24"/>
              </w:rPr>
              <w:t>安</w:t>
            </w:r>
            <w:r>
              <w:rPr>
                <w:rFonts w:hint="eastAsia" w:ascii="宋体" w:hAnsi="宋体" w:eastAsia="宋体" w:cs="宋体"/>
                <w:color w:val="auto"/>
                <w:spacing w:val="8"/>
                <w:sz w:val="24"/>
                <w:szCs w:val="24"/>
              </w:rPr>
              <w:t>全生产费用以满足项目施工需要，则投标人应在本项目工程量清单其它相关</w:t>
            </w:r>
            <w:r>
              <w:rPr>
                <w:rFonts w:hint="eastAsia" w:ascii="宋体" w:hAnsi="宋体" w:eastAsia="宋体" w:cs="宋体"/>
                <w:color w:val="auto"/>
                <w:spacing w:val="13"/>
                <w:sz w:val="24"/>
                <w:szCs w:val="24"/>
              </w:rPr>
              <w:t>子</w:t>
            </w:r>
            <w:r>
              <w:rPr>
                <w:rFonts w:hint="eastAsia" w:ascii="宋体" w:hAnsi="宋体" w:eastAsia="宋体" w:cs="宋体"/>
                <w:color w:val="auto"/>
                <w:spacing w:val="9"/>
                <w:sz w:val="24"/>
                <w:szCs w:val="24"/>
              </w:rPr>
              <w:t>目的单价或总额价中予以考虑，发包人不再单独支付。</w:t>
            </w:r>
          </w:p>
          <w:p w14:paraId="083330CA">
            <w:pPr>
              <w:pageBreakBefore w:val="0"/>
              <w:kinsoku/>
              <w:wordWrap w:val="0"/>
              <w:bidi w:val="0"/>
              <w:spacing w:line="440" w:lineRule="exact"/>
              <w:jc w:val="left"/>
              <w:rPr>
                <w:rFonts w:hint="eastAsia" w:ascii="宋体" w:hAnsi="宋体" w:eastAsia="宋体" w:cs="宋体"/>
                <w:color w:val="auto"/>
                <w:kern w:val="2"/>
                <w:sz w:val="24"/>
                <w:szCs w:val="24"/>
                <w:highlight w:val="green"/>
                <w:lang w:val="en-US" w:eastAsia="zh-CN" w:bidi="ar-SA"/>
              </w:rPr>
            </w:pPr>
            <w:r>
              <w:rPr>
                <w:rFonts w:hint="eastAsia" w:ascii="宋体" w:hAnsi="宋体" w:eastAsia="宋体" w:cs="宋体"/>
                <w:color w:val="auto"/>
                <w:spacing w:val="18"/>
                <w:sz w:val="24"/>
                <w:szCs w:val="24"/>
              </w:rPr>
              <w:t>承包</w:t>
            </w:r>
            <w:r>
              <w:rPr>
                <w:rFonts w:hint="eastAsia" w:ascii="宋体" w:hAnsi="宋体" w:eastAsia="宋体" w:cs="宋体"/>
                <w:color w:val="auto"/>
                <w:spacing w:val="13"/>
                <w:sz w:val="24"/>
                <w:szCs w:val="24"/>
              </w:rPr>
              <w:t>人</w:t>
            </w:r>
            <w:r>
              <w:rPr>
                <w:rFonts w:hint="eastAsia" w:ascii="宋体" w:hAnsi="宋体" w:eastAsia="宋体" w:cs="宋体"/>
                <w:color w:val="auto"/>
                <w:spacing w:val="9"/>
                <w:sz w:val="24"/>
                <w:szCs w:val="24"/>
              </w:rPr>
              <w:t>的施工安全生产费用，应当用于施工安全防护用具及设施的采购和</w:t>
            </w:r>
            <w:r>
              <w:rPr>
                <w:rFonts w:hint="eastAsia" w:ascii="宋体" w:hAnsi="宋体" w:eastAsia="宋体" w:cs="宋体"/>
                <w:color w:val="auto"/>
                <w:spacing w:val="16"/>
                <w:sz w:val="24"/>
                <w:szCs w:val="24"/>
              </w:rPr>
              <w:t>更</w:t>
            </w:r>
            <w:r>
              <w:rPr>
                <w:rFonts w:hint="eastAsia" w:ascii="宋体" w:hAnsi="宋体" w:eastAsia="宋体" w:cs="宋体"/>
                <w:color w:val="auto"/>
                <w:spacing w:val="9"/>
                <w:sz w:val="24"/>
                <w:szCs w:val="24"/>
              </w:rPr>
              <w:t>新、安全施工措施的落实、安全生产条件的改善，不得挪作他用。</w:t>
            </w:r>
          </w:p>
        </w:tc>
      </w:tr>
      <w:tr w14:paraId="04712D3D">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45C4C0D">
            <w:pPr>
              <w:pageBreakBefore w:val="0"/>
              <w:kinsoku/>
              <w:wordWrap w:val="0"/>
              <w:bidi w:val="0"/>
              <w:spacing w:line="440" w:lineRule="exact"/>
              <w:jc w:val="center"/>
              <w:rPr>
                <w:rFonts w:hint="default" w:ascii="Times New Roman" w:hAnsi="Times New Roman" w:cs="Times New Roman"/>
                <w:color w:val="auto"/>
                <w:sz w:val="24"/>
                <w:szCs w:val="24"/>
                <w:highlight w:val="yellow"/>
                <w:lang w:val="en-US" w:eastAsia="zh-CN"/>
              </w:rPr>
            </w:pPr>
            <w:r>
              <w:rPr>
                <w:rFonts w:hint="eastAsia" w:cs="Times New Roman"/>
                <w:color w:val="auto"/>
                <w:sz w:val="24"/>
                <w:szCs w:val="24"/>
                <w:highlight w:val="none"/>
                <w:lang w:val="en-US" w:eastAsia="zh-CN"/>
              </w:rPr>
              <w:t>9.4</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4D6398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4款</w:t>
            </w:r>
            <w:r>
              <w:rPr>
                <w:rFonts w:hint="eastAsia" w:ascii="宋体" w:hAnsi="宋体" w:eastAsia="宋体" w:cs="宋体"/>
                <w:color w:val="auto"/>
                <w:sz w:val="24"/>
                <w:szCs w:val="24"/>
                <w:highlight w:val="none"/>
              </w:rPr>
              <w:t>：</w:t>
            </w:r>
          </w:p>
          <w:p w14:paraId="11637152">
            <w:pPr>
              <w:pageBreakBefore w:val="0"/>
              <w:kinsoku/>
              <w:wordWrap w:val="0"/>
              <w:bidi w:val="0"/>
              <w:spacing w:line="440" w:lineRule="exact"/>
              <w:jc w:val="left"/>
              <w:rPr>
                <w:rFonts w:hint="eastAsia" w:ascii="宋体" w:hAnsi="宋体" w:eastAsia="宋体" w:cs="宋体"/>
                <w:color w:val="auto"/>
                <w:spacing w:val="18"/>
                <w:kern w:val="2"/>
                <w:sz w:val="24"/>
                <w:szCs w:val="24"/>
                <w:lang w:val="en-US" w:eastAsia="zh-CN" w:bidi="ar-SA"/>
              </w:rPr>
            </w:pPr>
            <w:r>
              <w:rPr>
                <w:rFonts w:hint="eastAsia" w:ascii="宋体" w:hAnsi="宋体" w:eastAsia="宋体" w:cs="宋体"/>
                <w:color w:val="auto"/>
                <w:spacing w:val="2"/>
                <w:sz w:val="24"/>
                <w:szCs w:val="24"/>
              </w:rPr>
              <w:t>投标文件第一个信封(商务及技术文件)不</w:t>
            </w:r>
            <w:r>
              <w:rPr>
                <w:rFonts w:hint="eastAsia" w:ascii="宋体" w:hAnsi="宋体" w:eastAsia="宋体" w:cs="宋体"/>
                <w:color w:val="auto"/>
                <w:spacing w:val="1"/>
                <w:sz w:val="24"/>
                <w:szCs w:val="24"/>
              </w:rPr>
              <w:t>应出现有关投标报价的内容</w:t>
            </w:r>
          </w:p>
        </w:tc>
      </w:tr>
      <w:tr w14:paraId="66EE4FE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3854F">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cs="Times New Roman"/>
                <w:color w:val="auto"/>
                <w:sz w:val="24"/>
                <w:szCs w:val="24"/>
                <w:highlight w:val="none"/>
                <w:lang w:val="en-US" w:eastAsia="zh-CN"/>
              </w:rPr>
              <w:t>9.5</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4EC841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款：</w:t>
            </w:r>
          </w:p>
          <w:p w14:paraId="0E6C765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存在下列情形之一的，招标人将对应标段重新招标：</w:t>
            </w:r>
          </w:p>
          <w:p w14:paraId="42E8E83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(1)投标截止时间止，递交投标文件或投标保证金的投标人少于3个的；</w:t>
            </w:r>
          </w:p>
          <w:p w14:paraId="473BED4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(2)经评标委员会评审后否决所有投标的；</w:t>
            </w:r>
          </w:p>
          <w:p w14:paraId="2A6AD9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(3)经评标委员会评审后未推荐中标候选人的；</w:t>
            </w:r>
          </w:p>
          <w:p w14:paraId="45645DE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(4)中标候选人均未与招标人签订合同的；</w:t>
            </w:r>
          </w:p>
          <w:p w14:paraId="17A6638D">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(5)法律规定的其他情形。</w:t>
            </w:r>
          </w:p>
        </w:tc>
      </w:tr>
      <w:tr w14:paraId="705C517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D2302">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9.6</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2648A53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9.6</w:t>
            </w:r>
            <w:r>
              <w:rPr>
                <w:rFonts w:hint="eastAsia" w:ascii="宋体" w:hAnsi="宋体" w:eastAsia="宋体" w:cs="宋体"/>
                <w:color w:val="auto"/>
                <w:sz w:val="24"/>
                <w:szCs w:val="24"/>
                <w:highlight w:val="none"/>
              </w:rPr>
              <w:t>款：</w:t>
            </w:r>
          </w:p>
          <w:p w14:paraId="44756313">
            <w:pPr>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构成本招标文件各个组成部分的文件，未经招标人书面同意，投标人不得擅自复印和用于非本招标项目所需的其他目的。</w:t>
            </w:r>
          </w:p>
        </w:tc>
      </w:tr>
      <w:tr w14:paraId="52F4025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447CC">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9.7</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DF6B9A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9.7</w:t>
            </w:r>
            <w:r>
              <w:rPr>
                <w:rFonts w:hint="eastAsia" w:ascii="宋体" w:hAnsi="宋体" w:eastAsia="宋体" w:cs="宋体"/>
                <w:color w:val="auto"/>
                <w:sz w:val="24"/>
                <w:szCs w:val="24"/>
                <w:highlight w:val="none"/>
              </w:rPr>
              <w:t>款：</w:t>
            </w:r>
          </w:p>
          <w:p w14:paraId="33E683D4">
            <w:pPr>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成招标文件组成部分的第二章、第四章~第八章中出现的措辞“发包人”和“承包人”，在招标投标阶段应当分别按“招标人”和“投标人(或中标人)”进行理解；构成招标文件组成部分的第二章中出现的措辞“招标人”和“投标人(或中标人)”，且与合同文件相关的条款，在合同履约阶段应当分别按“发包人”和“承包人”进行理解。</w:t>
            </w:r>
          </w:p>
        </w:tc>
      </w:tr>
      <w:tr w14:paraId="18212CD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2B9A6">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9.8</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217B5BD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rPr>
              <w:t>款：</w:t>
            </w:r>
          </w:p>
          <w:p w14:paraId="4CE34C8B">
            <w:pPr>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成本招标文件的各个组成文件应互为解释，互为说明；如有不明确或不一致，构成合同文件组成内容的，以合同文件约定内容为准，且以合同协议书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200AA4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B9719E">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9.9</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A3FFE1E">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投标人须知正文补充第9.9款：</w:t>
            </w:r>
          </w:p>
          <w:p w14:paraId="1235F491">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本项目收取招标代理服务费，招标代理服务费由中标人支付；</w:t>
            </w:r>
          </w:p>
          <w:p w14:paraId="1BC3CCE7">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招标代理费参照原《国家计委关于印发〈招标代理服务收费管理暂行办法〉的通知》（计价格〔2002〕1980号）规定的标准计取；</w:t>
            </w:r>
          </w:p>
          <w:p w14:paraId="62463270">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招标代理服务费含在投标报价之中，招标人不再另行支付，但投标人不得在投标报价中单列；</w:t>
            </w:r>
          </w:p>
          <w:p w14:paraId="3870BDB8">
            <w:pPr>
              <w:pageBreakBefore w:val="0"/>
              <w:kinsoku/>
              <w:wordWrap w:val="0"/>
              <w:bidi w:val="0"/>
              <w:spacing w:line="44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招标代理服务费在中标通知书发出前由中标人一次性向招标代理机构付清。</w:t>
            </w:r>
          </w:p>
        </w:tc>
      </w:tr>
      <w:tr w14:paraId="7117F9A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222CD">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9.10</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2FB56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10款</w:t>
            </w:r>
            <w:r>
              <w:rPr>
                <w:rFonts w:hint="eastAsia" w:ascii="宋体" w:hAnsi="宋体" w:eastAsia="宋体" w:cs="宋体"/>
                <w:color w:val="auto"/>
                <w:sz w:val="24"/>
                <w:szCs w:val="24"/>
                <w:highlight w:val="none"/>
              </w:rPr>
              <w:t>：</w:t>
            </w:r>
          </w:p>
          <w:p w14:paraId="00C0E7CD">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省发展改革委关于降低我省建设工程交易服务收费标准的通知》(辽发改价格【2023】128号)，本招标项目的交易双方(招标人和中标人)应缴纳建设工程交易中心服务费，应由招标人及中标人缴纳的建设工程交易中心服务费均由中标人在报价总价中综合考虑，招标人不另行计量或支付，但投标人不得在投标报价中单列；</w:t>
            </w:r>
          </w:p>
          <w:p w14:paraId="74011F18">
            <w:pPr>
              <w:pageBreakBefore w:val="0"/>
              <w:kinsoku/>
              <w:wordWrap w:val="0"/>
              <w:bidi w:val="0"/>
              <w:spacing w:line="44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建设工程交易服务费在中标通知书发出前由中标人一次性向建设工程交易中心付清。</w:t>
            </w:r>
          </w:p>
        </w:tc>
      </w:tr>
      <w:tr w14:paraId="58065E4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D36EC">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9.11</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123107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11款</w:t>
            </w:r>
            <w:r>
              <w:rPr>
                <w:rFonts w:hint="eastAsia" w:ascii="宋体" w:hAnsi="宋体" w:eastAsia="宋体" w:cs="宋体"/>
                <w:color w:val="auto"/>
                <w:sz w:val="24"/>
                <w:szCs w:val="24"/>
                <w:highlight w:val="none"/>
              </w:rPr>
              <w:t>：</w:t>
            </w:r>
          </w:p>
          <w:p w14:paraId="2BD50B41">
            <w:pPr>
              <w:pageBreakBefore w:val="0"/>
              <w:kinsoku/>
              <w:wordWrap w:val="0"/>
              <w:bidi w:val="0"/>
              <w:spacing w:line="44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tc>
      </w:tr>
      <w:tr w14:paraId="458CEEA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386228">
            <w:pPr>
              <w:pageBreakBefore w:val="0"/>
              <w:kinsoku/>
              <w:wordWrap w:val="0"/>
              <w:bidi w:val="0"/>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9.12</w:t>
            </w:r>
          </w:p>
        </w:tc>
        <w:tc>
          <w:tcPr>
            <w:tcW w:w="8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AECF6D">
            <w:pPr>
              <w:pageBreakBefore w:val="0"/>
              <w:kinsoku/>
              <w:wordWrap w:val="0"/>
              <w:bidi w:val="0"/>
              <w:spacing w:line="44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共划分2个标段，每个投标人允许同时参与2个标段，但每个投标人最多允许中标其中1个标段，投多个标段的投标单位必须递交“投标排序优先选择表”(格式详见第九章中第一个信封投标文件格式中的“十、其他资料”)，且各标段投标文件中的排序必须</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致，否则按废标处理。</w:t>
            </w:r>
          </w:p>
        </w:tc>
      </w:tr>
    </w:tbl>
    <w:p w14:paraId="5BBBE8DB">
      <w:pPr>
        <w:pageBreakBefore w:val="0"/>
        <w:kinsoku/>
        <w:wordWrap w:val="0"/>
        <w:bidi w:val="0"/>
        <w:spacing w:line="20" w:lineRule="exact"/>
        <w:jc w:val="center"/>
        <w:rPr>
          <w:rFonts w:hint="default" w:ascii="Times New Roman" w:hAnsi="Times New Roman" w:eastAsia="黑体" w:cs="Times New Roman"/>
          <w:b/>
          <w:color w:val="auto"/>
          <w:sz w:val="18"/>
          <w:szCs w:val="18"/>
          <w:highlight w:val="none"/>
        </w:rPr>
      </w:pPr>
      <w:r>
        <w:rPr>
          <w:rFonts w:hint="default" w:ascii="Times New Roman" w:hAnsi="Times New Roman" w:eastAsia="黑体" w:cs="Times New Roman"/>
          <w:color w:val="auto"/>
          <w:sz w:val="28"/>
          <w:szCs w:val="28"/>
          <w:highlight w:val="none"/>
        </w:rPr>
        <w:br w:type="page"/>
      </w:r>
    </w:p>
    <w:p w14:paraId="05C42C86">
      <w:pPr>
        <w:pStyle w:val="5"/>
        <w:pageBreakBefore w:val="0"/>
        <w:kinsoku/>
        <w:wordWrap w:val="0"/>
        <w:bidi w:val="0"/>
        <w:spacing w:before="240" w:after="240" w:line="240" w:lineRule="atLeast"/>
        <w:jc w:val="center"/>
        <w:rPr>
          <w:rFonts w:hint="default" w:ascii="Times New Roman" w:hAnsi="Times New Roman" w:cs="Times New Roman"/>
          <w:b w:val="0"/>
          <w:bCs/>
          <w:i w:val="0"/>
          <w:iCs w:val="0"/>
          <w:color w:val="auto"/>
          <w:highlight w:val="none"/>
        </w:rPr>
      </w:pPr>
      <w:bookmarkStart w:id="80" w:name="_Toc1394"/>
      <w:bookmarkStart w:id="81" w:name="_Toc17950"/>
      <w:bookmarkStart w:id="82" w:name="_Toc234832863"/>
      <w:bookmarkStart w:id="83" w:name="_Toc29783"/>
      <w:bookmarkStart w:id="84" w:name="_Toc12483"/>
      <w:r>
        <w:rPr>
          <w:rFonts w:hint="default" w:ascii="Times New Roman" w:hAnsi="Times New Roman" w:eastAsia="黑体" w:cs="Times New Roman"/>
          <w:b w:val="0"/>
          <w:bCs/>
          <w:i w:val="0"/>
          <w:iCs w:val="0"/>
          <w:color w:val="auto"/>
          <w:sz w:val="28"/>
          <w:szCs w:val="28"/>
          <w:highlight w:val="none"/>
        </w:rPr>
        <w:t>附录1资格审查条件（资质最低</w:t>
      </w:r>
      <w:r>
        <w:rPr>
          <w:rFonts w:hint="default" w:ascii="Times New Roman" w:hAnsi="Times New Roman" w:eastAsia="黑体" w:cs="Times New Roman"/>
          <w:b w:val="0"/>
          <w:bCs/>
          <w:i w:val="0"/>
          <w:iCs w:val="0"/>
          <w:color w:val="auto"/>
          <w:sz w:val="28"/>
          <w:szCs w:val="28"/>
          <w:highlight w:val="none"/>
          <w:lang w:eastAsia="zh-CN"/>
        </w:rPr>
        <w:t>要求</w:t>
      </w:r>
      <w:r>
        <w:rPr>
          <w:rFonts w:hint="default" w:ascii="Times New Roman" w:hAnsi="Times New Roman" w:eastAsia="黑体" w:cs="Times New Roman"/>
          <w:b w:val="0"/>
          <w:bCs/>
          <w:i w:val="0"/>
          <w:iCs w:val="0"/>
          <w:color w:val="auto"/>
          <w:sz w:val="28"/>
          <w:szCs w:val="28"/>
          <w:highlight w:val="none"/>
        </w:rPr>
        <w:t>）</w:t>
      </w:r>
      <w:r>
        <w:rPr>
          <w:rStyle w:val="48"/>
          <w:rFonts w:hint="default" w:ascii="Times New Roman" w:hAnsi="Times New Roman" w:eastAsia="黑体" w:cs="Times New Roman"/>
          <w:b w:val="0"/>
          <w:bCs/>
          <w:i w:val="0"/>
          <w:iCs w:val="0"/>
          <w:color w:val="auto"/>
          <w:sz w:val="28"/>
          <w:szCs w:val="28"/>
          <w:highlight w:val="none"/>
        </w:rPr>
        <w:footnoteReference w:id="10"/>
      </w:r>
      <w:bookmarkEnd w:id="80"/>
      <w:bookmarkEnd w:id="81"/>
      <w:bookmarkEnd w:id="82"/>
      <w:bookmarkEnd w:id="83"/>
      <w:bookmarkEnd w:id="8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1BEB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22A1EE2">
            <w:pPr>
              <w:pageBreakBefore w:val="0"/>
              <w:kinsoku/>
              <w:wordWrap w:val="0"/>
              <w:bidi w:val="0"/>
              <w:adjustRightInd w:val="0"/>
              <w:snapToGrid w:val="0"/>
              <w:spacing w:line="40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施工企业资质等级要求</w:t>
            </w:r>
            <w:r>
              <w:rPr>
                <w:rFonts w:hint="default" w:ascii="Times New Roman" w:hAnsi="Times New Roman" w:cs="Times New Roman"/>
                <w:color w:val="auto"/>
                <w:szCs w:val="21"/>
              </w:rPr>
              <w:footnoteReference w:id="11"/>
            </w:r>
          </w:p>
        </w:tc>
      </w:tr>
      <w:tr w14:paraId="345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1" w:hRule="atLeast"/>
          <w:jc w:val="center"/>
        </w:trPr>
        <w:tc>
          <w:tcPr>
            <w:tcW w:w="8819" w:type="dxa"/>
            <w:noWrap w:val="0"/>
            <w:vAlign w:val="top"/>
          </w:tcPr>
          <w:p w14:paraId="41BBB30E">
            <w:pPr>
              <w:pageBreakBefore w:val="0"/>
              <w:kinsoku/>
              <w:wordWrap w:val="0"/>
              <w:bidi w:val="0"/>
              <w:adjustRightInd w:val="0"/>
              <w:snapToGrid w:val="0"/>
              <w:spacing w:line="400" w:lineRule="atLeast"/>
              <w:jc w:val="both"/>
              <w:rPr>
                <w:rFonts w:hint="default" w:ascii="宋体" w:hAnsi="宋体" w:eastAsia="宋体" w:cs="宋体"/>
                <w:color w:val="auto"/>
                <w:szCs w:val="21"/>
                <w:highlight w:val="yellow"/>
                <w:lang w:val="en-US" w:eastAsia="zh-CN"/>
              </w:rPr>
            </w:pPr>
            <w:r>
              <w:rPr>
                <w:rFonts w:hint="default" w:ascii="宋体" w:hAnsi="宋体" w:eastAsia="宋体" w:cs="宋体"/>
                <w:color w:val="auto"/>
                <w:szCs w:val="21"/>
                <w:highlight w:val="yellow"/>
                <w:lang w:val="en-US" w:eastAsia="zh-CN"/>
              </w:rPr>
              <w:t>1 、投标人必须具有国内独立法人资格及有效的企业法人营业执照。</w:t>
            </w:r>
          </w:p>
          <w:p w14:paraId="69002F82">
            <w:pPr>
              <w:pageBreakBefore w:val="0"/>
              <w:kinsoku/>
              <w:wordWrap w:val="0"/>
              <w:bidi w:val="0"/>
              <w:adjustRightInd w:val="0"/>
              <w:snapToGrid w:val="0"/>
              <w:spacing w:line="400" w:lineRule="atLeast"/>
              <w:jc w:val="both"/>
              <w:rPr>
                <w:rFonts w:hint="default" w:ascii="宋体" w:hAnsi="宋体" w:eastAsia="宋体" w:cs="宋体"/>
                <w:color w:val="auto"/>
                <w:szCs w:val="21"/>
                <w:highlight w:val="yellow"/>
                <w:lang w:val="en-US" w:eastAsia="zh-CN"/>
              </w:rPr>
            </w:pPr>
            <w:r>
              <w:rPr>
                <w:rFonts w:hint="default" w:ascii="宋体" w:hAnsi="宋体" w:eastAsia="宋体" w:cs="宋体"/>
                <w:color w:val="auto"/>
                <w:szCs w:val="21"/>
                <w:highlight w:val="yellow"/>
                <w:lang w:val="en-US" w:eastAsia="zh-CN"/>
              </w:rPr>
              <w:t>2 、投标人的资质应满足以下 (1) 或 (2) 项要求：</w:t>
            </w:r>
          </w:p>
          <w:p w14:paraId="4B64C483">
            <w:pPr>
              <w:pageBreakBefore w:val="0"/>
              <w:kinsoku/>
              <w:wordWrap w:val="0"/>
              <w:bidi w:val="0"/>
              <w:adjustRightInd w:val="0"/>
              <w:snapToGrid w:val="0"/>
              <w:spacing w:line="400" w:lineRule="atLeast"/>
              <w:jc w:val="both"/>
              <w:rPr>
                <w:rFonts w:hint="default" w:ascii="宋体" w:hAnsi="宋体" w:eastAsia="宋体" w:cs="宋体"/>
                <w:color w:val="auto"/>
                <w:szCs w:val="21"/>
                <w:highlight w:val="yellow"/>
                <w:lang w:val="en-US" w:eastAsia="zh-CN"/>
              </w:rPr>
            </w:pPr>
            <w:r>
              <w:rPr>
                <w:rFonts w:hint="default" w:ascii="宋体" w:hAnsi="宋体" w:eastAsia="宋体" w:cs="宋体"/>
                <w:color w:val="auto"/>
                <w:szCs w:val="21"/>
                <w:highlight w:val="yellow"/>
                <w:lang w:val="en-US" w:eastAsia="zh-CN"/>
              </w:rPr>
              <w:t>（1）具有交通运输主管部门颁发且有效的“公路养护工程施工二类（乙级）”及以上资质，且资质证书注明的业务范围能够承担二级及以下等级公路的路基、路面、沿线设施（不含监控、通讯、收费管理系统）等大修、中修养护工程；</w:t>
            </w:r>
          </w:p>
          <w:p w14:paraId="07D5622B">
            <w:pPr>
              <w:pageBreakBefore w:val="0"/>
              <w:kinsoku/>
              <w:wordWrap w:val="0"/>
              <w:bidi w:val="0"/>
              <w:adjustRightInd w:val="0"/>
              <w:snapToGrid w:val="0"/>
              <w:spacing w:line="400" w:lineRule="atLeast"/>
              <w:jc w:val="both"/>
              <w:rPr>
                <w:rFonts w:hint="default" w:ascii="宋体" w:hAnsi="宋体" w:eastAsia="宋体" w:cs="宋体"/>
                <w:color w:val="auto"/>
                <w:szCs w:val="21"/>
                <w:highlight w:val="yellow"/>
                <w:lang w:val="en-US" w:eastAsia="zh-CN"/>
              </w:rPr>
            </w:pPr>
            <w:r>
              <w:rPr>
                <w:rFonts w:hint="default" w:ascii="宋体" w:hAnsi="宋体" w:eastAsia="宋体" w:cs="宋体"/>
                <w:color w:val="auto"/>
                <w:szCs w:val="21"/>
                <w:highlight w:val="yellow"/>
                <w:lang w:val="en-US" w:eastAsia="zh-CN"/>
              </w:rPr>
              <w:t>（2）具有省级交通运输主管部门颁发且有效的“公路养护作业单位资质证书”且资质类别具有路基路面养护乙级及以上资质、交通安全设施养护资质。</w:t>
            </w:r>
          </w:p>
          <w:p w14:paraId="74983D77">
            <w:pPr>
              <w:pageBreakBefore w:val="0"/>
              <w:kinsoku/>
              <w:wordWrap w:val="0"/>
              <w:bidi w:val="0"/>
              <w:adjustRightInd w:val="0"/>
              <w:snapToGrid w:val="0"/>
              <w:spacing w:line="400" w:lineRule="atLeast"/>
              <w:jc w:val="both"/>
              <w:rPr>
                <w:rFonts w:hint="default" w:ascii="宋体" w:hAnsi="宋体" w:eastAsia="宋体" w:cs="宋体"/>
                <w:color w:val="auto"/>
                <w:szCs w:val="21"/>
                <w:highlight w:val="yellow"/>
                <w:lang w:val="en-US" w:eastAsia="zh-CN"/>
              </w:rPr>
            </w:pPr>
            <w:r>
              <w:rPr>
                <w:rFonts w:hint="default" w:ascii="宋体" w:hAnsi="宋体" w:eastAsia="宋体" w:cs="宋体"/>
                <w:color w:val="auto"/>
                <w:szCs w:val="21"/>
                <w:highlight w:val="yellow"/>
                <w:lang w:val="en-US" w:eastAsia="zh-CN"/>
              </w:rPr>
              <w:t>3 、投标人必须具有建设行政主管部门颁发的有效安全生产许可证。</w:t>
            </w:r>
          </w:p>
          <w:p w14:paraId="3FC4FE0F">
            <w:pPr>
              <w:pageBreakBefore w:val="0"/>
              <w:kinsoku/>
              <w:wordWrap w:val="0"/>
              <w:bidi w:val="0"/>
              <w:adjustRightInd w:val="0"/>
              <w:snapToGrid w:val="0"/>
              <w:spacing w:line="400" w:lineRule="atLeast"/>
              <w:jc w:val="both"/>
              <w:rPr>
                <w:rFonts w:hint="default" w:ascii="宋体" w:hAnsi="宋体" w:eastAsia="宋体" w:cs="宋体"/>
                <w:color w:val="auto"/>
                <w:szCs w:val="21"/>
                <w:highlight w:val="none"/>
                <w:lang w:val="en-US" w:eastAsia="zh-CN"/>
              </w:rPr>
            </w:pPr>
          </w:p>
        </w:tc>
      </w:tr>
      <w:tr w14:paraId="3564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9" w:hRule="atLeast"/>
          <w:jc w:val="center"/>
        </w:trPr>
        <w:tc>
          <w:tcPr>
            <w:tcW w:w="8819" w:type="dxa"/>
            <w:noWrap w:val="0"/>
            <w:vAlign w:val="top"/>
          </w:tcPr>
          <w:p w14:paraId="4E6C1643">
            <w:pPr>
              <w:pageBreakBefore w:val="0"/>
              <w:kinsoku/>
              <w:wordWrap w:val="0"/>
              <w:bidi w:val="0"/>
              <w:adjustRightInd w:val="0"/>
              <w:snapToGrid w:val="0"/>
              <w:spacing w:line="400" w:lineRule="atLeast"/>
              <w:jc w:val="both"/>
              <w:rPr>
                <w:rFonts w:hint="eastAsia" w:ascii="宋体" w:hAnsi="宋体" w:eastAsia="宋体" w:cs="宋体"/>
                <w:b/>
                <w:bCs/>
                <w:color w:val="auto"/>
                <w:szCs w:val="21"/>
                <w:highlight w:val="none"/>
                <w:lang w:val="en-US" w:eastAsia="zh-CN"/>
              </w:rPr>
            </w:pPr>
            <w:bookmarkStart w:id="85" w:name="_Toc3559"/>
            <w:bookmarkStart w:id="86" w:name="_Toc234832864"/>
            <w:bookmarkStart w:id="87" w:name="_Toc4197"/>
            <w:r>
              <w:rPr>
                <w:rFonts w:hint="eastAsia" w:ascii="宋体" w:hAnsi="宋体" w:eastAsia="宋体" w:cs="宋体"/>
                <w:b/>
                <w:bCs/>
                <w:color w:val="auto"/>
                <w:szCs w:val="21"/>
                <w:highlight w:val="none"/>
                <w:lang w:val="en-US" w:eastAsia="zh-CN"/>
              </w:rPr>
              <w:t>注：“投标人基本情况表”后应附企业法人营业执照、施工资质证书、安全生产许可证、基本账户开户许可证或基本存款账户信息的“原件扫描件”，投标人在交通运输部“全国公路建设市场监督管理系统”公路工程施工资质企业名录中的网页截图，以及投标人在国家企业信用信息公示系统中基础信息（体现股东及出资详细信息）的网页截图或由法定的社会验资机构</w:t>
            </w:r>
          </w:p>
          <w:p w14:paraId="088F3AEA">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r>
              <w:rPr>
                <w:rFonts w:hint="eastAsia" w:ascii="宋体" w:hAnsi="宋体" w:eastAsia="宋体" w:cs="宋体"/>
                <w:b/>
                <w:bCs/>
                <w:color w:val="auto"/>
                <w:szCs w:val="21"/>
                <w:highlight w:val="none"/>
                <w:lang w:val="en-US" w:eastAsia="zh-CN"/>
              </w:rPr>
              <w:t>出具的验资报告或注册地工商部门出具的股东出资情况证明。</w:t>
            </w:r>
          </w:p>
        </w:tc>
      </w:tr>
    </w:tbl>
    <w:p w14:paraId="04D1F3A6">
      <w:pPr>
        <w:pStyle w:val="5"/>
        <w:pageBreakBefore w:val="0"/>
        <w:kinsoku/>
        <w:wordWrap w:val="0"/>
        <w:bidi w:val="0"/>
        <w:spacing w:before="240" w:after="240" w:line="240" w:lineRule="atLeast"/>
        <w:jc w:val="center"/>
        <w:rPr>
          <w:rFonts w:hint="default" w:ascii="Times New Roman" w:hAnsi="Times New Roman" w:eastAsia="黑体" w:cs="Times New Roman"/>
          <w:color w:val="auto"/>
          <w:sz w:val="28"/>
          <w:szCs w:val="28"/>
          <w:highlight w:val="none"/>
        </w:rPr>
        <w:sectPr>
          <w:headerReference r:id="rId19" w:type="default"/>
          <w:footerReference r:id="rId21" w:type="default"/>
          <w:headerReference r:id="rId20" w:type="even"/>
          <w:footerReference r:id="rId22"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3416999">
      <w:pPr>
        <w:pStyle w:val="5"/>
        <w:pageBreakBefore w:val="0"/>
        <w:kinsoku/>
        <w:wordWrap w:val="0"/>
        <w:bidi w:val="0"/>
        <w:spacing w:before="240" w:after="240" w:line="240" w:lineRule="atLeast"/>
        <w:jc w:val="center"/>
        <w:rPr>
          <w:rFonts w:hint="default" w:ascii="Times New Roman" w:hAnsi="Times New Roman" w:eastAsia="黑体" w:cs="Times New Roman"/>
          <w:b w:val="0"/>
          <w:bCs/>
          <w:i w:val="0"/>
          <w:iCs w:val="0"/>
          <w:color w:val="auto"/>
          <w:sz w:val="28"/>
          <w:szCs w:val="28"/>
          <w:highlight w:val="none"/>
        </w:rPr>
      </w:pPr>
      <w:bookmarkStart w:id="88" w:name="_Toc8732"/>
      <w:bookmarkStart w:id="89" w:name="_Toc9652"/>
      <w:r>
        <w:rPr>
          <w:rFonts w:hint="default" w:ascii="Times New Roman" w:hAnsi="Times New Roman" w:eastAsia="黑体" w:cs="Times New Roman"/>
          <w:b w:val="0"/>
          <w:bCs/>
          <w:i w:val="0"/>
          <w:iCs w:val="0"/>
          <w:color w:val="auto"/>
          <w:sz w:val="28"/>
          <w:szCs w:val="28"/>
          <w:highlight w:val="none"/>
        </w:rPr>
        <w:t>附录2资格审查条件（财务最低要求）</w:t>
      </w:r>
      <w:r>
        <w:rPr>
          <w:rFonts w:hint="default" w:ascii="Times New Roman" w:hAnsi="Times New Roman" w:eastAsia="黑体" w:cs="Times New Roman"/>
          <w:b w:val="0"/>
          <w:bCs/>
          <w:i w:val="0"/>
          <w:iCs w:val="0"/>
          <w:color w:val="auto"/>
          <w:sz w:val="28"/>
          <w:szCs w:val="28"/>
          <w:highlight w:val="none"/>
          <w:vertAlign w:val="superscript"/>
        </w:rPr>
        <w:footnoteReference w:id="12"/>
      </w:r>
      <w:bookmarkEnd w:id="85"/>
      <w:bookmarkEnd w:id="86"/>
      <w:bookmarkEnd w:id="87"/>
      <w:bookmarkEnd w:id="88"/>
      <w:bookmarkEnd w:id="8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CF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7C2D2BB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财务要求</w:t>
            </w:r>
          </w:p>
        </w:tc>
      </w:tr>
      <w:tr w14:paraId="3B94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2" w:hRule="atLeast"/>
          <w:jc w:val="center"/>
        </w:trPr>
        <w:tc>
          <w:tcPr>
            <w:tcW w:w="8819" w:type="dxa"/>
            <w:noWrap w:val="0"/>
            <w:vAlign w:val="center"/>
          </w:tcPr>
          <w:p w14:paraId="100B8D03">
            <w:pPr>
              <w:rPr>
                <w:color w:val="auto"/>
                <w:highlight w:val="none"/>
              </w:rPr>
            </w:pPr>
          </w:p>
          <w:p w14:paraId="07C107CD">
            <w:pPr>
              <w:rPr>
                <w:color w:val="auto"/>
                <w:highlight w:val="none"/>
              </w:rPr>
            </w:pPr>
          </w:p>
          <w:p w14:paraId="2433EDAE">
            <w:pPr>
              <w:rPr>
                <w:color w:val="auto"/>
                <w:highlight w:val="none"/>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无</w:t>
            </w:r>
          </w:p>
          <w:p w14:paraId="3A3D6107">
            <w:pPr>
              <w:rPr>
                <w:color w:val="auto"/>
                <w:highlight w:val="none"/>
              </w:rPr>
            </w:pPr>
          </w:p>
          <w:p w14:paraId="55A7A11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D3D9C4C">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590E2B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B446E43">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6DEC4E4">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D389D2B">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9818AD9">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BA588A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464494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195A242F">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5A98C5C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502DF6C5">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9975D6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BC91125">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54D449F">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p>
          <w:p w14:paraId="6A7477CF">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r w14:paraId="68C9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584F710A">
            <w:pPr>
              <w:pageBreakBefore w:val="0"/>
              <w:kinsoku/>
              <w:wordWrap w:val="0"/>
              <w:bidi w:val="0"/>
              <w:adjustRightInd w:val="0"/>
              <w:snapToGrid w:val="0"/>
              <w:spacing w:line="400" w:lineRule="atLeast"/>
              <w:jc w:val="left"/>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注：</w:t>
            </w:r>
          </w:p>
          <w:p w14:paraId="22BCB78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9D7529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F004F8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EA3ECD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A24A1C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3F3ED302">
      <w:pPr>
        <w:pageBreakBefore w:val="0"/>
        <w:kinsoku/>
        <w:wordWrap w:val="0"/>
        <w:bidi w:val="0"/>
        <w:adjustRightInd w:val="0"/>
        <w:snapToGrid w:val="0"/>
        <w:spacing w:line="300" w:lineRule="exact"/>
        <w:rPr>
          <w:rFonts w:hint="default" w:ascii="Times New Roman" w:hAnsi="Times New Roman" w:eastAsia="黑体" w:cs="Times New Roman"/>
          <w:color w:val="auto"/>
          <w:sz w:val="24"/>
          <w:highlight w:val="none"/>
        </w:rPr>
      </w:pPr>
    </w:p>
    <w:p w14:paraId="4041D78F">
      <w:pPr>
        <w:pStyle w:val="5"/>
        <w:pageBreakBefore w:val="0"/>
        <w:kinsoku/>
        <w:wordWrap w:val="0"/>
        <w:bidi w:val="0"/>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4"/>
          <w:highlight w:val="none"/>
        </w:rPr>
        <w:br w:type="page"/>
      </w:r>
      <w:bookmarkStart w:id="90" w:name="_Toc234832865"/>
      <w:bookmarkStart w:id="91" w:name="_Toc6381"/>
      <w:bookmarkStart w:id="92" w:name="_Toc32433"/>
      <w:bookmarkStart w:id="93" w:name="_Toc10281"/>
      <w:bookmarkStart w:id="94" w:name="_Toc13152"/>
      <w:r>
        <w:rPr>
          <w:rFonts w:hint="default" w:ascii="Times New Roman" w:hAnsi="Times New Roman" w:eastAsia="黑体" w:cs="Times New Roman"/>
          <w:b w:val="0"/>
          <w:bCs/>
          <w:i w:val="0"/>
          <w:iCs w:val="0"/>
          <w:color w:val="auto"/>
          <w:sz w:val="28"/>
          <w:szCs w:val="28"/>
          <w:highlight w:val="none"/>
        </w:rPr>
        <w:t>附录3资格审查条件（业绩最低要求）</w:t>
      </w:r>
      <w:r>
        <w:rPr>
          <w:rStyle w:val="48"/>
          <w:rFonts w:hint="default" w:ascii="Times New Roman" w:hAnsi="Times New Roman" w:eastAsia="黑体" w:cs="Times New Roman"/>
          <w:b w:val="0"/>
          <w:bCs/>
          <w:i w:val="0"/>
          <w:iCs w:val="0"/>
          <w:color w:val="auto"/>
          <w:sz w:val="28"/>
          <w:szCs w:val="28"/>
          <w:highlight w:val="none"/>
        </w:rPr>
        <w:footnoteReference w:id="13"/>
      </w:r>
      <w:bookmarkEnd w:id="90"/>
      <w:bookmarkEnd w:id="91"/>
      <w:bookmarkEnd w:id="92"/>
      <w:bookmarkEnd w:id="93"/>
      <w:bookmarkEnd w:id="9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5B5E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F360C32">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业绩要求</w:t>
            </w:r>
            <w:r>
              <w:rPr>
                <w:rStyle w:val="48"/>
                <w:rFonts w:hint="default" w:ascii="Times New Roman" w:hAnsi="Times New Roman" w:cs="Times New Roman"/>
                <w:color w:val="auto"/>
                <w:szCs w:val="21"/>
                <w:highlight w:val="none"/>
              </w:rPr>
              <w:footnoteReference w:id="14"/>
            </w:r>
          </w:p>
        </w:tc>
      </w:tr>
      <w:tr w14:paraId="1165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0" w:hRule="atLeast"/>
          <w:jc w:val="center"/>
        </w:trPr>
        <w:tc>
          <w:tcPr>
            <w:tcW w:w="8819" w:type="dxa"/>
            <w:noWrap w:val="0"/>
            <w:vAlign w:val="top"/>
          </w:tcPr>
          <w:p w14:paraId="60F7F422">
            <w:pPr>
              <w:pageBreakBefore w:val="0"/>
              <w:kinsoku/>
              <w:wordWrap w:val="0"/>
              <w:bidi w:val="0"/>
              <w:adjustRightInd w:val="0"/>
              <w:snapToGrid w:val="0"/>
              <w:spacing w:line="400" w:lineRule="atLeast"/>
              <w:jc w:val="both"/>
              <w:rPr>
                <w:rFonts w:hint="default" w:ascii="Times New Roman" w:hAnsi="Times New Roman" w:cs="Times New Roman"/>
                <w:color w:val="auto"/>
                <w:szCs w:val="21"/>
              </w:rPr>
            </w:pPr>
            <w:r>
              <w:rPr>
                <w:rFonts w:hint="default" w:ascii="Times New Roman" w:hAnsi="Times New Roman" w:cs="Times New Roman"/>
                <w:color w:val="auto"/>
                <w:szCs w:val="21"/>
              </w:rPr>
              <w:t>投标人</w:t>
            </w:r>
            <w:r>
              <w:rPr>
                <w:rFonts w:hint="default" w:ascii="Times New Roman" w:hAnsi="Times New Roman" w:cs="Times New Roman"/>
                <w:color w:val="auto"/>
                <w:szCs w:val="21"/>
                <w:highlight w:val="none"/>
              </w:rPr>
              <w:t>202</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年1月1日至投标文件递交截止时间（以竣工时间为准）</w:t>
            </w:r>
            <w:r>
              <w:rPr>
                <w:rFonts w:hint="default" w:ascii="Times New Roman" w:hAnsi="Times New Roman" w:cs="Times New Roman"/>
                <w:color w:val="auto"/>
                <w:szCs w:val="21"/>
              </w:rPr>
              <w:t>，完成过至少1项类似公路工程业绩。</w:t>
            </w:r>
          </w:p>
          <w:p w14:paraId="5CD2EA05">
            <w:pPr>
              <w:pageBreakBefore w:val="0"/>
              <w:kinsoku/>
              <w:wordWrap w:val="0"/>
              <w:bidi w:val="0"/>
              <w:adjustRightInd w:val="0"/>
              <w:snapToGrid w:val="0"/>
              <w:spacing w:line="400" w:lineRule="atLeast"/>
              <w:jc w:val="both"/>
              <w:rPr>
                <w:rFonts w:hint="default" w:ascii="Times New Roman" w:hAnsi="Times New Roman" w:cs="Times New Roman"/>
                <w:color w:val="auto"/>
                <w:szCs w:val="21"/>
              </w:rPr>
            </w:pPr>
            <w:r>
              <w:rPr>
                <w:rFonts w:hint="eastAsia" w:cs="Times New Roman"/>
                <w:color w:val="auto"/>
                <w:szCs w:val="21"/>
                <w:lang w:eastAsia="zh-CN"/>
              </w:rPr>
              <w:t>（</w:t>
            </w:r>
            <w:r>
              <w:rPr>
                <w:rFonts w:hint="eastAsia" w:cs="Times New Roman"/>
                <w:color w:val="auto"/>
                <w:szCs w:val="21"/>
                <w:lang w:val="en-US" w:eastAsia="zh-CN"/>
              </w:rPr>
              <w:t>1</w:t>
            </w:r>
            <w:r>
              <w:rPr>
                <w:rFonts w:hint="eastAsia" w:cs="Times New Roman"/>
                <w:color w:val="auto"/>
                <w:szCs w:val="21"/>
                <w:lang w:eastAsia="zh-CN"/>
              </w:rPr>
              <w:t>）</w:t>
            </w:r>
            <w:r>
              <w:rPr>
                <w:rFonts w:hint="default" w:ascii="Times New Roman" w:hAnsi="Times New Roman" w:cs="Times New Roman"/>
                <w:color w:val="auto"/>
                <w:szCs w:val="21"/>
              </w:rPr>
              <w:t>已录入“辽宁省公共资源交易平台主体交易库”中的企业业绩，可以从主体库中选取后关联至投标文件中，作为企业业绩的证明材料；</w:t>
            </w:r>
          </w:p>
          <w:p w14:paraId="41A21082">
            <w:pPr>
              <w:pageBreakBefore w:val="0"/>
              <w:kinsoku/>
              <w:wordWrap w:val="0"/>
              <w:bidi w:val="0"/>
              <w:adjustRightInd w:val="0"/>
              <w:snapToGrid w:val="0"/>
              <w:spacing w:line="400" w:lineRule="atLeast"/>
              <w:jc w:val="both"/>
              <w:rPr>
                <w:rFonts w:hint="default" w:ascii="Times New Roman" w:hAnsi="Times New Roman" w:cs="Times New Roman"/>
                <w:color w:val="auto"/>
                <w:szCs w:val="21"/>
              </w:rPr>
            </w:pPr>
            <w:r>
              <w:rPr>
                <w:rFonts w:hint="eastAsia" w:cs="Times New Roman"/>
                <w:color w:val="auto"/>
                <w:szCs w:val="21"/>
                <w:lang w:val="en-US" w:eastAsia="zh-CN"/>
              </w:rPr>
              <w:t>（2）</w:t>
            </w:r>
            <w:r>
              <w:rPr>
                <w:rFonts w:hint="default" w:ascii="Times New Roman" w:hAnsi="Times New Roman" w:cs="Times New Roman"/>
                <w:color w:val="auto"/>
                <w:szCs w:val="21"/>
              </w:rPr>
              <w:t>未录入“辽宁省公共资源交易平台主体交易库”中的企业业绩，在投标文件第一个信封的“其他材料”中提供以下材料作为企业业绩证明材料：中标通知书、施工合同、</w:t>
            </w:r>
            <w:r>
              <w:rPr>
                <w:rFonts w:hint="default" w:ascii="Times New Roman" w:hAnsi="Times New Roman" w:cs="Times New Roman"/>
                <w:color w:val="auto"/>
                <w:szCs w:val="21"/>
                <w:highlight w:val="yellow"/>
              </w:rPr>
              <w:t>竣工</w:t>
            </w:r>
            <w:r>
              <w:rPr>
                <w:rFonts w:hint="eastAsia" w:cs="Times New Roman"/>
                <w:color w:val="auto"/>
                <w:szCs w:val="21"/>
                <w:highlight w:val="yellow"/>
                <w:lang w:val="en-US" w:eastAsia="zh-CN"/>
              </w:rPr>
              <w:t>验收报告</w:t>
            </w:r>
            <w:r>
              <w:rPr>
                <w:rFonts w:hint="default" w:ascii="Times New Roman" w:hAnsi="Times New Roman" w:cs="Times New Roman"/>
                <w:color w:val="auto"/>
                <w:szCs w:val="21"/>
              </w:rPr>
              <w:t>、中标结果公示网站截图；</w:t>
            </w:r>
          </w:p>
          <w:p w14:paraId="06B0B722">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r>
              <w:rPr>
                <w:rFonts w:hint="eastAsia" w:cs="Times New Roman"/>
                <w:color w:val="auto"/>
                <w:szCs w:val="21"/>
                <w:lang w:val="en-US" w:eastAsia="zh-CN"/>
              </w:rPr>
              <w:t>（3）</w:t>
            </w:r>
            <w:r>
              <w:rPr>
                <w:rFonts w:hint="default" w:ascii="Times New Roman" w:hAnsi="Times New Roman" w:cs="Times New Roman"/>
                <w:color w:val="auto"/>
                <w:szCs w:val="21"/>
              </w:rPr>
              <w:t>如投标人法人机构发生变更或重组或法人名称变更时，应提供相关部门的合法批件。</w:t>
            </w:r>
          </w:p>
        </w:tc>
      </w:tr>
      <w:tr w14:paraId="2C73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6120244F">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注：投标人应提供中标通知书、施工合同及</w:t>
            </w:r>
            <w:r>
              <w:rPr>
                <w:rFonts w:hint="default" w:ascii="Times New Roman" w:hAnsi="Times New Roman" w:cs="Times New Roman"/>
                <w:color w:val="auto"/>
                <w:szCs w:val="21"/>
                <w:highlight w:val="yellow"/>
              </w:rPr>
              <w:t>竣工</w:t>
            </w:r>
            <w:r>
              <w:rPr>
                <w:rFonts w:hint="eastAsia" w:cs="Times New Roman"/>
                <w:color w:val="auto"/>
                <w:szCs w:val="21"/>
                <w:highlight w:val="yellow"/>
                <w:lang w:val="en-US" w:eastAsia="zh-CN"/>
              </w:rPr>
              <w:t>验收报告</w:t>
            </w:r>
            <w:r>
              <w:rPr>
                <w:rFonts w:hint="default" w:ascii="Times New Roman" w:hAnsi="Times New Roman" w:cs="Times New Roman"/>
                <w:color w:val="auto"/>
                <w:szCs w:val="21"/>
                <w:highlight w:val="none"/>
              </w:rPr>
              <w:t>，三者缺一不可，时间以竣工时间为准。</w:t>
            </w:r>
          </w:p>
          <w:p w14:paraId="39F11EC0">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167A4CB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E9A35E4">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85A7A43">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98782B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05315247">
      <w:pPr>
        <w:pageBreakBefore w:val="0"/>
        <w:kinsoku/>
        <w:wordWrap w:val="0"/>
        <w:bidi w:val="0"/>
        <w:adjustRightInd w:val="0"/>
        <w:snapToGrid w:val="0"/>
        <w:spacing w:line="300" w:lineRule="exact"/>
        <w:rPr>
          <w:rFonts w:hint="default" w:ascii="Times New Roman" w:hAnsi="Times New Roman" w:eastAsia="隶书" w:cs="Times New Roman"/>
          <w:b/>
          <w:color w:val="auto"/>
          <w:sz w:val="32"/>
          <w:highlight w:val="none"/>
        </w:rPr>
      </w:pPr>
    </w:p>
    <w:p w14:paraId="30D371AB">
      <w:pPr>
        <w:pStyle w:val="5"/>
        <w:pageBreakBefore w:val="0"/>
        <w:kinsoku/>
        <w:wordWrap w:val="0"/>
        <w:bidi w:val="0"/>
        <w:spacing w:before="240" w:after="240" w:line="240" w:lineRule="atLeast"/>
        <w:jc w:val="center"/>
        <w:rPr>
          <w:rFonts w:hint="default" w:ascii="Times New Roman" w:hAnsi="Times New Roman" w:eastAsia="黑体" w:cs="Times New Roman"/>
          <w:b w:val="0"/>
          <w:bCs/>
          <w:i w:val="0"/>
          <w:iCs w:val="0"/>
          <w:color w:val="auto"/>
          <w:sz w:val="28"/>
          <w:szCs w:val="28"/>
          <w:highlight w:val="none"/>
        </w:rPr>
      </w:pPr>
      <w:bookmarkStart w:id="95" w:name="_Toc24335"/>
      <w:bookmarkStart w:id="96" w:name="_Toc29684"/>
      <w:bookmarkStart w:id="97" w:name="_Toc234832866"/>
      <w:bookmarkStart w:id="98" w:name="_Toc17966"/>
      <w:bookmarkStart w:id="99" w:name="_Toc19189"/>
      <w:r>
        <w:rPr>
          <w:rFonts w:hint="default" w:ascii="Times New Roman" w:hAnsi="Times New Roman" w:eastAsia="黑体" w:cs="Times New Roman"/>
          <w:b w:val="0"/>
          <w:bCs/>
          <w:i w:val="0"/>
          <w:iCs w:val="0"/>
          <w:color w:val="auto"/>
          <w:sz w:val="28"/>
          <w:szCs w:val="28"/>
          <w:highlight w:val="none"/>
        </w:rPr>
        <w:t>附录4资格审查条件（信誉最低要求）</w:t>
      </w:r>
      <w:r>
        <w:rPr>
          <w:rStyle w:val="48"/>
          <w:rFonts w:hint="default" w:ascii="Times New Roman" w:hAnsi="Times New Roman" w:eastAsia="黑体" w:cs="Times New Roman"/>
          <w:b w:val="0"/>
          <w:bCs/>
          <w:i w:val="0"/>
          <w:iCs w:val="0"/>
          <w:color w:val="auto"/>
          <w:sz w:val="28"/>
          <w:szCs w:val="28"/>
          <w:highlight w:val="none"/>
        </w:rPr>
        <w:footnoteReference w:id="15"/>
      </w:r>
      <w:bookmarkEnd w:id="95"/>
      <w:bookmarkEnd w:id="96"/>
      <w:bookmarkEnd w:id="97"/>
      <w:bookmarkEnd w:id="98"/>
      <w:bookmarkEnd w:id="9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05C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C05642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信誉要求</w:t>
            </w:r>
          </w:p>
        </w:tc>
      </w:tr>
      <w:tr w14:paraId="686E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19" w:type="dxa"/>
            <w:noWrap w:val="0"/>
            <w:vAlign w:val="center"/>
          </w:tcPr>
          <w:p w14:paraId="06D23736">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r>
              <w:rPr>
                <w:rFonts w:hint="default" w:ascii="Times New Roman" w:hAnsi="Times New Roman" w:cs="Times New Roman"/>
                <w:color w:val="auto"/>
                <w:szCs w:val="21"/>
              </w:rPr>
              <w:t>（1）未被省级及以上交通运输主管部门取消招标项目所在地的投标资格且处于有效期内；</w:t>
            </w:r>
          </w:p>
          <w:p w14:paraId="6BF5A629">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r>
              <w:rPr>
                <w:rFonts w:hint="default" w:ascii="Times New Roman" w:hAnsi="Times New Roman" w:cs="Times New Roman"/>
                <w:color w:val="auto"/>
                <w:szCs w:val="21"/>
              </w:rPr>
              <w:t>（2）未被责令停业，暂扣或吊销执照，或吊销资质证书；</w:t>
            </w:r>
          </w:p>
          <w:p w14:paraId="0C3077D2">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r>
              <w:rPr>
                <w:rFonts w:hint="default" w:ascii="Times New Roman" w:hAnsi="Times New Roman" w:cs="Times New Roman"/>
                <w:color w:val="auto"/>
                <w:szCs w:val="21"/>
              </w:rPr>
              <w:t>（3）未进入清算程序，或被宣告破产，或其他丧失履约能力的情形；</w:t>
            </w:r>
          </w:p>
          <w:p w14:paraId="22839F74">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r>
              <w:rPr>
                <w:rFonts w:hint="default" w:ascii="Times New Roman" w:hAnsi="Times New Roman" w:cs="Times New Roman"/>
                <w:color w:val="auto"/>
                <w:szCs w:val="21"/>
              </w:rPr>
              <w:t>（4）在国家企业信用信息公示系统（http：//www.gsxt.gov.cn）中未被列入严重违法失信企业名单；</w:t>
            </w:r>
          </w:p>
          <w:p w14:paraId="12ED47D8">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r>
              <w:rPr>
                <w:rFonts w:hint="default" w:ascii="Times New Roman" w:hAnsi="Times New Roman" w:cs="Times New Roman"/>
                <w:color w:val="auto"/>
                <w:szCs w:val="21"/>
              </w:rPr>
              <w:t>（5）在“信用中国”网站（http：//www.creditchina.gov.cn）中未被列入失信被执行人名单；</w:t>
            </w:r>
          </w:p>
          <w:p w14:paraId="11D9B7AB">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r>
              <w:rPr>
                <w:rFonts w:hint="default" w:ascii="Times New Roman" w:hAnsi="Times New Roman" w:cs="Times New Roman"/>
                <w:color w:val="auto"/>
                <w:szCs w:val="21"/>
              </w:rPr>
              <w:t>（6）投标人或其法定代表人、拟委任的项目经理在近三年内没有行贿犯罪行为的；</w:t>
            </w:r>
          </w:p>
          <w:p w14:paraId="100BDB85">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r>
              <w:rPr>
                <w:rFonts w:hint="default" w:ascii="Times New Roman" w:hAnsi="Times New Roman" w:cs="Times New Roman"/>
                <w:color w:val="auto"/>
                <w:szCs w:val="21"/>
              </w:rPr>
              <w:t>（7）投标人在以往工程未因拖欠农民工工资、材料采购、工程分包款等，而受到省级有关部门的通报；</w:t>
            </w:r>
          </w:p>
          <w:p w14:paraId="32D4F0B3">
            <w:pPr>
              <w:rPr>
                <w:color w:val="auto"/>
                <w:highlight w:val="none"/>
              </w:rPr>
            </w:pPr>
            <w:r>
              <w:rPr>
                <w:rFonts w:hint="default" w:ascii="Times New Roman" w:hAnsi="Times New Roman" w:cs="Times New Roman"/>
                <w:color w:val="auto"/>
                <w:szCs w:val="21"/>
              </w:rPr>
              <w:t>（8）法律法规规定的其他情形。</w:t>
            </w:r>
          </w:p>
          <w:p w14:paraId="2905902E">
            <w:pPr>
              <w:rPr>
                <w:color w:val="auto"/>
                <w:highlight w:val="none"/>
              </w:rPr>
            </w:pPr>
          </w:p>
          <w:p w14:paraId="52B017A7">
            <w:pPr>
              <w:rPr>
                <w:color w:val="auto"/>
                <w:highlight w:val="none"/>
              </w:rPr>
            </w:pPr>
          </w:p>
          <w:p w14:paraId="4AC4A125">
            <w:pPr>
              <w:rPr>
                <w:color w:val="auto"/>
                <w:highlight w:val="none"/>
              </w:rPr>
            </w:pPr>
          </w:p>
          <w:p w14:paraId="1C507BC4">
            <w:pPr>
              <w:pageBreakBefore w:val="0"/>
              <w:kinsoku/>
              <w:wordWrap w:val="0"/>
              <w:bidi w:val="0"/>
              <w:adjustRightInd w:val="0"/>
              <w:snapToGrid w:val="0"/>
              <w:spacing w:line="400" w:lineRule="atLeast"/>
              <w:jc w:val="left"/>
              <w:rPr>
                <w:rFonts w:hint="default" w:ascii="Times New Roman" w:hAnsi="Times New Roman" w:cs="Times New Roman"/>
                <w:color w:val="auto"/>
                <w:szCs w:val="21"/>
              </w:rPr>
            </w:pPr>
          </w:p>
          <w:p w14:paraId="3B5FE26C">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C25E122">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r w14:paraId="018E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6FF5749C">
            <w:pPr>
              <w:pageBreakBefore w:val="0"/>
              <w:kinsoku/>
              <w:wordWrap w:val="0"/>
              <w:bidi w:val="0"/>
              <w:adjustRightInd w:val="0"/>
              <w:snapToGrid w:val="0"/>
              <w:spacing w:line="400" w:lineRule="atLeast"/>
              <w:jc w:val="left"/>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注：</w:t>
            </w:r>
          </w:p>
          <w:p w14:paraId="1B9A51FC">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0089A13">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D82D76A">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00EE50F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7C336F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6F4E74FF">
      <w:pPr>
        <w:pageBreakBefore w:val="0"/>
        <w:kinsoku/>
        <w:wordWrap w:val="0"/>
        <w:bidi w:val="0"/>
        <w:adjustRightInd w:val="0"/>
        <w:snapToGrid w:val="0"/>
        <w:spacing w:line="300" w:lineRule="exact"/>
        <w:rPr>
          <w:rFonts w:hint="default" w:ascii="Times New Roman" w:hAnsi="Times New Roman" w:eastAsia="隶书" w:cs="Times New Roman"/>
          <w:color w:val="auto"/>
          <w:sz w:val="32"/>
          <w:highlight w:val="none"/>
        </w:rPr>
      </w:pPr>
    </w:p>
    <w:p w14:paraId="41A078B4">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3F2E9AF9">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color w:val="auto"/>
          <w:sz w:val="24"/>
          <w:highlight w:val="none"/>
        </w:rPr>
      </w:pPr>
    </w:p>
    <w:p w14:paraId="0F1A4AF7">
      <w:pPr>
        <w:pStyle w:val="5"/>
        <w:pageBreakBefore w:val="0"/>
        <w:kinsoku/>
        <w:wordWrap w:val="0"/>
        <w:bidi w:val="0"/>
        <w:spacing w:before="240" w:after="240" w:line="240" w:lineRule="atLeast"/>
        <w:jc w:val="center"/>
        <w:outlineLvl w:val="2"/>
        <w:rPr>
          <w:rFonts w:hint="default" w:ascii="Times New Roman" w:hAnsi="Times New Roman" w:eastAsia="黑体" w:cs="Times New Roman"/>
          <w:b w:val="0"/>
          <w:bCs/>
          <w:i w:val="0"/>
          <w:iCs w:val="0"/>
          <w:color w:val="auto"/>
          <w:sz w:val="28"/>
          <w:szCs w:val="28"/>
          <w:highlight w:val="none"/>
        </w:rPr>
      </w:pPr>
      <w:bookmarkStart w:id="100" w:name="_Toc24216"/>
      <w:bookmarkStart w:id="101" w:name="_Toc234832867"/>
      <w:bookmarkStart w:id="102" w:name="_Toc27658"/>
      <w:bookmarkStart w:id="103" w:name="_Toc4881"/>
      <w:bookmarkStart w:id="104" w:name="_Toc7446"/>
      <w:r>
        <w:rPr>
          <w:rFonts w:hint="default" w:ascii="Times New Roman" w:hAnsi="Times New Roman" w:eastAsia="黑体" w:cs="Times New Roman"/>
          <w:b w:val="0"/>
          <w:bCs/>
          <w:i w:val="0"/>
          <w:iCs w:val="0"/>
          <w:color w:val="auto"/>
          <w:sz w:val="28"/>
          <w:szCs w:val="28"/>
          <w:highlight w:val="none"/>
        </w:rPr>
        <w:t>附录5资格审查条件（项目经理和项目总工最低要求）</w:t>
      </w:r>
      <w:r>
        <w:rPr>
          <w:rStyle w:val="48"/>
          <w:rFonts w:hint="default" w:ascii="Times New Roman" w:hAnsi="Times New Roman" w:eastAsia="黑体" w:cs="Times New Roman"/>
          <w:b w:val="0"/>
          <w:bCs/>
          <w:i w:val="0"/>
          <w:iCs w:val="0"/>
          <w:color w:val="auto"/>
          <w:sz w:val="28"/>
          <w:szCs w:val="28"/>
          <w:highlight w:val="none"/>
        </w:rPr>
        <w:footnoteReference w:id="16"/>
      </w:r>
      <w:bookmarkEnd w:id="100"/>
      <w:bookmarkEnd w:id="101"/>
      <w:bookmarkEnd w:id="102"/>
      <w:bookmarkEnd w:id="103"/>
      <w:bookmarkEnd w:id="10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6B65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1BE5FC90">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人员</w:t>
            </w:r>
          </w:p>
        </w:tc>
        <w:tc>
          <w:tcPr>
            <w:tcW w:w="1559" w:type="dxa"/>
            <w:noWrap w:val="0"/>
            <w:vAlign w:val="center"/>
          </w:tcPr>
          <w:p w14:paraId="6558C28D">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2888" w:type="dxa"/>
            <w:noWrap w:val="0"/>
            <w:vAlign w:val="center"/>
          </w:tcPr>
          <w:p w14:paraId="6A4ABB0F">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资格要求</w:t>
            </w:r>
            <w:r>
              <w:rPr>
                <w:rStyle w:val="48"/>
                <w:rFonts w:hint="default" w:ascii="Times New Roman" w:hAnsi="Times New Roman" w:cs="Times New Roman"/>
                <w:color w:val="auto"/>
                <w:szCs w:val="21"/>
                <w:highlight w:val="none"/>
              </w:rPr>
              <w:footnoteReference w:id="17"/>
            </w:r>
          </w:p>
        </w:tc>
        <w:tc>
          <w:tcPr>
            <w:tcW w:w="2887" w:type="dxa"/>
            <w:noWrap w:val="0"/>
            <w:vAlign w:val="center"/>
          </w:tcPr>
          <w:p w14:paraId="14A395B6">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在岗要求</w:t>
            </w:r>
          </w:p>
        </w:tc>
      </w:tr>
      <w:tr w14:paraId="4149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380F0A87">
            <w:pPr>
              <w:pageBreakBefore w:val="0"/>
              <w:kinsoku/>
              <w:wordWrap w:val="0"/>
              <w:bidi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1559" w:type="dxa"/>
            <w:noWrap w:val="0"/>
            <w:vAlign w:val="center"/>
          </w:tcPr>
          <w:p w14:paraId="6DACDB29">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eastAsia" w:cs="Times New Roman"/>
                <w:color w:val="auto"/>
                <w:szCs w:val="21"/>
                <w:lang w:val="en-US" w:eastAsia="zh-CN"/>
              </w:rPr>
              <w:t>1</w:t>
            </w:r>
          </w:p>
        </w:tc>
        <w:tc>
          <w:tcPr>
            <w:tcW w:w="2888" w:type="dxa"/>
            <w:noWrap w:val="0"/>
            <w:vAlign w:val="center"/>
          </w:tcPr>
          <w:p w14:paraId="6768C695">
            <w:pPr>
              <w:pageBreakBefore w:val="0"/>
              <w:kinsoku/>
              <w:wordWrap w:val="0"/>
              <w:bidi w:val="0"/>
              <w:adjustRightInd w:val="0"/>
              <w:snapToGrid w:val="0"/>
              <w:spacing w:line="300" w:lineRule="auto"/>
              <w:rPr>
                <w:rFonts w:hint="default" w:ascii="Times New Roman" w:hAnsi="Times New Roman" w:cs="Times New Roman"/>
                <w:color w:val="auto"/>
                <w:szCs w:val="21"/>
                <w:highlight w:val="yellow"/>
                <w:lang w:val="en-US" w:eastAsia="zh-CN"/>
              </w:rPr>
            </w:pPr>
            <w:r>
              <w:rPr>
                <w:rFonts w:hint="default" w:ascii="Times New Roman" w:hAnsi="Times New Roman" w:cs="Times New Roman"/>
                <w:color w:val="auto"/>
                <w:szCs w:val="21"/>
                <w:highlight w:val="yellow"/>
                <w:lang w:val="en-US" w:eastAsia="zh-CN"/>
              </w:rPr>
              <w:t>具有公路工程专业二级及以上建造师证书以及交通运输主管部门颁发的有效期内的安全生产考核合格“B”类证书；具有公路工程类似工程项目经理任职业绩。</w:t>
            </w:r>
          </w:p>
          <w:p w14:paraId="5D01F170">
            <w:pPr>
              <w:pageBreakBefore w:val="0"/>
              <w:kinsoku/>
              <w:wordWrap w:val="0"/>
              <w:bidi w:val="0"/>
              <w:adjustRightInd w:val="0"/>
              <w:snapToGrid w:val="0"/>
              <w:spacing w:line="300" w:lineRule="auto"/>
              <w:rPr>
                <w:rFonts w:hint="eastAsia" w:ascii="Times New Roman" w:hAnsi="Times New Roman" w:eastAsia="宋体" w:cs="Times New Roman"/>
                <w:color w:val="auto"/>
                <w:szCs w:val="21"/>
                <w:highlight w:val="yellow"/>
                <w:lang w:val="en-US" w:eastAsia="zh-CN"/>
              </w:rPr>
            </w:pPr>
            <w:r>
              <w:rPr>
                <w:rFonts w:hint="eastAsia" w:cs="Times New Roman"/>
                <w:color w:val="auto"/>
                <w:szCs w:val="21"/>
                <w:highlight w:val="yellow"/>
                <w:lang w:val="en-US" w:eastAsia="zh-CN"/>
              </w:rPr>
              <w:t>相关</w:t>
            </w:r>
            <w:r>
              <w:rPr>
                <w:rFonts w:hint="default" w:ascii="Times New Roman" w:hAnsi="Times New Roman" w:cs="Times New Roman"/>
                <w:color w:val="auto"/>
                <w:szCs w:val="21"/>
                <w:highlight w:val="yellow"/>
              </w:rPr>
              <w:t>证书在有效期内且证书目前必须注册在投标人单位</w:t>
            </w:r>
            <w:r>
              <w:rPr>
                <w:rFonts w:hint="eastAsia" w:cs="Times New Roman"/>
                <w:color w:val="auto"/>
                <w:szCs w:val="21"/>
                <w:highlight w:val="yellow"/>
                <w:lang w:eastAsia="zh-CN"/>
              </w:rPr>
              <w:t>。</w:t>
            </w:r>
          </w:p>
        </w:tc>
        <w:tc>
          <w:tcPr>
            <w:tcW w:w="2887" w:type="dxa"/>
            <w:vMerge w:val="restart"/>
            <w:noWrap w:val="0"/>
            <w:vAlign w:val="center"/>
          </w:tcPr>
          <w:p w14:paraId="6CC9A75D">
            <w:pPr>
              <w:pageBreakBefore w:val="0"/>
              <w:kinsoku/>
              <w:wordWrap w:val="0"/>
              <w:bidi w:val="0"/>
              <w:adjustRightInd w:val="0"/>
              <w:snapToGrid w:val="0"/>
              <w:spacing w:line="300" w:lineRule="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无在岗项目（指目前未在其他项目上任职，或虽在其他项目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w:t>
            </w:r>
          </w:p>
        </w:tc>
      </w:tr>
      <w:tr w14:paraId="4877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1976AE3F">
            <w:pPr>
              <w:pageBreakBefore w:val="0"/>
              <w:kinsoku/>
              <w:wordWrap w:val="0"/>
              <w:bidi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w:t>
            </w:r>
          </w:p>
        </w:tc>
        <w:tc>
          <w:tcPr>
            <w:tcW w:w="1559" w:type="dxa"/>
            <w:noWrap w:val="0"/>
            <w:vAlign w:val="center"/>
          </w:tcPr>
          <w:p w14:paraId="34E4D889">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eastAsia" w:cs="Times New Roman"/>
                <w:color w:val="auto"/>
                <w:szCs w:val="21"/>
                <w:lang w:val="en-US" w:eastAsia="zh-CN"/>
              </w:rPr>
              <w:t>1</w:t>
            </w:r>
          </w:p>
        </w:tc>
        <w:tc>
          <w:tcPr>
            <w:tcW w:w="2888" w:type="dxa"/>
            <w:noWrap w:val="0"/>
            <w:vAlign w:val="center"/>
          </w:tcPr>
          <w:p w14:paraId="52A0A8FD">
            <w:pPr>
              <w:pageBreakBefore w:val="0"/>
              <w:kinsoku/>
              <w:wordWrap w:val="0"/>
              <w:bidi w:val="0"/>
              <w:adjustRightInd w:val="0"/>
              <w:snapToGrid w:val="0"/>
              <w:spacing w:line="300" w:lineRule="auto"/>
              <w:rPr>
                <w:rFonts w:hint="default" w:ascii="Times New Roman" w:hAnsi="Times New Roman" w:cs="Times New Roman"/>
                <w:color w:val="auto"/>
                <w:szCs w:val="21"/>
                <w:highlight w:val="yellow"/>
              </w:rPr>
            </w:pPr>
            <w:r>
              <w:rPr>
                <w:rFonts w:hint="default" w:ascii="Times New Roman" w:hAnsi="Times New Roman" w:cs="Times New Roman"/>
                <w:color w:val="auto"/>
                <w:szCs w:val="21"/>
                <w:highlight w:val="yellow"/>
                <w:lang w:val="en-US" w:eastAsia="zh-CN"/>
              </w:rPr>
              <w:t>具有公路工程相关专业中级及以上技术职称</w:t>
            </w:r>
            <w:r>
              <w:rPr>
                <w:rFonts w:hint="eastAsia" w:cs="Times New Roman"/>
                <w:color w:val="auto"/>
                <w:szCs w:val="21"/>
                <w:highlight w:val="yellow"/>
                <w:lang w:val="en-US" w:eastAsia="zh-CN"/>
              </w:rPr>
              <w:t>；</w:t>
            </w:r>
            <w:r>
              <w:rPr>
                <w:rFonts w:hint="default" w:ascii="Times New Roman" w:hAnsi="Times New Roman" w:cs="Times New Roman"/>
                <w:color w:val="auto"/>
                <w:szCs w:val="21"/>
                <w:highlight w:val="yellow"/>
                <w:lang w:val="en-US" w:eastAsia="zh-CN"/>
              </w:rPr>
              <w:t>具有公路工程类似工程管理业绩</w:t>
            </w:r>
            <w:r>
              <w:rPr>
                <w:rFonts w:hint="default" w:ascii="Times New Roman" w:hAnsi="Times New Roman" w:cs="Times New Roman"/>
                <w:color w:val="auto"/>
                <w:szCs w:val="21"/>
                <w:highlight w:val="yellow"/>
              </w:rPr>
              <w:t>。</w:t>
            </w:r>
          </w:p>
          <w:p w14:paraId="674DEE9A">
            <w:pPr>
              <w:pageBreakBefore w:val="0"/>
              <w:kinsoku/>
              <w:wordWrap w:val="0"/>
              <w:bidi w:val="0"/>
              <w:adjustRightInd w:val="0"/>
              <w:snapToGrid w:val="0"/>
              <w:spacing w:line="300" w:lineRule="auto"/>
              <w:rPr>
                <w:rFonts w:hint="eastAsia" w:ascii="Times New Roman" w:hAnsi="Times New Roman" w:eastAsia="宋体" w:cs="Times New Roman"/>
                <w:color w:val="auto"/>
                <w:szCs w:val="21"/>
                <w:highlight w:val="yellow"/>
                <w:lang w:eastAsia="zh-CN"/>
              </w:rPr>
            </w:pPr>
          </w:p>
        </w:tc>
        <w:tc>
          <w:tcPr>
            <w:tcW w:w="2887" w:type="dxa"/>
            <w:vMerge w:val="continue"/>
            <w:noWrap w:val="0"/>
            <w:vAlign w:val="center"/>
          </w:tcPr>
          <w:p w14:paraId="21EF82F1">
            <w:pPr>
              <w:pageBreakBefore w:val="0"/>
              <w:kinsoku/>
              <w:wordWrap w:val="0"/>
              <w:bidi w:val="0"/>
              <w:adjustRightInd w:val="0"/>
              <w:snapToGrid w:val="0"/>
              <w:spacing w:line="300" w:lineRule="auto"/>
              <w:rPr>
                <w:rFonts w:hint="default" w:ascii="Times New Roman" w:hAnsi="Times New Roman" w:cs="Times New Roman"/>
                <w:color w:val="auto"/>
                <w:szCs w:val="21"/>
                <w:highlight w:val="none"/>
              </w:rPr>
            </w:pPr>
          </w:p>
        </w:tc>
      </w:tr>
      <w:tr w14:paraId="0A99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9004" w:type="dxa"/>
            <w:gridSpan w:val="4"/>
            <w:noWrap w:val="0"/>
            <w:vAlign w:val="top"/>
          </w:tcPr>
          <w:p w14:paraId="59FCA636">
            <w:pPr>
              <w:pageBreakBefore w:val="0"/>
              <w:kinsoku/>
              <w:wordWrap w:val="0"/>
              <w:bidi w:val="0"/>
              <w:adjustRightInd w:val="0"/>
              <w:snapToGrid w:val="0"/>
              <w:spacing w:line="300" w:lineRule="auto"/>
              <w:rPr>
                <w:rFonts w:hint="eastAsia" w:cs="Times New Roman"/>
                <w:color w:val="auto"/>
                <w:szCs w:val="21"/>
                <w:highlight w:val="yellow"/>
                <w:lang w:val="en-US" w:eastAsia="zh-CN"/>
              </w:rPr>
            </w:pPr>
            <w:r>
              <w:rPr>
                <w:rFonts w:hint="eastAsia" w:cs="Times New Roman"/>
                <w:color w:val="auto"/>
                <w:szCs w:val="21"/>
                <w:highlight w:val="none"/>
                <w:lang w:val="en-US" w:eastAsia="zh-CN"/>
              </w:rPr>
              <w:t>注：注：项目经理和项目总工程师均不得同时在两个及以上项目任职。</w:t>
            </w:r>
            <w:r>
              <w:rPr>
                <w:rFonts w:hint="eastAsia" w:cs="Times New Roman"/>
                <w:color w:val="auto"/>
                <w:szCs w:val="21"/>
                <w:highlight w:val="yellow"/>
                <w:lang w:val="en-US" w:eastAsia="zh-CN"/>
              </w:rPr>
              <w:t>相关业绩证明材料须体现人员姓名及职务，业绩证明材料包括但不限于中标通知书、施工合同及竣工验收报告；若前述材料未体现项目经理、项目总工姓名及任职情况，投标人须另行提供业主单位出具的任职证明或项目任命文件或施工许可文件或交通建设市场信用信息平台公示截图等有效佐证材料，佐证材料须加盖公章，信息真实可查，否则该项业绩不予认可。</w:t>
            </w:r>
          </w:p>
          <w:p w14:paraId="37E87409">
            <w:pPr>
              <w:pageBreakBefore w:val="0"/>
              <w:kinsoku/>
              <w:wordWrap w:val="0"/>
              <w:bidi w:val="0"/>
              <w:adjustRightInd w:val="0"/>
              <w:snapToGrid w:val="0"/>
              <w:spacing w:line="300" w:lineRule="auto"/>
              <w:rPr>
                <w:rFonts w:hint="eastAsia" w:ascii="Times New Roman" w:hAnsi="Times New Roman" w:eastAsia="宋体" w:cs="Times New Roman"/>
                <w:color w:val="auto"/>
                <w:szCs w:val="21"/>
                <w:highlight w:val="none"/>
                <w:lang w:val="en-US" w:eastAsia="zh-CN"/>
              </w:rPr>
            </w:pPr>
          </w:p>
        </w:tc>
      </w:tr>
    </w:tbl>
    <w:p w14:paraId="0584DED7">
      <w:pPr>
        <w:pageBreakBefore w:val="0"/>
        <w:kinsoku/>
        <w:wordWrap w:val="0"/>
        <w:bidi w:val="0"/>
        <w:adjustRightInd w:val="0"/>
        <w:snapToGrid w:val="0"/>
        <w:spacing w:line="240" w:lineRule="exact"/>
        <w:rPr>
          <w:rFonts w:hint="default" w:ascii="Times New Roman" w:hAnsi="Times New Roman" w:eastAsia="隶书" w:cs="Times New Roman"/>
          <w:b/>
          <w:bCs/>
          <w:color w:val="auto"/>
          <w:sz w:val="32"/>
          <w:szCs w:val="32"/>
          <w:highlight w:val="none"/>
        </w:rPr>
      </w:pPr>
    </w:p>
    <w:p w14:paraId="073DC223">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color w:val="auto"/>
          <w:szCs w:val="21"/>
          <w:highlight w:val="none"/>
        </w:rPr>
      </w:pPr>
    </w:p>
    <w:p w14:paraId="7F57F205">
      <w:pPr>
        <w:pStyle w:val="5"/>
        <w:pageBreakBefore w:val="0"/>
        <w:kinsoku/>
        <w:wordWrap w:val="0"/>
        <w:bidi w:val="0"/>
        <w:spacing w:before="240" w:after="240" w:line="240" w:lineRule="atLeast"/>
        <w:jc w:val="center"/>
        <w:outlineLvl w:val="2"/>
        <w:rPr>
          <w:rFonts w:hint="default" w:ascii="Times New Roman" w:hAnsi="Times New Roman" w:eastAsia="黑体" w:cs="Times New Roman"/>
          <w:color w:val="auto"/>
          <w:sz w:val="28"/>
          <w:szCs w:val="28"/>
          <w:highlight w:val="none"/>
        </w:rPr>
      </w:pPr>
      <w:bookmarkStart w:id="105" w:name="_Toc234832868"/>
      <w:r>
        <w:rPr>
          <w:rFonts w:hint="default" w:ascii="Times New Roman" w:hAnsi="Times New Roman" w:eastAsia="黑体" w:cs="Times New Roman"/>
          <w:color w:val="auto"/>
          <w:sz w:val="28"/>
          <w:szCs w:val="28"/>
          <w:highlight w:val="none"/>
        </w:rPr>
        <w:br w:type="page"/>
      </w:r>
      <w:bookmarkStart w:id="106" w:name="_Toc18718"/>
      <w:bookmarkStart w:id="107" w:name="_Toc29411"/>
      <w:bookmarkStart w:id="108" w:name="_Toc5891"/>
      <w:bookmarkStart w:id="109" w:name="_Toc32755"/>
      <w:r>
        <w:rPr>
          <w:rFonts w:hint="default" w:ascii="Times New Roman" w:hAnsi="Times New Roman" w:eastAsia="黑体" w:cs="Times New Roman"/>
          <w:b w:val="0"/>
          <w:bCs/>
          <w:i w:val="0"/>
          <w:iCs w:val="0"/>
          <w:color w:val="auto"/>
          <w:sz w:val="28"/>
          <w:szCs w:val="28"/>
          <w:highlight w:val="none"/>
        </w:rPr>
        <w:t>附录6资格审查条件（其他管理和技术人员最低要求）</w:t>
      </w:r>
      <w:r>
        <w:rPr>
          <w:rFonts w:hint="default" w:ascii="Times New Roman" w:hAnsi="Times New Roman" w:eastAsia="黑体" w:cs="Times New Roman"/>
          <w:b w:val="0"/>
          <w:bCs/>
          <w:i w:val="0"/>
          <w:iCs w:val="0"/>
          <w:color w:val="auto"/>
          <w:sz w:val="28"/>
          <w:szCs w:val="28"/>
          <w:highlight w:val="none"/>
          <w:vertAlign w:val="superscript"/>
        </w:rPr>
        <w:footnoteReference w:id="18"/>
      </w:r>
      <w:bookmarkEnd w:id="105"/>
      <w:bookmarkEnd w:id="106"/>
      <w:bookmarkEnd w:id="107"/>
      <w:bookmarkEnd w:id="108"/>
      <w:bookmarkEnd w:id="10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025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419B1A4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331" w:type="dxa"/>
            <w:noWrap w:val="0"/>
            <w:vAlign w:val="center"/>
          </w:tcPr>
          <w:p w14:paraId="0748ED2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5847" w:type="dxa"/>
            <w:noWrap w:val="0"/>
            <w:vAlign w:val="center"/>
          </w:tcPr>
          <w:p w14:paraId="71CCD8A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资格要求</w:t>
            </w:r>
          </w:p>
        </w:tc>
      </w:tr>
      <w:tr w14:paraId="0948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70E00058">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1331" w:type="dxa"/>
            <w:noWrap w:val="0"/>
            <w:vAlign w:val="center"/>
          </w:tcPr>
          <w:p w14:paraId="55CA95F2">
            <w:pPr>
              <w:pageBreakBefore w:val="0"/>
              <w:kinsoku/>
              <w:wordWrap w:val="0"/>
              <w:bidi w:val="0"/>
              <w:adjustRightInd w:val="0"/>
              <w:snapToGrid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5847" w:type="dxa"/>
            <w:noWrap w:val="0"/>
            <w:vAlign w:val="center"/>
          </w:tcPr>
          <w:p w14:paraId="054345CC">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r>
      <w:tr w14:paraId="6E85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F9F0E6C">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noWrap w:val="0"/>
            <w:vAlign w:val="center"/>
          </w:tcPr>
          <w:p w14:paraId="070060E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noWrap w:val="0"/>
            <w:vAlign w:val="center"/>
          </w:tcPr>
          <w:p w14:paraId="6580F046">
            <w:pPr>
              <w:pageBreakBefore w:val="0"/>
              <w:kinsoku/>
              <w:wordWrap w:val="0"/>
              <w:bidi w:val="0"/>
              <w:spacing w:line="400" w:lineRule="atLeast"/>
              <w:rPr>
                <w:rFonts w:hint="default" w:ascii="Times New Roman" w:hAnsi="Times New Roman" w:cs="Times New Roman"/>
                <w:color w:val="auto"/>
                <w:sz w:val="24"/>
                <w:highlight w:val="none"/>
              </w:rPr>
            </w:pPr>
          </w:p>
        </w:tc>
      </w:tr>
      <w:tr w14:paraId="469A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7BE5848B">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noWrap w:val="0"/>
            <w:vAlign w:val="center"/>
          </w:tcPr>
          <w:p w14:paraId="44E797B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noWrap w:val="0"/>
            <w:vAlign w:val="center"/>
          </w:tcPr>
          <w:p w14:paraId="3405F47E">
            <w:pPr>
              <w:pageBreakBefore w:val="0"/>
              <w:kinsoku/>
              <w:wordWrap w:val="0"/>
              <w:bidi w:val="0"/>
              <w:spacing w:line="400" w:lineRule="atLeast"/>
              <w:rPr>
                <w:rFonts w:hint="default" w:ascii="Times New Roman" w:hAnsi="Times New Roman" w:cs="Times New Roman"/>
                <w:color w:val="auto"/>
                <w:sz w:val="24"/>
                <w:highlight w:val="none"/>
              </w:rPr>
            </w:pPr>
          </w:p>
        </w:tc>
      </w:tr>
      <w:tr w14:paraId="6411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5489104">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7C899F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52A8683F">
            <w:pPr>
              <w:pageBreakBefore w:val="0"/>
              <w:kinsoku/>
              <w:wordWrap w:val="0"/>
              <w:bidi w:val="0"/>
              <w:spacing w:line="400" w:lineRule="atLeast"/>
              <w:rPr>
                <w:rFonts w:hint="default" w:ascii="Times New Roman" w:hAnsi="Times New Roman" w:cs="Times New Roman"/>
                <w:color w:val="auto"/>
                <w:sz w:val="24"/>
                <w:highlight w:val="none"/>
              </w:rPr>
            </w:pPr>
          </w:p>
        </w:tc>
      </w:tr>
      <w:tr w14:paraId="522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4DF93B1">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6CFE3F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3C2606E6">
            <w:pPr>
              <w:pageBreakBefore w:val="0"/>
              <w:kinsoku/>
              <w:wordWrap w:val="0"/>
              <w:bidi w:val="0"/>
              <w:spacing w:line="400" w:lineRule="atLeast"/>
              <w:rPr>
                <w:rFonts w:hint="default" w:ascii="Times New Roman" w:hAnsi="Times New Roman" w:cs="Times New Roman"/>
                <w:color w:val="auto"/>
                <w:sz w:val="24"/>
                <w:highlight w:val="none"/>
              </w:rPr>
            </w:pPr>
          </w:p>
        </w:tc>
      </w:tr>
      <w:tr w14:paraId="75A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6BF237B">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53F408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DB74A6F">
            <w:pPr>
              <w:pageBreakBefore w:val="0"/>
              <w:kinsoku/>
              <w:wordWrap w:val="0"/>
              <w:bidi w:val="0"/>
              <w:spacing w:line="400" w:lineRule="atLeast"/>
              <w:rPr>
                <w:rFonts w:hint="default" w:ascii="Times New Roman" w:hAnsi="Times New Roman" w:cs="Times New Roman"/>
                <w:color w:val="auto"/>
                <w:sz w:val="24"/>
                <w:highlight w:val="none"/>
              </w:rPr>
            </w:pPr>
          </w:p>
        </w:tc>
      </w:tr>
      <w:tr w14:paraId="720C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D112895">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9B7C26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33770FD6">
            <w:pPr>
              <w:pageBreakBefore w:val="0"/>
              <w:kinsoku/>
              <w:wordWrap w:val="0"/>
              <w:bidi w:val="0"/>
              <w:spacing w:line="400" w:lineRule="atLeast"/>
              <w:rPr>
                <w:rFonts w:hint="default" w:ascii="Times New Roman" w:hAnsi="Times New Roman" w:cs="Times New Roman"/>
                <w:color w:val="auto"/>
                <w:sz w:val="24"/>
                <w:highlight w:val="none"/>
              </w:rPr>
            </w:pPr>
          </w:p>
        </w:tc>
      </w:tr>
      <w:tr w14:paraId="272C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503C3B2">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BDF40A5">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34034B57">
            <w:pPr>
              <w:pageBreakBefore w:val="0"/>
              <w:kinsoku/>
              <w:wordWrap w:val="0"/>
              <w:bidi w:val="0"/>
              <w:spacing w:line="400" w:lineRule="atLeast"/>
              <w:rPr>
                <w:rFonts w:hint="default" w:ascii="Times New Roman" w:hAnsi="Times New Roman" w:cs="Times New Roman"/>
                <w:color w:val="auto"/>
                <w:sz w:val="24"/>
                <w:highlight w:val="none"/>
              </w:rPr>
            </w:pPr>
          </w:p>
        </w:tc>
      </w:tr>
      <w:tr w14:paraId="469D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8B9DD23">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A3E938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4EDD1D00">
            <w:pPr>
              <w:pageBreakBefore w:val="0"/>
              <w:kinsoku/>
              <w:wordWrap w:val="0"/>
              <w:bidi w:val="0"/>
              <w:spacing w:line="400" w:lineRule="atLeast"/>
              <w:rPr>
                <w:rFonts w:hint="default" w:ascii="Times New Roman" w:hAnsi="Times New Roman" w:cs="Times New Roman"/>
                <w:color w:val="auto"/>
                <w:sz w:val="24"/>
                <w:highlight w:val="none"/>
              </w:rPr>
            </w:pPr>
          </w:p>
        </w:tc>
      </w:tr>
      <w:tr w14:paraId="3D78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CF012D0">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EE565A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484FC905">
            <w:pPr>
              <w:pageBreakBefore w:val="0"/>
              <w:kinsoku/>
              <w:wordWrap w:val="0"/>
              <w:bidi w:val="0"/>
              <w:spacing w:line="400" w:lineRule="atLeast"/>
              <w:rPr>
                <w:rFonts w:hint="default" w:ascii="Times New Roman" w:hAnsi="Times New Roman" w:cs="Times New Roman"/>
                <w:color w:val="auto"/>
                <w:sz w:val="24"/>
                <w:highlight w:val="none"/>
              </w:rPr>
            </w:pPr>
          </w:p>
        </w:tc>
      </w:tr>
      <w:tr w14:paraId="466D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BE28FB3">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826FB10">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97442F">
            <w:pPr>
              <w:pageBreakBefore w:val="0"/>
              <w:kinsoku/>
              <w:wordWrap w:val="0"/>
              <w:bidi w:val="0"/>
              <w:spacing w:line="400" w:lineRule="atLeast"/>
              <w:rPr>
                <w:rFonts w:hint="default" w:ascii="Times New Roman" w:hAnsi="Times New Roman" w:cs="Times New Roman"/>
                <w:color w:val="auto"/>
                <w:sz w:val="24"/>
                <w:highlight w:val="none"/>
              </w:rPr>
            </w:pPr>
          </w:p>
        </w:tc>
      </w:tr>
      <w:tr w14:paraId="0868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04554B9">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B1586F0">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1B7896B">
            <w:pPr>
              <w:pageBreakBefore w:val="0"/>
              <w:kinsoku/>
              <w:wordWrap w:val="0"/>
              <w:bidi w:val="0"/>
              <w:spacing w:line="400" w:lineRule="atLeast"/>
              <w:rPr>
                <w:rFonts w:hint="default" w:ascii="Times New Roman" w:hAnsi="Times New Roman" w:cs="Times New Roman"/>
                <w:color w:val="auto"/>
                <w:sz w:val="24"/>
                <w:highlight w:val="none"/>
              </w:rPr>
            </w:pPr>
          </w:p>
        </w:tc>
      </w:tr>
      <w:tr w14:paraId="0062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CD2B748">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ABDC22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487905E8">
            <w:pPr>
              <w:pageBreakBefore w:val="0"/>
              <w:kinsoku/>
              <w:wordWrap w:val="0"/>
              <w:bidi w:val="0"/>
              <w:spacing w:line="400" w:lineRule="atLeast"/>
              <w:rPr>
                <w:rFonts w:hint="default" w:ascii="Times New Roman" w:hAnsi="Times New Roman" w:cs="Times New Roman"/>
                <w:color w:val="auto"/>
                <w:sz w:val="24"/>
                <w:highlight w:val="none"/>
              </w:rPr>
            </w:pPr>
          </w:p>
        </w:tc>
      </w:tr>
      <w:tr w14:paraId="2666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jc w:val="center"/>
        </w:trPr>
        <w:tc>
          <w:tcPr>
            <w:tcW w:w="9004" w:type="dxa"/>
            <w:gridSpan w:val="3"/>
            <w:tcBorders>
              <w:top w:val="single" w:color="auto" w:sz="4" w:space="0"/>
              <w:left w:val="single" w:color="auto" w:sz="4" w:space="0"/>
              <w:bottom w:val="single" w:color="auto" w:sz="4" w:space="0"/>
              <w:right w:val="single" w:color="auto" w:sz="4" w:space="0"/>
            </w:tcBorders>
            <w:noWrap w:val="0"/>
            <w:vAlign w:val="top"/>
          </w:tcPr>
          <w:p w14:paraId="0C46FE9B">
            <w:pPr>
              <w:pageBreakBefore w:val="0"/>
              <w:kinsoku/>
              <w:wordWrap w:val="0"/>
              <w:bidi w:val="0"/>
              <w:spacing w:line="400" w:lineRule="atLeast"/>
              <w:rPr>
                <w:rFonts w:hint="eastAsia" w:cs="Times New Roman"/>
                <w:color w:val="auto"/>
                <w:sz w:val="24"/>
                <w:highlight w:val="none"/>
                <w:lang w:val="en-US" w:eastAsia="zh-CN"/>
              </w:rPr>
            </w:pPr>
            <w:r>
              <w:rPr>
                <w:rFonts w:hint="eastAsia" w:cs="Times New Roman"/>
                <w:color w:val="auto"/>
                <w:sz w:val="24"/>
                <w:highlight w:val="none"/>
                <w:lang w:val="en-US" w:eastAsia="zh-CN"/>
              </w:rPr>
              <w:t>注：</w:t>
            </w:r>
          </w:p>
          <w:p w14:paraId="025E93C9">
            <w:pPr>
              <w:pageBreakBefore w:val="0"/>
              <w:kinsoku/>
              <w:wordWrap w:val="0"/>
              <w:bidi w:val="0"/>
              <w:spacing w:line="400" w:lineRule="atLeast"/>
              <w:rPr>
                <w:rFonts w:hint="eastAsia" w:cs="Times New Roman"/>
                <w:color w:val="auto"/>
                <w:sz w:val="24"/>
                <w:highlight w:val="none"/>
                <w:lang w:val="en-US" w:eastAsia="zh-CN"/>
              </w:rPr>
            </w:pPr>
          </w:p>
        </w:tc>
      </w:tr>
    </w:tbl>
    <w:p w14:paraId="59784BBB">
      <w:pPr>
        <w:pageBreakBefore w:val="0"/>
        <w:kinsoku/>
        <w:wordWrap w:val="0"/>
        <w:bidi w:val="0"/>
        <w:adjustRightInd w:val="0"/>
        <w:snapToGrid w:val="0"/>
        <w:spacing w:line="400" w:lineRule="atLeast"/>
        <w:jc w:val="center"/>
        <w:rPr>
          <w:rFonts w:hint="default" w:ascii="Times New Roman" w:hAnsi="Times New Roman" w:eastAsia="黑体" w:cs="Times New Roman"/>
          <w:color w:val="auto"/>
          <w:sz w:val="24"/>
          <w:highlight w:val="none"/>
        </w:rPr>
      </w:pPr>
    </w:p>
    <w:p w14:paraId="010F9F97">
      <w:pPr>
        <w:pStyle w:val="5"/>
        <w:pageBreakBefore w:val="0"/>
        <w:kinsoku/>
        <w:wordWrap w:val="0"/>
        <w:bidi w:val="0"/>
        <w:spacing w:before="240" w:after="240" w:line="240" w:lineRule="atLeast"/>
        <w:jc w:val="center"/>
        <w:outlineLvl w:val="2"/>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4"/>
          <w:highlight w:val="none"/>
        </w:rPr>
        <w:br w:type="page"/>
      </w:r>
      <w:bookmarkStart w:id="110" w:name="_Toc234832869"/>
      <w:bookmarkStart w:id="111" w:name="_Toc11147"/>
      <w:bookmarkStart w:id="112" w:name="_Toc1224"/>
      <w:bookmarkStart w:id="113" w:name="_Toc29351"/>
      <w:bookmarkStart w:id="114" w:name="_Toc18471"/>
      <w:r>
        <w:rPr>
          <w:rFonts w:hint="default" w:ascii="Times New Roman" w:hAnsi="Times New Roman" w:eastAsia="黑体" w:cs="Times New Roman"/>
          <w:b w:val="0"/>
          <w:bCs/>
          <w:i w:val="0"/>
          <w:iCs w:val="0"/>
          <w:color w:val="auto"/>
          <w:sz w:val="28"/>
          <w:szCs w:val="28"/>
          <w:highlight w:val="none"/>
        </w:rPr>
        <w:t>附录7资格审查条件（主要机械设备和试验检测设备最低要求）</w:t>
      </w:r>
      <w:r>
        <w:rPr>
          <w:rFonts w:hint="default" w:ascii="Times New Roman" w:hAnsi="Times New Roman" w:eastAsia="黑体" w:cs="Times New Roman"/>
          <w:b w:val="0"/>
          <w:bCs/>
          <w:i w:val="0"/>
          <w:iCs w:val="0"/>
          <w:color w:val="auto"/>
          <w:sz w:val="28"/>
          <w:szCs w:val="28"/>
          <w:highlight w:val="none"/>
          <w:vertAlign w:val="superscript"/>
        </w:rPr>
        <w:footnoteReference w:id="19"/>
      </w:r>
      <w:bookmarkEnd w:id="110"/>
      <w:bookmarkEnd w:id="111"/>
      <w:bookmarkEnd w:id="112"/>
      <w:bookmarkEnd w:id="113"/>
      <w:bookmarkEnd w:id="11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0181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658C5B9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设备名称</w:t>
            </w:r>
          </w:p>
        </w:tc>
        <w:tc>
          <w:tcPr>
            <w:tcW w:w="3224" w:type="dxa"/>
            <w:noWrap w:val="0"/>
            <w:vAlign w:val="center"/>
          </w:tcPr>
          <w:p w14:paraId="384F64F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规格、功率及容量</w:t>
            </w:r>
          </w:p>
        </w:tc>
        <w:tc>
          <w:tcPr>
            <w:tcW w:w="1197" w:type="dxa"/>
            <w:noWrap w:val="0"/>
            <w:vAlign w:val="center"/>
          </w:tcPr>
          <w:p w14:paraId="29C05A7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w:t>
            </w:r>
          </w:p>
        </w:tc>
        <w:tc>
          <w:tcPr>
            <w:tcW w:w="2371" w:type="dxa"/>
            <w:noWrap w:val="0"/>
            <w:vAlign w:val="center"/>
          </w:tcPr>
          <w:p w14:paraId="1FA86F2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最低数量要求</w:t>
            </w:r>
          </w:p>
        </w:tc>
      </w:tr>
      <w:tr w14:paraId="04CB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315677C">
            <w:pPr>
              <w:pageBreakBefore w:val="0"/>
              <w:kinsoku/>
              <w:wordWrap w:val="0"/>
              <w:bidi w:val="0"/>
              <w:adjustRightInd w:val="0"/>
              <w:snapToGrid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3224" w:type="dxa"/>
            <w:noWrap w:val="0"/>
            <w:vAlign w:val="center"/>
          </w:tcPr>
          <w:p w14:paraId="7EB777B1">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1197" w:type="dxa"/>
            <w:noWrap w:val="0"/>
            <w:vAlign w:val="center"/>
          </w:tcPr>
          <w:p w14:paraId="22069BE7">
            <w:pPr>
              <w:pageBreakBefore w:val="0"/>
              <w:kinsoku/>
              <w:wordWrap w:val="0"/>
              <w:bidi w:val="0"/>
              <w:adjustRightInd w:val="0"/>
              <w:snapToGrid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2371" w:type="dxa"/>
            <w:noWrap w:val="0"/>
            <w:vAlign w:val="center"/>
          </w:tcPr>
          <w:p w14:paraId="5FEE6FD6">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r>
      <w:tr w14:paraId="5405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7B027D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2BF6172F">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02D81D1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3FA7F101">
            <w:pPr>
              <w:pageBreakBefore w:val="0"/>
              <w:kinsoku/>
              <w:wordWrap w:val="0"/>
              <w:bidi w:val="0"/>
              <w:spacing w:line="400" w:lineRule="atLeast"/>
              <w:rPr>
                <w:rFonts w:hint="default" w:ascii="Times New Roman" w:hAnsi="Times New Roman" w:cs="Times New Roman"/>
                <w:color w:val="auto"/>
                <w:sz w:val="24"/>
                <w:highlight w:val="none"/>
              </w:rPr>
            </w:pPr>
          </w:p>
        </w:tc>
      </w:tr>
      <w:tr w14:paraId="4D45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2DD239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4AC76D62">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1B3D9D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4579AF50">
            <w:pPr>
              <w:pageBreakBefore w:val="0"/>
              <w:kinsoku/>
              <w:wordWrap w:val="0"/>
              <w:bidi w:val="0"/>
              <w:spacing w:line="400" w:lineRule="atLeast"/>
              <w:rPr>
                <w:rFonts w:hint="default" w:ascii="Times New Roman" w:hAnsi="Times New Roman" w:cs="Times New Roman"/>
                <w:color w:val="auto"/>
                <w:sz w:val="24"/>
                <w:highlight w:val="none"/>
              </w:rPr>
            </w:pPr>
          </w:p>
        </w:tc>
      </w:tr>
      <w:tr w14:paraId="0A1D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73AC1F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0773061B">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51E36C0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656B6F6B">
            <w:pPr>
              <w:pageBreakBefore w:val="0"/>
              <w:kinsoku/>
              <w:wordWrap w:val="0"/>
              <w:bidi w:val="0"/>
              <w:spacing w:line="400" w:lineRule="atLeast"/>
              <w:rPr>
                <w:rFonts w:hint="default" w:ascii="Times New Roman" w:hAnsi="Times New Roman" w:cs="Times New Roman"/>
                <w:color w:val="auto"/>
                <w:sz w:val="24"/>
                <w:highlight w:val="none"/>
              </w:rPr>
            </w:pPr>
          </w:p>
        </w:tc>
      </w:tr>
      <w:tr w14:paraId="2D33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55DDDD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06DACE0F">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27C279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741BC422">
            <w:pPr>
              <w:pageBreakBefore w:val="0"/>
              <w:kinsoku/>
              <w:wordWrap w:val="0"/>
              <w:bidi w:val="0"/>
              <w:spacing w:line="400" w:lineRule="atLeast"/>
              <w:rPr>
                <w:rFonts w:hint="default" w:ascii="Times New Roman" w:hAnsi="Times New Roman" w:cs="Times New Roman"/>
                <w:color w:val="auto"/>
                <w:sz w:val="24"/>
                <w:highlight w:val="none"/>
              </w:rPr>
            </w:pPr>
          </w:p>
        </w:tc>
      </w:tr>
      <w:tr w14:paraId="0566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41A1C9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16F1F90C">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2E3D930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711D5BCE">
            <w:pPr>
              <w:pageBreakBefore w:val="0"/>
              <w:kinsoku/>
              <w:wordWrap w:val="0"/>
              <w:bidi w:val="0"/>
              <w:spacing w:line="400" w:lineRule="atLeast"/>
              <w:rPr>
                <w:rFonts w:hint="default" w:ascii="Times New Roman" w:hAnsi="Times New Roman" w:cs="Times New Roman"/>
                <w:color w:val="auto"/>
                <w:sz w:val="24"/>
                <w:highlight w:val="none"/>
              </w:rPr>
            </w:pPr>
          </w:p>
        </w:tc>
      </w:tr>
      <w:tr w14:paraId="5B3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A99C27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49B7802D">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F68869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1258E95D">
            <w:pPr>
              <w:pageBreakBefore w:val="0"/>
              <w:kinsoku/>
              <w:wordWrap w:val="0"/>
              <w:bidi w:val="0"/>
              <w:spacing w:line="400" w:lineRule="atLeast"/>
              <w:rPr>
                <w:rFonts w:hint="default" w:ascii="Times New Roman" w:hAnsi="Times New Roman" w:cs="Times New Roman"/>
                <w:color w:val="auto"/>
                <w:sz w:val="24"/>
                <w:highlight w:val="none"/>
              </w:rPr>
            </w:pPr>
          </w:p>
        </w:tc>
      </w:tr>
      <w:tr w14:paraId="61D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42B866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3E638CBF">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70A25255">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4100B1EC">
            <w:pPr>
              <w:pageBreakBefore w:val="0"/>
              <w:kinsoku/>
              <w:wordWrap w:val="0"/>
              <w:bidi w:val="0"/>
              <w:spacing w:line="400" w:lineRule="atLeast"/>
              <w:rPr>
                <w:rFonts w:hint="default" w:ascii="Times New Roman" w:hAnsi="Times New Roman" w:cs="Times New Roman"/>
                <w:color w:val="auto"/>
                <w:sz w:val="24"/>
                <w:highlight w:val="none"/>
              </w:rPr>
            </w:pPr>
          </w:p>
        </w:tc>
      </w:tr>
      <w:tr w14:paraId="3D3C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FC2BDD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0E4F56D5">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F8F982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0EDB5244">
            <w:pPr>
              <w:pageBreakBefore w:val="0"/>
              <w:kinsoku/>
              <w:wordWrap w:val="0"/>
              <w:bidi w:val="0"/>
              <w:spacing w:line="400" w:lineRule="atLeast"/>
              <w:rPr>
                <w:rFonts w:hint="default" w:ascii="Times New Roman" w:hAnsi="Times New Roman" w:cs="Times New Roman"/>
                <w:color w:val="auto"/>
                <w:sz w:val="24"/>
                <w:highlight w:val="none"/>
              </w:rPr>
            </w:pPr>
          </w:p>
        </w:tc>
      </w:tr>
      <w:tr w14:paraId="5F25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6814F5B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798ADC4A">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0938722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53E6534B">
            <w:pPr>
              <w:pageBreakBefore w:val="0"/>
              <w:kinsoku/>
              <w:wordWrap w:val="0"/>
              <w:bidi w:val="0"/>
              <w:spacing w:line="400" w:lineRule="atLeast"/>
              <w:rPr>
                <w:rFonts w:hint="default" w:ascii="Times New Roman" w:hAnsi="Times New Roman" w:cs="Times New Roman"/>
                <w:color w:val="auto"/>
                <w:sz w:val="24"/>
                <w:highlight w:val="none"/>
              </w:rPr>
            </w:pPr>
          </w:p>
        </w:tc>
      </w:tr>
      <w:tr w14:paraId="5E86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D76926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55395D69">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B3CE60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BE2A236">
            <w:pPr>
              <w:pageBreakBefore w:val="0"/>
              <w:kinsoku/>
              <w:wordWrap w:val="0"/>
              <w:bidi w:val="0"/>
              <w:spacing w:line="400" w:lineRule="atLeast"/>
              <w:rPr>
                <w:rFonts w:hint="default" w:ascii="Times New Roman" w:hAnsi="Times New Roman" w:cs="Times New Roman"/>
                <w:color w:val="auto"/>
                <w:sz w:val="24"/>
                <w:highlight w:val="none"/>
              </w:rPr>
            </w:pPr>
          </w:p>
        </w:tc>
      </w:tr>
      <w:tr w14:paraId="4044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7F4E7D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E512752">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4A81F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112AA1B">
            <w:pPr>
              <w:pageBreakBefore w:val="0"/>
              <w:kinsoku/>
              <w:wordWrap w:val="0"/>
              <w:bidi w:val="0"/>
              <w:spacing w:line="400" w:lineRule="atLeast"/>
              <w:rPr>
                <w:rFonts w:hint="default" w:ascii="Times New Roman" w:hAnsi="Times New Roman" w:cs="Times New Roman"/>
                <w:color w:val="auto"/>
                <w:sz w:val="24"/>
                <w:highlight w:val="none"/>
              </w:rPr>
            </w:pPr>
          </w:p>
        </w:tc>
      </w:tr>
      <w:tr w14:paraId="1054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45BAD8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219984B">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0B66A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555E9A3">
            <w:pPr>
              <w:pageBreakBefore w:val="0"/>
              <w:kinsoku/>
              <w:wordWrap w:val="0"/>
              <w:bidi w:val="0"/>
              <w:spacing w:line="400" w:lineRule="atLeast"/>
              <w:rPr>
                <w:rFonts w:hint="default" w:ascii="Times New Roman" w:hAnsi="Times New Roman" w:cs="Times New Roman"/>
                <w:color w:val="auto"/>
                <w:sz w:val="24"/>
                <w:highlight w:val="none"/>
              </w:rPr>
            </w:pPr>
          </w:p>
        </w:tc>
      </w:tr>
      <w:tr w14:paraId="2B16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8696" w:type="dxa"/>
            <w:gridSpan w:val="4"/>
            <w:tcBorders>
              <w:top w:val="single" w:color="auto" w:sz="4" w:space="0"/>
              <w:left w:val="single" w:color="auto" w:sz="4" w:space="0"/>
              <w:bottom w:val="single" w:color="auto" w:sz="4" w:space="0"/>
              <w:right w:val="single" w:color="auto" w:sz="4" w:space="0"/>
            </w:tcBorders>
            <w:noWrap w:val="0"/>
            <w:vAlign w:val="top"/>
          </w:tcPr>
          <w:p w14:paraId="42A7BC4A">
            <w:pPr>
              <w:pageBreakBefore w:val="0"/>
              <w:kinsoku/>
              <w:wordWrap w:val="0"/>
              <w:bidi w:val="0"/>
              <w:spacing w:line="400" w:lineRule="atLeas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注：</w:t>
            </w:r>
          </w:p>
        </w:tc>
      </w:tr>
    </w:tbl>
    <w:p w14:paraId="720C995C">
      <w:pPr>
        <w:pageBreakBefore w:val="0"/>
        <w:kinsoku/>
        <w:wordWrap w:val="0"/>
        <w:bidi w:val="0"/>
        <w:adjustRightInd w:val="0"/>
        <w:snapToGrid w:val="0"/>
        <w:spacing w:line="400" w:lineRule="atLeast"/>
        <w:rPr>
          <w:rFonts w:hint="default" w:ascii="Times New Roman" w:hAnsi="Times New Roman" w:cs="Times New Roman"/>
          <w:bCs/>
          <w:color w:val="auto"/>
          <w:highlight w:val="none"/>
        </w:rPr>
      </w:pPr>
    </w:p>
    <w:p w14:paraId="21478BE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color w:val="auto"/>
          <w:sz w:val="28"/>
          <w:szCs w:val="28"/>
          <w:highlight w:val="none"/>
        </w:rPr>
      </w:pPr>
      <w:r>
        <w:rPr>
          <w:rFonts w:hint="default" w:ascii="Times New Roman" w:hAnsi="Times New Roman" w:cs="Times New Roman"/>
          <w:color w:val="auto"/>
          <w:sz w:val="24"/>
          <w:highlight w:val="none"/>
        </w:rPr>
        <w:br w:type="page"/>
      </w:r>
      <w:bookmarkStart w:id="115" w:name="_Toc234832870"/>
      <w:bookmarkStart w:id="116" w:name="_Toc19462"/>
      <w:bookmarkStart w:id="117" w:name="_Toc32159"/>
      <w:bookmarkStart w:id="118" w:name="_Toc5465"/>
      <w:bookmarkStart w:id="119" w:name="_Toc650"/>
      <w:r>
        <w:rPr>
          <w:rFonts w:hint="default" w:ascii="黑体" w:hAnsi="黑体" w:eastAsia="黑体" w:cs="黑体"/>
          <w:b w:val="0"/>
          <w:bCs/>
          <w:i w:val="0"/>
          <w:iCs w:val="0"/>
          <w:color w:val="auto"/>
          <w:sz w:val="28"/>
          <w:szCs w:val="28"/>
          <w:highlight w:val="none"/>
          <w:lang w:val="en-US" w:eastAsia="zh-CN"/>
        </w:rPr>
        <w:t>1.总则</w:t>
      </w:r>
      <w:bookmarkEnd w:id="115"/>
      <w:bookmarkEnd w:id="116"/>
      <w:bookmarkEnd w:id="117"/>
      <w:bookmarkEnd w:id="118"/>
      <w:bookmarkEnd w:id="119"/>
    </w:p>
    <w:p w14:paraId="3664509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宋体" w:cs="Times New Roman"/>
          <w:b w:val="0"/>
          <w:color w:val="auto"/>
          <w:sz w:val="24"/>
          <w:szCs w:val="24"/>
          <w:highlight w:val="none"/>
        </w:rPr>
      </w:pPr>
      <w:bookmarkStart w:id="120" w:name="_Toc17948"/>
      <w:bookmarkStart w:id="121" w:name="_Toc234832871"/>
      <w:bookmarkStart w:id="122" w:name="_Toc13586"/>
      <w:r>
        <w:rPr>
          <w:rFonts w:hint="default" w:ascii="Times New Roman" w:hAnsi="Times New Roman" w:eastAsia="黑体" w:cs="Times New Roman"/>
          <w:b w:val="0"/>
          <w:color w:val="auto"/>
          <w:sz w:val="24"/>
          <w:szCs w:val="24"/>
          <w:highlight w:val="none"/>
        </w:rPr>
        <w:t>1.1项目概况</w:t>
      </w:r>
      <w:bookmarkEnd w:id="120"/>
      <w:bookmarkEnd w:id="121"/>
      <w:bookmarkEnd w:id="122"/>
    </w:p>
    <w:p w14:paraId="2E59AF4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1.1.1根据《中华人民共和国招标投标法》《中华人民共和国招标投标法实施条例》《公路工程建设项目招标投标管理办法》等有关法律、法规和规章的规定，本招标项目已具备招标条件，现对本标段施工进行招标。</w:t>
      </w:r>
    </w:p>
    <w:p w14:paraId="71297F2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1.1.2本招标项目招标人：见投标人须知前附表。</w:t>
      </w:r>
    </w:p>
    <w:p w14:paraId="1BA9A3C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1.1.3本标段招标代理机构：见投标人须知前附表。</w:t>
      </w:r>
    </w:p>
    <w:p w14:paraId="316F181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1.1.4本招标项目名称：见投标人须知前附表。</w:t>
      </w:r>
    </w:p>
    <w:p w14:paraId="4D326B6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1.1.5本标段建设地点：见投标人须知前附表。</w:t>
      </w:r>
    </w:p>
    <w:p w14:paraId="58C43E3A">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eastAsia" w:ascii="Times New Roman" w:hAnsi="Times New Roman" w:eastAsia="黑体" w:cs="Times New Roman"/>
          <w:b w:val="0"/>
          <w:color w:val="auto"/>
          <w:sz w:val="24"/>
          <w:szCs w:val="24"/>
          <w:highlight w:val="none"/>
          <w:lang w:eastAsia="zh-CN"/>
        </w:rPr>
      </w:pPr>
      <w:bookmarkStart w:id="123" w:name="_Toc11370"/>
      <w:bookmarkStart w:id="124" w:name="_Toc22508"/>
      <w:bookmarkStart w:id="125" w:name="_Toc234832872"/>
      <w:r>
        <w:rPr>
          <w:rFonts w:hint="default" w:ascii="Times New Roman" w:hAnsi="Times New Roman" w:eastAsia="黑体" w:cs="Times New Roman"/>
          <w:b w:val="0"/>
          <w:color w:val="auto"/>
          <w:sz w:val="24"/>
          <w:szCs w:val="24"/>
          <w:highlight w:val="none"/>
        </w:rPr>
        <w:t>1.2招标项目的资金来源和落实情况</w:t>
      </w:r>
      <w:bookmarkEnd w:id="123"/>
      <w:bookmarkEnd w:id="124"/>
      <w:bookmarkEnd w:id="125"/>
    </w:p>
    <w:p w14:paraId="49057A7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1.2.1资金来源及比例：见投标人须知前附表。</w:t>
      </w:r>
    </w:p>
    <w:p w14:paraId="0EFA0B0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1.2.2资金落实情况：见投标人须知前附表。</w:t>
      </w:r>
    </w:p>
    <w:p w14:paraId="59A81BF4">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26" w:name="_Toc234832873"/>
      <w:bookmarkStart w:id="127" w:name="_Toc10840"/>
      <w:bookmarkStart w:id="128" w:name="_Toc14618"/>
      <w:r>
        <w:rPr>
          <w:rFonts w:hint="default" w:ascii="Times New Roman" w:hAnsi="Times New Roman" w:eastAsia="黑体" w:cs="Times New Roman"/>
          <w:b w:val="0"/>
          <w:color w:val="auto"/>
          <w:sz w:val="24"/>
          <w:szCs w:val="24"/>
          <w:highlight w:val="none"/>
        </w:rPr>
        <w:t>1.3招标范围、计划工期、质量要求</w:t>
      </w:r>
      <w:bookmarkEnd w:id="126"/>
      <w:r>
        <w:rPr>
          <w:rFonts w:hint="default" w:ascii="Times New Roman" w:hAnsi="Times New Roman" w:eastAsia="黑体" w:cs="Times New Roman"/>
          <w:b w:val="0"/>
          <w:color w:val="auto"/>
          <w:sz w:val="24"/>
          <w:szCs w:val="24"/>
          <w:highlight w:val="none"/>
        </w:rPr>
        <w:t>和安全目标</w:t>
      </w:r>
      <w:bookmarkEnd w:id="127"/>
      <w:bookmarkEnd w:id="128"/>
    </w:p>
    <w:p w14:paraId="15732ED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1.3.1招标范围：见投标人须知前附表。</w:t>
      </w:r>
    </w:p>
    <w:p w14:paraId="18B8656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1.3.2本标段的计划工期：见投标人须知前附表。</w:t>
      </w:r>
    </w:p>
    <w:p w14:paraId="015A706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1.3.3本标段的质量要求：见投标人须知前附表。</w:t>
      </w:r>
    </w:p>
    <w:p w14:paraId="72CE5CD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1.3.4本标段的安全目标：见投标人须知前附表。</w:t>
      </w:r>
    </w:p>
    <w:p w14:paraId="27E60B2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29" w:name="_Toc32367"/>
      <w:bookmarkStart w:id="130" w:name="_Toc234832875"/>
      <w:bookmarkStart w:id="131" w:name="_Toc23631"/>
      <w:r>
        <w:rPr>
          <w:rFonts w:hint="default" w:ascii="Times New Roman" w:hAnsi="Times New Roman" w:eastAsia="黑体" w:cs="Times New Roman"/>
          <w:b w:val="0"/>
          <w:color w:val="auto"/>
          <w:sz w:val="24"/>
          <w:szCs w:val="24"/>
          <w:highlight w:val="none"/>
        </w:rPr>
        <w:t>1.4投标人资格要求</w:t>
      </w:r>
      <w:bookmarkEnd w:id="129"/>
      <w:bookmarkEnd w:id="130"/>
      <w:bookmarkEnd w:id="131"/>
    </w:p>
    <w:p w14:paraId="3C5049D3">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1.4.1投标人应具备承担本标段施工的资质条件、能力和信誉。</w:t>
      </w:r>
    </w:p>
    <w:p w14:paraId="3415E3CC">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（1）资质要求：见投标人须知前附表；</w:t>
      </w:r>
    </w:p>
    <w:p w14:paraId="2600F976">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（2）财务要求：见投标人须知前附表；</w:t>
      </w:r>
    </w:p>
    <w:p w14:paraId="35238DCA">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（3）业绩要求：见投标人须知前附表；</w:t>
      </w:r>
    </w:p>
    <w:p w14:paraId="25462144">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（4）信誉要求：见投标人须知前附表；</w:t>
      </w:r>
    </w:p>
    <w:p w14:paraId="5D4193FF">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（5）项目经理和项目总工资格：见投标人须知前附表；</w:t>
      </w:r>
    </w:p>
    <w:p w14:paraId="30CEBD57">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（6）其他要求：见投标人须知前附表。</w:t>
      </w:r>
    </w:p>
    <w:p w14:paraId="19B5661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需要提交的相关证明材料见本章第3.5款的规定。</w:t>
      </w:r>
    </w:p>
    <w:p w14:paraId="2B802F7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1.4.2投标人须知前附表规定接受联合体投标的，联合体除应符合本章第1.4.1项和投标人须知前附表的要求外，还应遵守以下规定：</w:t>
      </w:r>
    </w:p>
    <w:p w14:paraId="2E5296D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（1）联合体各方应按招标文件提供的格式签订联合体协议书，明确联合体牵头人和各方权利义务，并承诺就中标项目向招标人承担连带责任；</w:t>
      </w:r>
    </w:p>
    <w:p w14:paraId="29C5007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（2）由同一专业的单位组成的联合体，按照资质等级较低的单位确定资质等级；</w:t>
      </w:r>
    </w:p>
    <w:p w14:paraId="5DE4A87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（3）联合体各方不得再以自己名义单独或参加其他联合体在同</w:t>
      </w:r>
      <w:r>
        <w:rPr>
          <w:rFonts w:hint="eastAsia" w:cs="Times New Roman"/>
          <w:color w:val="auto"/>
          <w:sz w:val="24"/>
          <w:highlight w:val="none"/>
          <w:lang w:val="en-US" w:eastAsia="zh-CN"/>
        </w:rPr>
        <w:t>一</w:t>
      </w:r>
      <w:r>
        <w:rPr>
          <w:rFonts w:hint="eastAsia" w:cs="Times New Roman"/>
          <w:color w:val="auto"/>
          <w:sz w:val="24"/>
          <w:highlight w:val="none"/>
          <w:lang w:eastAsia="zh-CN"/>
        </w:rPr>
        <w:t>标段</w:t>
      </w:r>
      <w:r>
        <w:rPr>
          <w:rFonts w:hint="default" w:ascii="Times New Roman" w:hAnsi="Times New Roman" w:eastAsia="宋体" w:cs="Times New Roman"/>
          <w:color w:val="auto"/>
          <w:sz w:val="24"/>
          <w:highlight w:val="none"/>
        </w:rPr>
        <w:t>中投标；</w:t>
      </w:r>
    </w:p>
    <w:p w14:paraId="6079BC0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2F731E39">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4"/>
          <w:highlight w:val="none"/>
        </w:rPr>
        <w:t>5）尽管委任了联合体牵头人，但联合体各成员在投标、签订合同与履行合同过程中，仍负有连带的和各自的法律责任。</w:t>
      </w:r>
    </w:p>
    <w:p w14:paraId="127A20DD">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1.4.3投标人（包括联合体各成员）不得与本标段相关单位存在下列关联关系：</w:t>
      </w:r>
    </w:p>
    <w:p w14:paraId="3DEBF860">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（1）为招标人不具有独立法人资格的附属机构（单位）；</w:t>
      </w:r>
    </w:p>
    <w:p w14:paraId="12C35752">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（2）与招标人存在利害关系且可能影响招标公正性；</w:t>
      </w:r>
    </w:p>
    <w:p w14:paraId="0808A76D">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（3）与本标段的其他投标人同为一个单位负责人；</w:t>
      </w:r>
    </w:p>
    <w:p w14:paraId="0F274C0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（4）与本标段的其他投标人存在控股、管理关系；</w:t>
      </w:r>
    </w:p>
    <w:p w14:paraId="7DB43CB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（5）为本标段前期准备提供设计或咨询服务的法人或其任何附属机构（单位）；</w:t>
      </w:r>
    </w:p>
    <w:p w14:paraId="06CD221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（6）为本标段的监理人；</w:t>
      </w:r>
    </w:p>
    <w:p w14:paraId="0ED1FFF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（7）为本标段的代建人；</w:t>
      </w:r>
    </w:p>
    <w:p w14:paraId="00FFE49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（8）为本标段的招标代理机构；</w:t>
      </w:r>
    </w:p>
    <w:p w14:paraId="7E8D43DB">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（9）与本标段的监理人或代建人或招标代理机构同为一个法定代表人；</w:t>
      </w:r>
    </w:p>
    <w:p w14:paraId="2578711B">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（10）与本标段的监理人或代建人或招标代理机构存在控股或参股关系；</w:t>
      </w:r>
    </w:p>
    <w:p w14:paraId="4D9A891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（11）法律法规或投标人须知前附表规定的其他情形。</w:t>
      </w:r>
    </w:p>
    <w:p w14:paraId="3C37ED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1.4.4投标人（包括联合体各成员）不得存在下列不良状况或不良信用记录：</w:t>
      </w:r>
    </w:p>
    <w:p w14:paraId="25050FE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（1）被省级及以上交通运输主管部门取消招标项目所在地的投标资格且处于有效期内；</w:t>
      </w:r>
    </w:p>
    <w:p w14:paraId="2F093C94">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（2）被责令停业，暂扣或吊销执照，或吊销资质证书；</w:t>
      </w:r>
    </w:p>
    <w:p w14:paraId="1AE6F5B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（3）进入清算程序，或被宣告破产，或其他丧失履约能力的情形；</w:t>
      </w:r>
    </w:p>
    <w:p w14:paraId="01EA104D">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（4）在国家企业信用信息公示系统（http://www.gsxt.gov.cn/）中被列入严重违法失信企业名单；</w:t>
      </w:r>
    </w:p>
    <w:p w14:paraId="1F45795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（5）在</w:t>
      </w:r>
      <w:r>
        <w:rPr>
          <w:rFonts w:hint="eastAsia" w:ascii="宋体" w:hAnsi="宋体" w:eastAsia="宋体" w:cs="宋体"/>
          <w:color w:val="auto"/>
          <w:highlight w:val="none"/>
        </w:rPr>
        <w:t>“</w:t>
      </w:r>
      <w:r>
        <w:rPr>
          <w:rFonts w:hint="default" w:ascii="Times New Roman" w:hAnsi="Times New Roman" w:eastAsia="宋体" w:cs="Times New Roman"/>
          <w:color w:val="auto"/>
          <w:highlight w:val="none"/>
        </w:rPr>
        <w:t>信用中国</w:t>
      </w:r>
      <w:r>
        <w:rPr>
          <w:rFonts w:hint="eastAsia" w:ascii="宋体" w:hAnsi="宋体" w:eastAsia="宋体" w:cs="宋体"/>
          <w:color w:val="auto"/>
          <w:highlight w:val="none"/>
        </w:rPr>
        <w:t>”</w:t>
      </w:r>
      <w:r>
        <w:rPr>
          <w:rFonts w:hint="default" w:ascii="Times New Roman" w:hAnsi="Times New Roman" w:eastAsia="宋体" w:cs="Times New Roman"/>
          <w:color w:val="auto"/>
          <w:highlight w:val="none"/>
        </w:rPr>
        <w:t>网站（http://www.creditchina.gov.cn/）（或中国执行信息公开网http://zxgk.court.gov.cn/shixin/）中被列入失信被执行人名单；</w:t>
      </w:r>
    </w:p>
    <w:p w14:paraId="2EE9527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（6）投标人或其法定代表人、拟委任的项目经理在近三年内有行贿犯罪行为的；</w:t>
      </w:r>
    </w:p>
    <w:p w14:paraId="31B890BF">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（7）法律法规或投标人须知前附表规定的其他情形。</w:t>
      </w:r>
    </w:p>
    <w:p w14:paraId="539D07B5">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1.4.5根据《关于发布公路工程从业企业资质名录的通知》（厅公路字〔2011〕114号）要求，投标人如为名录范围的施工企业，则应进入交通运输部</w:t>
      </w:r>
      <w:r>
        <w:rPr>
          <w:rFonts w:hint="eastAsia" w:ascii="宋体" w:hAnsi="宋体" w:eastAsia="宋体" w:cs="宋体"/>
          <w:color w:val="auto"/>
          <w:kern w:val="0"/>
          <w:highlight w:val="none"/>
        </w:rPr>
        <w:t>“</w:t>
      </w:r>
      <w:r>
        <w:rPr>
          <w:rFonts w:hint="default" w:ascii="Times New Roman" w:hAnsi="Times New Roman" w:eastAsia="宋体" w:cs="Times New Roman"/>
          <w:color w:val="auto"/>
          <w:kern w:val="0"/>
          <w:highlight w:val="none"/>
        </w:rPr>
        <w:t>全国公路建设市场监督管理系统（https://hwdms.mot.gov.cn/BMWebSite/）</w:t>
      </w:r>
      <w:r>
        <w:rPr>
          <w:rFonts w:hint="eastAsia" w:ascii="宋体" w:hAnsi="宋体" w:eastAsia="宋体" w:cs="宋体"/>
          <w:color w:val="auto"/>
          <w:kern w:val="0"/>
          <w:highlight w:val="none"/>
        </w:rPr>
        <w:t>”</w:t>
      </w:r>
      <w:r>
        <w:rPr>
          <w:rFonts w:hint="default" w:ascii="Times New Roman" w:hAnsi="Times New Roman" w:eastAsia="宋体" w:cs="Times New Roman"/>
          <w:color w:val="auto"/>
          <w:kern w:val="0"/>
          <w:highlight w:val="none"/>
        </w:rPr>
        <w:t>中的公路工程施工资质企业名录，且投标人名称和资质与该名录中的相应企业名称和资质完全一致。</w:t>
      </w:r>
      <w:r>
        <w:rPr>
          <w:rStyle w:val="48"/>
          <w:rFonts w:ascii="Times New Roman" w:hAnsi="Times New Roman" w:eastAsia="宋体" w:cs="Times New Roman"/>
          <w:color w:val="auto"/>
          <w:highlight w:val="none"/>
        </w:rPr>
        <w:footnoteReference w:id="20"/>
      </w:r>
    </w:p>
    <w:p w14:paraId="7032F2E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32" w:name="_Toc14149"/>
      <w:bookmarkStart w:id="133" w:name="_Toc29333"/>
      <w:bookmarkStart w:id="134" w:name="_Toc234832876"/>
      <w:r>
        <w:rPr>
          <w:rFonts w:hint="default" w:ascii="Times New Roman" w:hAnsi="Times New Roman" w:eastAsia="黑体" w:cs="Times New Roman"/>
          <w:b w:val="0"/>
          <w:color w:val="auto"/>
          <w:sz w:val="24"/>
          <w:szCs w:val="24"/>
          <w:highlight w:val="none"/>
        </w:rPr>
        <w:t>1.5费用承担</w:t>
      </w:r>
      <w:bookmarkEnd w:id="132"/>
      <w:bookmarkEnd w:id="133"/>
      <w:bookmarkEnd w:id="134"/>
    </w:p>
    <w:p w14:paraId="2E2DEA9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投标人准备和参加投标活动发生的费用自理。</w:t>
      </w:r>
    </w:p>
    <w:p w14:paraId="6ECFA61A">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35" w:name="_Toc23807"/>
      <w:bookmarkStart w:id="136" w:name="_Toc234832877"/>
      <w:bookmarkStart w:id="137" w:name="_Toc26593"/>
      <w:r>
        <w:rPr>
          <w:rFonts w:hint="default" w:ascii="Times New Roman" w:hAnsi="Times New Roman" w:eastAsia="黑体" w:cs="Times New Roman"/>
          <w:b w:val="0"/>
          <w:color w:val="auto"/>
          <w:sz w:val="24"/>
          <w:szCs w:val="24"/>
          <w:highlight w:val="none"/>
        </w:rPr>
        <w:t>1.6保密</w:t>
      </w:r>
      <w:bookmarkEnd w:id="135"/>
      <w:bookmarkEnd w:id="136"/>
      <w:bookmarkEnd w:id="137"/>
    </w:p>
    <w:p w14:paraId="5DCEC4D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参与招标投标活动的各方应对招标文件和投标文件中的商业和技术等秘密保密，</w:t>
      </w:r>
      <w:r>
        <w:rPr>
          <w:rFonts w:hint="default" w:ascii="Times New Roman" w:hAnsi="Times New Roman" w:eastAsia="宋体" w:cs="Times New Roman"/>
          <w:color w:val="auto"/>
          <w:kern w:val="0"/>
          <w:sz w:val="24"/>
          <w:szCs w:val="20"/>
          <w:highlight w:val="none"/>
        </w:rPr>
        <w:t>否则应承担相应的法律责任。</w:t>
      </w:r>
    </w:p>
    <w:p w14:paraId="76830B8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38" w:name="_Toc20284"/>
      <w:bookmarkStart w:id="139" w:name="_Toc234832878"/>
      <w:bookmarkStart w:id="140" w:name="_Toc5479"/>
      <w:r>
        <w:rPr>
          <w:rFonts w:hint="default" w:ascii="Times New Roman" w:hAnsi="Times New Roman" w:eastAsia="黑体" w:cs="Times New Roman"/>
          <w:b w:val="0"/>
          <w:color w:val="auto"/>
          <w:sz w:val="24"/>
          <w:szCs w:val="24"/>
          <w:highlight w:val="none"/>
        </w:rPr>
        <w:t>1.7语言文字</w:t>
      </w:r>
      <w:bookmarkEnd w:id="138"/>
      <w:bookmarkEnd w:id="139"/>
      <w:bookmarkEnd w:id="140"/>
    </w:p>
    <w:p w14:paraId="73B64E52">
      <w:pPr>
        <w:pageBreakBefore w:val="0"/>
        <w:kinsoku/>
        <w:wordWrap w:val="0"/>
        <w:bidi w:val="0"/>
        <w:spacing w:line="400" w:lineRule="atLeast"/>
        <w:ind w:firstLine="480" w:firstLineChars="200"/>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招标投标文件使用的语言文字为中文。专用术语使用外文的，应附有中文注释。</w:t>
      </w:r>
    </w:p>
    <w:p w14:paraId="239AB891">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41" w:name="_Toc30856"/>
      <w:bookmarkStart w:id="142" w:name="_Toc7349"/>
      <w:bookmarkStart w:id="143" w:name="_Toc234832879"/>
      <w:r>
        <w:rPr>
          <w:rFonts w:hint="default" w:ascii="Times New Roman" w:hAnsi="Times New Roman" w:eastAsia="黑体" w:cs="Times New Roman"/>
          <w:b w:val="0"/>
          <w:color w:val="auto"/>
          <w:sz w:val="24"/>
          <w:szCs w:val="24"/>
          <w:highlight w:val="none"/>
        </w:rPr>
        <w:t>1.8计量单位</w:t>
      </w:r>
      <w:bookmarkEnd w:id="141"/>
      <w:bookmarkEnd w:id="142"/>
      <w:bookmarkEnd w:id="143"/>
    </w:p>
    <w:p w14:paraId="39FCC3D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所有计量均采用中华人民共和国法定计量单位。</w:t>
      </w:r>
    </w:p>
    <w:p w14:paraId="241BD721">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44" w:name="_Toc32593"/>
      <w:bookmarkStart w:id="145" w:name="_Toc11612"/>
      <w:bookmarkStart w:id="146" w:name="_Toc234832880"/>
      <w:r>
        <w:rPr>
          <w:rFonts w:hint="default" w:ascii="Times New Roman" w:hAnsi="Times New Roman" w:eastAsia="黑体" w:cs="Times New Roman"/>
          <w:b w:val="0"/>
          <w:color w:val="auto"/>
          <w:sz w:val="24"/>
          <w:szCs w:val="24"/>
          <w:highlight w:val="none"/>
        </w:rPr>
        <w:t>1.9踏勘现场</w:t>
      </w:r>
      <w:bookmarkEnd w:id="144"/>
      <w:bookmarkEnd w:id="145"/>
      <w:bookmarkEnd w:id="146"/>
    </w:p>
    <w:p w14:paraId="74DB142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1.9.1第一章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招标公告</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规定组织踏勘现场的，招标人按规定的时间、地点组织投标人踏勘项目现场。部分投标人未按时参加踏勘现场的，不影响踏勘现场的正常进行。招标人不得组织单个或部分投标人踏勘项目现场。</w:t>
      </w:r>
    </w:p>
    <w:p w14:paraId="071B35C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1.9.2投标人踏勘现场发生的费用自理。</w:t>
      </w:r>
    </w:p>
    <w:p w14:paraId="60FA39B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1.9.3除招标人的原因外，投标人自行负责在踏勘现场中所发生的人员伤亡和财产损失。</w:t>
      </w:r>
    </w:p>
    <w:p w14:paraId="294C5EA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1.9.4招标人在踏勘现场中介绍的工程场地和相关的周边环境情况，供投标人在编制投标文件时参考，招标人不对投标人据此作出的判断和决策负责。</w:t>
      </w:r>
    </w:p>
    <w:p w14:paraId="68F3504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1.9.5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59D5CB1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47" w:name="_Toc17701"/>
      <w:bookmarkStart w:id="148" w:name="_Toc234832881"/>
      <w:bookmarkStart w:id="149" w:name="_Toc6877"/>
      <w:r>
        <w:rPr>
          <w:rFonts w:hint="default" w:ascii="Times New Roman" w:hAnsi="Times New Roman" w:eastAsia="黑体" w:cs="Times New Roman"/>
          <w:b w:val="0"/>
          <w:color w:val="auto"/>
          <w:sz w:val="24"/>
          <w:szCs w:val="24"/>
          <w:highlight w:val="none"/>
        </w:rPr>
        <w:t>1.10投标预备会</w:t>
      </w:r>
      <w:bookmarkEnd w:id="147"/>
      <w:bookmarkEnd w:id="148"/>
      <w:bookmarkEnd w:id="149"/>
    </w:p>
    <w:p w14:paraId="150847C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1.10.1第一章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招标公告</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规定召开投标预备会的，招标人按规定的时间和地点召开投标预备会，澄清投标人提出的问题。</w:t>
      </w:r>
    </w:p>
    <w:p w14:paraId="1A53C90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1.10.2投标人应按投标人须知前附表规定的时间和形式将提出的问题送达招标人，以便招标人在会议期间澄清。</w:t>
      </w:r>
    </w:p>
    <w:p w14:paraId="1C33DAE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1.10.3投标预备会后，招标人将对投标人所提问题的澄清，以本章第2.2款规定的形式通知所有</w:t>
      </w:r>
      <w:r>
        <w:rPr>
          <w:rFonts w:hint="default" w:ascii="Times New Roman" w:hAnsi="Times New Roman" w:cs="Times New Roman"/>
          <w:color w:val="auto"/>
          <w:szCs w:val="24"/>
          <w:highlight w:val="none"/>
          <w:lang w:eastAsia="zh-CN"/>
        </w:rPr>
        <w:t>获取招标文件</w:t>
      </w:r>
      <w:r>
        <w:rPr>
          <w:rFonts w:hint="default" w:ascii="Times New Roman" w:hAnsi="Times New Roman" w:eastAsia="宋体" w:cs="Times New Roman"/>
          <w:color w:val="auto"/>
          <w:szCs w:val="24"/>
          <w:highlight w:val="none"/>
        </w:rPr>
        <w:t>的投标人。该澄清内容为招标文件的组成部分。</w:t>
      </w:r>
    </w:p>
    <w:p w14:paraId="150251AC">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50" w:name="_Toc10304"/>
      <w:bookmarkStart w:id="151" w:name="_Toc20656"/>
      <w:bookmarkStart w:id="152" w:name="_Toc234832882"/>
      <w:r>
        <w:rPr>
          <w:rFonts w:hint="default" w:ascii="Times New Roman" w:hAnsi="Times New Roman" w:eastAsia="黑体" w:cs="Times New Roman"/>
          <w:b w:val="0"/>
          <w:color w:val="auto"/>
          <w:sz w:val="24"/>
          <w:szCs w:val="24"/>
          <w:highlight w:val="none"/>
        </w:rPr>
        <w:t>1.11分包</w:t>
      </w:r>
      <w:bookmarkEnd w:id="150"/>
      <w:bookmarkEnd w:id="151"/>
      <w:bookmarkEnd w:id="152"/>
    </w:p>
    <w:p w14:paraId="5195373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1.11.1</w:t>
      </w:r>
      <w:r>
        <w:rPr>
          <w:rFonts w:hint="default" w:ascii="Times New Roman" w:hAnsi="Times New Roman" w:eastAsia="宋体" w:cs="Times New Roman"/>
          <w:color w:val="auto"/>
          <w:szCs w:val="24"/>
          <w:highlight w:val="none"/>
        </w:rPr>
        <w:t>投标人拟在中标后将中标项目的部分工作进行分包的，应</w:t>
      </w:r>
      <w:r>
        <w:rPr>
          <w:rFonts w:hint="eastAsia" w:ascii="Times New Roman" w:cs="Times New Roman"/>
          <w:color w:val="auto"/>
          <w:szCs w:val="24"/>
          <w:highlight w:val="none"/>
          <w:lang w:val="en-US" w:eastAsia="zh-CN"/>
        </w:rPr>
        <w:t>按辽宁省交通运输厅关于印发《辽宁省公路工程施工分包管理实施细则》的通知（辽交公路规〔2025〕1号）要求执行。</w:t>
      </w:r>
    </w:p>
    <w:p w14:paraId="7CAD9C3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1.11.2中标人不得向他人转让中标项目，接受分包的人不得再次分包。中标人应就分包项目向招标人负责，接受分包的人就分包项目承担连带责任。</w:t>
      </w:r>
    </w:p>
    <w:p w14:paraId="2B73748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53" w:name="_Toc234832883"/>
      <w:bookmarkStart w:id="154" w:name="_Toc3394"/>
      <w:bookmarkStart w:id="155" w:name="_Toc10366"/>
      <w:r>
        <w:rPr>
          <w:rFonts w:hint="default" w:ascii="Times New Roman" w:hAnsi="Times New Roman" w:eastAsia="黑体" w:cs="Times New Roman"/>
          <w:b w:val="0"/>
          <w:color w:val="auto"/>
          <w:sz w:val="24"/>
          <w:szCs w:val="24"/>
          <w:highlight w:val="none"/>
        </w:rPr>
        <w:t>1.12</w:t>
      </w:r>
      <w:bookmarkEnd w:id="153"/>
      <w:r>
        <w:rPr>
          <w:rFonts w:hint="default" w:ascii="Times New Roman" w:hAnsi="Times New Roman" w:eastAsia="黑体" w:cs="Times New Roman"/>
          <w:b w:val="0"/>
          <w:color w:val="auto"/>
          <w:sz w:val="24"/>
          <w:szCs w:val="24"/>
          <w:highlight w:val="none"/>
        </w:rPr>
        <w:t>响应和偏差</w:t>
      </w:r>
      <w:bookmarkEnd w:id="154"/>
      <w:bookmarkEnd w:id="155"/>
    </w:p>
    <w:p w14:paraId="62BC17B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1.12.1投标文件偏离招标文件某些要求，视为投标文件存在偏差。偏差包括重大偏差和细微偏差。</w:t>
      </w:r>
    </w:p>
    <w:p w14:paraId="4773A100">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1.12.2投标文件应对招标文件的实质性要求和条件作出满足性或更有利于招标人的响应，否则，视为投标文件存在重大偏差，投标人的投标将被否决。</w:t>
      </w:r>
    </w:p>
    <w:p w14:paraId="40B873A8">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投标文件存在第三章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中所列任一否决投标情形的，均属于存在重大偏差。</w:t>
      </w:r>
    </w:p>
    <w:p w14:paraId="2B0D2EE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1.12.3投标文件中的下列偏差为细微偏差：</w:t>
      </w:r>
    </w:p>
    <w:p w14:paraId="04DE253D">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w:t>
      </w:r>
      <w:r>
        <w:rPr>
          <w:rFonts w:hint="default" w:ascii="Times New Roman" w:hAnsi="Times New Roman" w:eastAsia="宋体" w:cs="Times New Roman"/>
          <w:color w:val="auto"/>
          <w:highlight w:val="none"/>
        </w:rPr>
        <w:t>在按照</w:t>
      </w:r>
      <w:r>
        <w:rPr>
          <w:rFonts w:hint="default" w:ascii="Times New Roman" w:hAnsi="Times New Roman" w:eastAsia="宋体" w:cs="Times New Roman"/>
          <w:color w:val="auto"/>
          <w:szCs w:val="24"/>
          <w:highlight w:val="none"/>
        </w:rPr>
        <w:t>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的规定对投标价进行其他错误</w:t>
      </w:r>
      <w:r>
        <w:rPr>
          <w:rFonts w:hint="default" w:ascii="Times New Roman" w:hAnsi="Times New Roman" w:eastAsia="宋体" w:cs="Times New Roman"/>
          <w:color w:val="auto"/>
          <w:highlight w:val="none"/>
        </w:rPr>
        <w:t>修正后，最终投标报价未超过最高投标限价（如有）的情况下，出现</w:t>
      </w:r>
      <w:r>
        <w:rPr>
          <w:rFonts w:hint="default" w:ascii="Times New Roman" w:hAnsi="Times New Roman" w:eastAsia="宋体" w:cs="Times New Roman"/>
          <w:color w:val="auto"/>
          <w:szCs w:val="24"/>
          <w:highlight w:val="none"/>
        </w:rPr>
        <w:t>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规定的投标报价其他错误；</w:t>
      </w:r>
    </w:p>
    <w:p w14:paraId="78B11C1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（2）施工组织设计（含关键工程技术方案）和项目管理机构不够完善；</w:t>
      </w:r>
    </w:p>
    <w:p w14:paraId="532DBA89">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（3）投标文件个别文字有遗漏错误等不影响投标文件实质性内容的偏差。</w:t>
      </w:r>
    </w:p>
    <w:p w14:paraId="30841D02">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1.12.4评标委员会对投标文件中的细微偏差按如下规定处理：</w:t>
      </w:r>
    </w:p>
    <w:p w14:paraId="40B0713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（1）对于本章第1.12.3项（1）目所述的细微偏差，按照第三章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的规定予以修正并要求投标人进行澄清；</w:t>
      </w:r>
    </w:p>
    <w:p w14:paraId="61C8967A">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77ED413E">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（3）对于本章第1.12.3项（3）目所述的细微偏差，可要求投标人对细微偏差进行澄清。</w:t>
      </w:r>
    </w:p>
    <w:p w14:paraId="1CB6186B">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1.12.5投标人应根据招标文件的要求提供施工组织设计等内容以对招标文件作出响应。</w:t>
      </w:r>
    </w:p>
    <w:p w14:paraId="43AB67C4">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156" w:name="_Toc5915"/>
      <w:bookmarkStart w:id="157" w:name="_Toc5070"/>
      <w:bookmarkStart w:id="158" w:name="_Toc20402"/>
      <w:bookmarkStart w:id="159" w:name="_Toc234832884"/>
      <w:bookmarkStart w:id="160" w:name="_Toc28741"/>
      <w:r>
        <w:rPr>
          <w:rFonts w:hint="default" w:ascii="黑体" w:hAnsi="黑体" w:eastAsia="黑体" w:cs="黑体"/>
          <w:b w:val="0"/>
          <w:bCs/>
          <w:i w:val="0"/>
          <w:iCs w:val="0"/>
          <w:color w:val="auto"/>
          <w:sz w:val="28"/>
          <w:szCs w:val="28"/>
          <w:highlight w:val="none"/>
          <w:lang w:val="en-US" w:eastAsia="zh-CN"/>
        </w:rPr>
        <w:t>2.招标文件</w:t>
      </w:r>
      <w:bookmarkEnd w:id="156"/>
      <w:bookmarkEnd w:id="157"/>
      <w:bookmarkEnd w:id="158"/>
      <w:bookmarkEnd w:id="159"/>
      <w:bookmarkEnd w:id="160"/>
    </w:p>
    <w:p w14:paraId="0FC14816">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61" w:name="_Toc12252"/>
      <w:bookmarkStart w:id="162" w:name="_Toc234832885"/>
      <w:bookmarkStart w:id="163" w:name="_Toc28112"/>
      <w:r>
        <w:rPr>
          <w:rFonts w:hint="default" w:ascii="Times New Roman" w:hAnsi="Times New Roman" w:eastAsia="黑体" w:cs="Times New Roman"/>
          <w:b w:val="0"/>
          <w:color w:val="auto"/>
          <w:sz w:val="24"/>
          <w:szCs w:val="24"/>
          <w:highlight w:val="none"/>
        </w:rPr>
        <w:t>2.1招标文件的组成</w:t>
      </w:r>
      <w:bookmarkEnd w:id="161"/>
      <w:bookmarkEnd w:id="162"/>
      <w:bookmarkEnd w:id="163"/>
    </w:p>
    <w:p w14:paraId="73D23D7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本招标文件包括：</w:t>
      </w:r>
    </w:p>
    <w:p w14:paraId="404FF1E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（1）招标公告；</w:t>
      </w:r>
    </w:p>
    <w:p w14:paraId="7F6BE76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（2）投标人须知；</w:t>
      </w:r>
    </w:p>
    <w:p w14:paraId="690C1C1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（3）评标办法；</w:t>
      </w:r>
    </w:p>
    <w:p w14:paraId="4426374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（4）合同条款及格式；</w:t>
      </w:r>
    </w:p>
    <w:p w14:paraId="645DD70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（5）工程量清单；</w:t>
      </w:r>
    </w:p>
    <w:p w14:paraId="7A572A7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（6）图纸；</w:t>
      </w:r>
    </w:p>
    <w:p w14:paraId="61AF8E4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（7）技术规范；</w:t>
      </w:r>
    </w:p>
    <w:p w14:paraId="7D4DEB1E">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（8）工程量清单计量规则；</w:t>
      </w:r>
    </w:p>
    <w:p w14:paraId="5893FBC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（9）投标文件格式；</w:t>
      </w:r>
    </w:p>
    <w:p w14:paraId="0217829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（10）投标人须知前附表规定的其他资料。</w:t>
      </w:r>
    </w:p>
    <w:p w14:paraId="6EAB9F2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根据本章第1.10款、第2.2款和第2.3款对招标文件所作的澄清、修改，构成招标文件的组成部分。</w:t>
      </w:r>
    </w:p>
    <w:p w14:paraId="090D063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当招标文件、招标文件的澄清或修改等在同一内容的表述上不一致时，以最后发出的书面文件为准。</w:t>
      </w:r>
    </w:p>
    <w:p w14:paraId="09AF4845">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64" w:name="_Toc234832886"/>
      <w:bookmarkStart w:id="165" w:name="_Toc13346"/>
      <w:bookmarkStart w:id="166" w:name="_Toc6916"/>
      <w:r>
        <w:rPr>
          <w:rFonts w:hint="default" w:ascii="Times New Roman" w:hAnsi="Times New Roman" w:eastAsia="黑体" w:cs="Times New Roman"/>
          <w:b w:val="0"/>
          <w:color w:val="auto"/>
          <w:sz w:val="24"/>
          <w:szCs w:val="24"/>
          <w:highlight w:val="none"/>
        </w:rPr>
        <w:t>2.2招标文件的澄清</w:t>
      </w:r>
      <w:bookmarkEnd w:id="164"/>
      <w:bookmarkEnd w:id="165"/>
      <w:bookmarkEnd w:id="166"/>
    </w:p>
    <w:p w14:paraId="0406C51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7B5B43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2.2.2招标文件的澄清以投标人须知前附表规定的形式发给所有</w:t>
      </w:r>
      <w:r>
        <w:rPr>
          <w:rFonts w:hint="default" w:ascii="Times New Roman" w:hAnsi="Times New Roman" w:cs="Times New Roman"/>
          <w:color w:val="auto"/>
          <w:sz w:val="24"/>
          <w:highlight w:val="none"/>
          <w:lang w:eastAsia="zh-CN"/>
        </w:rPr>
        <w:t>获取招标文件</w:t>
      </w:r>
      <w:r>
        <w:rPr>
          <w:rFonts w:hint="default" w:ascii="Times New Roman" w:hAnsi="Times New Roman" w:eastAsia="宋体" w:cs="Times New Roman"/>
          <w:color w:val="auto"/>
          <w:sz w:val="24"/>
          <w:highlight w:val="none"/>
        </w:rPr>
        <w:t>的投标人，但不指明澄清问题的来源。澄清发出的时间距本章第4.2.1项规定的投标截止时间不足15日，且澄清内容可能影响投标文件编制的，将相应延长投标截止时间。</w:t>
      </w:r>
    </w:p>
    <w:p w14:paraId="264C476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2.2.3</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lang w:val="en-US" w:eastAsia="zh-CN"/>
        </w:rPr>
        <w:t>应</w:t>
      </w:r>
      <w:r>
        <w:rPr>
          <w:rFonts w:hint="default" w:ascii="Times New Roman" w:hAnsi="Times New Roman" w:cs="Times New Roman"/>
          <w:color w:val="auto"/>
          <w:sz w:val="24"/>
          <w:szCs w:val="24"/>
          <w:highlight w:val="none"/>
        </w:rPr>
        <w:t>按照投标人须知前附表要求及时收悉澄清内容。</w:t>
      </w:r>
      <w:r>
        <w:rPr>
          <w:rFonts w:hint="default" w:ascii="Times New Roman" w:hAnsi="Times New Roman" w:cs="Times New Roman"/>
          <w:color w:val="auto"/>
          <w:sz w:val="24"/>
          <w:highlight w:val="none"/>
        </w:rPr>
        <w:t>投标人应注意及时浏览网上发出的澄清，因投标人自身原因未及时获知澄清内容而导致的任何后果将由投标人自行承担</w:t>
      </w:r>
      <w:r>
        <w:rPr>
          <w:rFonts w:hint="default" w:ascii="Times New Roman" w:hAnsi="Times New Roman" w:eastAsia="宋体" w:cs="Times New Roman"/>
          <w:color w:val="auto"/>
          <w:sz w:val="24"/>
          <w:highlight w:val="none"/>
        </w:rPr>
        <w:t>。</w:t>
      </w:r>
    </w:p>
    <w:p w14:paraId="508D4E5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2.2.4除非招标人认为确有必要答复，否则，招标人有权拒绝回复投标人在本章第2.2.1项规定的时间后提出的任何澄清要求。</w:t>
      </w:r>
    </w:p>
    <w:p w14:paraId="5EF78C1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67" w:name="_Toc19533"/>
      <w:bookmarkStart w:id="168" w:name="_Toc20407"/>
      <w:bookmarkStart w:id="169" w:name="_Toc234832887"/>
      <w:r>
        <w:rPr>
          <w:rFonts w:hint="default" w:ascii="Times New Roman" w:hAnsi="Times New Roman" w:eastAsia="黑体" w:cs="Times New Roman"/>
          <w:b w:val="0"/>
          <w:color w:val="auto"/>
          <w:sz w:val="24"/>
          <w:szCs w:val="24"/>
          <w:highlight w:val="none"/>
        </w:rPr>
        <w:t>2.3招标文件的修改</w:t>
      </w:r>
      <w:bookmarkEnd w:id="167"/>
      <w:bookmarkEnd w:id="168"/>
      <w:bookmarkEnd w:id="169"/>
    </w:p>
    <w:p w14:paraId="7FB7BF4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2.3.1招标人以投标人须知前附表规定的形式修改招标文件。修改招标文件的时间距本章第4.2.1项规定的投标截止时间不足15日，且修改内容可能影响投标文件编制的，将相应延长投标截止时间。</w:t>
      </w:r>
    </w:p>
    <w:p w14:paraId="4FC9607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2.3.2</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lang w:val="en-US" w:eastAsia="zh-CN"/>
        </w:rPr>
        <w:t>应</w:t>
      </w:r>
      <w:r>
        <w:rPr>
          <w:rFonts w:hint="default" w:ascii="Times New Roman" w:hAnsi="Times New Roman" w:cs="Times New Roman"/>
          <w:color w:val="auto"/>
          <w:sz w:val="24"/>
          <w:szCs w:val="24"/>
          <w:highlight w:val="none"/>
        </w:rPr>
        <w:t>按照投标人须知前附表要求及时收悉</w:t>
      </w:r>
      <w:r>
        <w:rPr>
          <w:rFonts w:hint="default" w:ascii="Times New Roman" w:hAnsi="Times New Roman" w:cs="Times New Roman"/>
          <w:color w:val="auto"/>
          <w:sz w:val="24"/>
          <w:szCs w:val="24"/>
          <w:highlight w:val="none"/>
          <w:lang w:val="en-US" w:eastAsia="zh-CN"/>
        </w:rPr>
        <w:t>修改</w:t>
      </w:r>
      <w:r>
        <w:rPr>
          <w:rFonts w:hint="default" w:ascii="Times New Roman" w:hAnsi="Times New Roman" w:cs="Times New Roman"/>
          <w:color w:val="auto"/>
          <w:sz w:val="24"/>
          <w:szCs w:val="24"/>
          <w:highlight w:val="none"/>
        </w:rPr>
        <w:t>内容</w:t>
      </w:r>
      <w:r>
        <w:rPr>
          <w:rFonts w:hint="default" w:ascii="Times New Roman" w:hAnsi="Times New Roman" w:cs="Times New Roman"/>
          <w:color w:val="auto"/>
          <w:sz w:val="24"/>
          <w:highlight w:val="none"/>
        </w:rPr>
        <w:t>。投标人应注意及时浏览网上发出的修改，因投标人自身原因未及时获知修改内容而导致的任何后果将由投标人自行承担</w:t>
      </w:r>
      <w:r>
        <w:rPr>
          <w:rFonts w:hint="default" w:ascii="Times New Roman" w:hAnsi="Times New Roman" w:eastAsia="宋体" w:cs="Times New Roman"/>
          <w:color w:val="auto"/>
          <w:sz w:val="24"/>
          <w:highlight w:val="none"/>
        </w:rPr>
        <w:t>。</w:t>
      </w:r>
    </w:p>
    <w:p w14:paraId="15ACC5E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70" w:name="_Toc13132"/>
      <w:bookmarkStart w:id="171" w:name="_Toc8985"/>
      <w:r>
        <w:rPr>
          <w:rFonts w:hint="default" w:ascii="Times New Roman" w:hAnsi="Times New Roman" w:eastAsia="黑体" w:cs="Times New Roman"/>
          <w:b w:val="0"/>
          <w:color w:val="auto"/>
          <w:sz w:val="24"/>
          <w:szCs w:val="24"/>
          <w:highlight w:val="none"/>
        </w:rPr>
        <w:t>2.4招标文件的异议</w:t>
      </w:r>
      <w:bookmarkEnd w:id="170"/>
      <w:bookmarkEnd w:id="171"/>
    </w:p>
    <w:p w14:paraId="3B84DDB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投标人或其他利害关系人对招标文件有异议的，应在投标截止时间10日前以书面形式提出。招标人将在收到异议之日起3日内作出答复；作出答复前，将暂停招标投标活动。</w:t>
      </w:r>
    </w:p>
    <w:p w14:paraId="2FEC106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172" w:name="_Toc4963"/>
      <w:bookmarkStart w:id="173" w:name="_Toc24250"/>
      <w:bookmarkStart w:id="174" w:name="_Toc22401"/>
      <w:bookmarkStart w:id="175" w:name="_Toc5874"/>
      <w:bookmarkStart w:id="176" w:name="_Toc234832888"/>
      <w:r>
        <w:rPr>
          <w:rFonts w:hint="default" w:ascii="黑体" w:hAnsi="黑体" w:eastAsia="黑体" w:cs="黑体"/>
          <w:b w:val="0"/>
          <w:bCs/>
          <w:i w:val="0"/>
          <w:iCs w:val="0"/>
          <w:color w:val="auto"/>
          <w:sz w:val="28"/>
          <w:szCs w:val="28"/>
          <w:highlight w:val="none"/>
          <w:lang w:val="en-US" w:eastAsia="zh-CN"/>
        </w:rPr>
        <w:t>3.投标文件</w:t>
      </w:r>
      <w:bookmarkEnd w:id="172"/>
      <w:bookmarkEnd w:id="173"/>
      <w:bookmarkEnd w:id="174"/>
      <w:bookmarkEnd w:id="175"/>
      <w:bookmarkEnd w:id="176"/>
    </w:p>
    <w:p w14:paraId="410DFC4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77" w:name="_Toc18046"/>
      <w:bookmarkStart w:id="178" w:name="_Toc234832889"/>
      <w:bookmarkStart w:id="179" w:name="_Toc20988"/>
      <w:r>
        <w:rPr>
          <w:rFonts w:hint="default" w:ascii="Times New Roman" w:hAnsi="Times New Roman" w:eastAsia="黑体" w:cs="Times New Roman"/>
          <w:b w:val="0"/>
          <w:color w:val="auto"/>
          <w:sz w:val="24"/>
          <w:szCs w:val="24"/>
          <w:highlight w:val="none"/>
        </w:rPr>
        <w:t>3.1投标文件的组成</w:t>
      </w:r>
      <w:bookmarkEnd w:id="177"/>
      <w:bookmarkEnd w:id="178"/>
      <w:bookmarkEnd w:id="179"/>
    </w:p>
    <w:p w14:paraId="123D447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3.1.1投标文件应采用双信封形式，包括下列内容：</w:t>
      </w:r>
    </w:p>
    <w:p w14:paraId="26E5475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第一个信封（商务及技术文件）：</w:t>
      </w:r>
    </w:p>
    <w:p w14:paraId="4C5B620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（1）投标函及投标函附录；</w:t>
      </w:r>
    </w:p>
    <w:p w14:paraId="40E0293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（2）授权委托书或法定代表人身份证明；</w:t>
      </w:r>
    </w:p>
    <w:p w14:paraId="38B08C7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（3）联合体协议书（如有）；</w:t>
      </w:r>
    </w:p>
    <w:p w14:paraId="2922554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（4）投标保证金（如有）；</w:t>
      </w:r>
    </w:p>
    <w:p w14:paraId="31D2109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（5）施工组织设计；</w:t>
      </w:r>
    </w:p>
    <w:p w14:paraId="4D88D14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（6）项目管理机构；</w:t>
      </w:r>
    </w:p>
    <w:p w14:paraId="417831D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（7）拟分包项目情况表（</w:t>
      </w:r>
      <w:r>
        <w:rPr>
          <w:rFonts w:hint="eastAsia" w:cs="Times New Roman"/>
          <w:color w:val="auto"/>
          <w:sz w:val="24"/>
          <w:highlight w:val="none"/>
          <w:lang w:val="en-US" w:eastAsia="zh-CN"/>
        </w:rPr>
        <w:t>如有</w:t>
      </w:r>
      <w:r>
        <w:rPr>
          <w:rFonts w:hint="default" w:ascii="Times New Roman" w:hAnsi="Times New Roman" w:eastAsia="宋体" w:cs="Times New Roman"/>
          <w:color w:val="auto"/>
          <w:sz w:val="24"/>
          <w:highlight w:val="none"/>
        </w:rPr>
        <w:t>）</w:t>
      </w:r>
    </w:p>
    <w:p w14:paraId="2BC519D8">
      <w:pPr>
        <w:pageBreakBefore w:val="0"/>
        <w:kinsoku/>
        <w:wordWrap w:val="0"/>
        <w:bidi w:val="0"/>
        <w:spacing w:line="400" w:lineRule="atLeast"/>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rPr>
        <w:t>）资格审查资料；</w:t>
      </w:r>
    </w:p>
    <w:p w14:paraId="47A3DEC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）投标人须知前附表规定的其他资料。</w:t>
      </w:r>
    </w:p>
    <w:p w14:paraId="0632E21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第二个信封（报价文件）：</w:t>
      </w:r>
    </w:p>
    <w:p w14:paraId="33C4C1C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（1）投标函；</w:t>
      </w:r>
    </w:p>
    <w:p w14:paraId="6258017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rPr>
        <w:t>）已标价工程量清单；</w:t>
      </w:r>
    </w:p>
    <w:p w14:paraId="5FF0AB6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）合同用款估算表。</w:t>
      </w:r>
    </w:p>
    <w:p w14:paraId="3B2CEEA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投标人在评标过程中作出的符合法律法规和招标文件规定的澄清确认，构成投标文件的组成部分。</w:t>
      </w:r>
    </w:p>
    <w:p w14:paraId="7E910E3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3.1.2投标人须知前附表规定不接受联合体投标的，或投标人没有组成联合体的，投标文件不包括本章第3.1.1（3）目所指的联合体协议书。</w:t>
      </w:r>
    </w:p>
    <w:p w14:paraId="605A34E0">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3.1.3投标人须知前附表未要求提交投标保证金的，投标文件不包括本章第3.1.1（4）目所指的投标保证金。</w:t>
      </w:r>
    </w:p>
    <w:p w14:paraId="5662B81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eastAsia" w:ascii="Times New Roman" w:hAnsi="Times New Roman" w:eastAsia="黑体" w:cs="Times New Roman"/>
          <w:b w:val="0"/>
          <w:color w:val="auto"/>
          <w:sz w:val="24"/>
          <w:szCs w:val="24"/>
          <w:highlight w:val="none"/>
          <w:lang w:eastAsia="zh-CN"/>
        </w:rPr>
      </w:pPr>
      <w:bookmarkStart w:id="180" w:name="_Toc4919"/>
      <w:bookmarkStart w:id="181" w:name="_Toc234832890"/>
      <w:bookmarkStart w:id="182" w:name="_Toc22349"/>
      <w:r>
        <w:rPr>
          <w:rFonts w:hint="default" w:ascii="Times New Roman" w:hAnsi="Times New Roman" w:eastAsia="黑体" w:cs="Times New Roman"/>
          <w:b w:val="0"/>
          <w:color w:val="auto"/>
          <w:sz w:val="24"/>
          <w:szCs w:val="24"/>
          <w:highlight w:val="none"/>
        </w:rPr>
        <w:t>3.2投标报价</w:t>
      </w:r>
      <w:bookmarkEnd w:id="180"/>
      <w:bookmarkEnd w:id="181"/>
      <w:bookmarkEnd w:id="182"/>
    </w:p>
    <w:p w14:paraId="54EBC6E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3.2.1投标报价应包括国家规定的增值税税金，除投标人须知前附表另有规定外，增值税税金按一般计税方法计算。投标人应按第九章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投标文件格式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的要求在投标函中进行报价并填写工程量清单相应表格。</w:t>
      </w:r>
    </w:p>
    <w:p w14:paraId="0A6676D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本项目招标采用工程量清单，招标人在</w:t>
      </w:r>
      <w:r>
        <w:rPr>
          <w:rFonts w:hint="default" w:ascii="Times New Roman" w:hAnsi="Times New Roman" w:cs="Times New Roman"/>
          <w:color w:val="auto"/>
          <w:sz w:val="24"/>
          <w:highlight w:val="none"/>
          <w:lang w:val="en-US" w:eastAsia="zh-CN"/>
        </w:rPr>
        <w:t>发布</w:t>
      </w:r>
      <w:r>
        <w:rPr>
          <w:rFonts w:hint="default" w:ascii="Times New Roman" w:hAnsi="Times New Roman" w:eastAsia="宋体" w:cs="Times New Roman"/>
          <w:color w:val="auto"/>
          <w:sz w:val="24"/>
          <w:highlight w:val="none"/>
        </w:rPr>
        <w:t>招标文件的同时将工程量清单电子文件上传至投标人须知前附表载明的网站供投标人自行下载。投标人填写工程量清单中各子目的单价</w:t>
      </w:r>
      <w:r>
        <w:rPr>
          <w:rFonts w:hint="eastAsia" w:cs="Times New Roman"/>
          <w:color w:val="auto"/>
          <w:sz w:val="24"/>
          <w:highlight w:val="none"/>
          <w:lang w:val="en-US" w:eastAsia="zh-CN"/>
        </w:rPr>
        <w:t>或</w:t>
      </w:r>
      <w:r>
        <w:rPr>
          <w:rFonts w:hint="default" w:ascii="Times New Roman" w:hAnsi="Times New Roman" w:eastAsia="宋体" w:cs="Times New Roman"/>
          <w:color w:val="auto"/>
          <w:sz w:val="24"/>
          <w:highlight w:val="none"/>
        </w:rPr>
        <w:t>总额价，即可完成投标工程量清单的编制，确定投标报价，并</w:t>
      </w:r>
      <w:r>
        <w:rPr>
          <w:rFonts w:hint="eastAsia" w:cs="Times New Roman"/>
          <w:color w:val="auto"/>
          <w:sz w:val="24"/>
          <w:highlight w:val="none"/>
          <w:lang w:val="en-US" w:eastAsia="zh-CN"/>
        </w:rPr>
        <w:t>生成电子版</w:t>
      </w:r>
      <w:r>
        <w:rPr>
          <w:rFonts w:hint="default" w:ascii="Times New Roman" w:hAnsi="Times New Roman" w:eastAsia="宋体" w:cs="Times New Roman"/>
          <w:color w:val="auto"/>
          <w:sz w:val="24"/>
          <w:highlight w:val="none"/>
        </w:rPr>
        <w:t>工程量清单，编入投标文件。投标人未在工程量清单中填入单价或总额价的工程子目，将被认为其已包含在工程量清单其他子目的单价和总额价中，招标人将不予支付。</w:t>
      </w:r>
    </w:p>
    <w:p w14:paraId="5305714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严禁投标人修改工程量清单电子文件中的数据、格式及运算定义。</w:t>
      </w:r>
    </w:p>
    <w:p w14:paraId="6160B73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投标人根据招标人提供的工程量清单电子文件填报完成并</w:t>
      </w:r>
      <w:r>
        <w:rPr>
          <w:rFonts w:hint="eastAsia" w:cs="Times New Roman"/>
          <w:color w:val="auto"/>
          <w:sz w:val="24"/>
          <w:highlight w:val="none"/>
          <w:lang w:val="en-US" w:eastAsia="zh-CN"/>
        </w:rPr>
        <w:t>生成</w:t>
      </w:r>
      <w:r>
        <w:rPr>
          <w:rFonts w:hint="default" w:ascii="Times New Roman" w:hAnsi="Times New Roman" w:eastAsia="宋体" w:cs="Times New Roman"/>
          <w:color w:val="auto"/>
          <w:sz w:val="24"/>
          <w:highlight w:val="none"/>
        </w:rPr>
        <w:t>的投标工程量清单中的投标报价和投标函大写金额报价应一致，如果报价金额出现差异，其投标将被否决。</w:t>
      </w:r>
    </w:p>
    <w:p w14:paraId="127378F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3.2.2投标人应充分了解本项目的总体情况以及影响投标报价的其他要素。</w:t>
      </w:r>
    </w:p>
    <w:p w14:paraId="1B3121F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3.2.3本项目的报价方式见投标人须知前附表。投标人在投标截止时间前修改投标函中的投标总报价，应同时修改投标文件</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已标价工程量清单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中的相应报价。此修改须符合本章第4.3款的有关要求。</w:t>
      </w:r>
    </w:p>
    <w:p w14:paraId="100EF9F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3.2.4投标人如果发现工程量清单中的数量与图纸中数量不一致时，应立即通知招标人核查，除非招标人</w:t>
      </w:r>
      <w:r>
        <w:rPr>
          <w:rFonts w:hint="eastAsia" w:cs="Times New Roman"/>
          <w:color w:val="auto"/>
          <w:sz w:val="24"/>
          <w:highlight w:val="none"/>
          <w:lang w:val="en-US" w:eastAsia="zh-CN"/>
        </w:rPr>
        <w:t>在指定媒介上</w:t>
      </w:r>
      <w:r>
        <w:rPr>
          <w:rFonts w:hint="default" w:ascii="Times New Roman" w:hAnsi="Times New Roman" w:eastAsia="宋体" w:cs="Times New Roman"/>
          <w:color w:val="auto"/>
          <w:sz w:val="24"/>
          <w:highlight w:val="none"/>
        </w:rPr>
        <w:t>以书面方式予以更正，否则，应以工程量清单中列出的数量为准。</w:t>
      </w:r>
    </w:p>
    <w:p w14:paraId="69BAB19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3.2.5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1F96823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A3869F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招标人设有最高投标限价的，投标人的投标报价不得超过最高投标限价，最高投标限价在投标</w:t>
      </w:r>
      <w:bookmarkStart w:id="183" w:name="_Toc152042320"/>
      <w:bookmarkStart w:id="184" w:name="_Toc300834965"/>
      <w:bookmarkStart w:id="185" w:name="_Toc352691488"/>
      <w:bookmarkStart w:id="186" w:name="_Toc369531531"/>
      <w:bookmarkStart w:id="187" w:name="_Toc10429"/>
      <w:bookmarkStart w:id="188" w:name="_Toc361508600"/>
      <w:bookmarkStart w:id="189" w:name="_Toc144974512"/>
      <w:bookmarkStart w:id="190" w:name="_Toc384308225"/>
      <w:bookmarkStart w:id="191" w:name="_Toc247513968"/>
      <w:bookmarkStart w:id="192" w:name="_Toc247527569"/>
      <w:bookmarkStart w:id="193" w:name="_Toc152045544"/>
      <w:r>
        <w:rPr>
          <w:rFonts w:hint="default" w:ascii="Times New Roman" w:hAnsi="Times New Roman" w:eastAsia="宋体" w:cs="Times New Roman"/>
          <w:color w:val="auto"/>
          <w:sz w:val="24"/>
          <w:highlight w:val="none"/>
        </w:rPr>
        <w:t>人须知前附表中载明。</w:t>
      </w:r>
      <w:bookmarkEnd w:id="183"/>
      <w:bookmarkEnd w:id="184"/>
      <w:bookmarkEnd w:id="185"/>
      <w:bookmarkEnd w:id="186"/>
      <w:bookmarkEnd w:id="187"/>
      <w:bookmarkEnd w:id="188"/>
      <w:bookmarkEnd w:id="189"/>
      <w:bookmarkEnd w:id="190"/>
      <w:bookmarkEnd w:id="191"/>
      <w:bookmarkEnd w:id="192"/>
      <w:bookmarkEnd w:id="193"/>
    </w:p>
    <w:p w14:paraId="3726AAA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rPr>
        <w:t>投标报价的其他要求见投标人须知前附表。</w:t>
      </w:r>
    </w:p>
    <w:p w14:paraId="46BF4AE0">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94" w:name="_Toc234832891"/>
      <w:bookmarkStart w:id="195" w:name="_Toc31161"/>
      <w:bookmarkStart w:id="196" w:name="_Toc5681"/>
      <w:r>
        <w:rPr>
          <w:rFonts w:hint="default" w:ascii="Times New Roman" w:hAnsi="Times New Roman" w:eastAsia="黑体" w:cs="Times New Roman"/>
          <w:b w:val="0"/>
          <w:color w:val="auto"/>
          <w:sz w:val="24"/>
          <w:szCs w:val="24"/>
          <w:highlight w:val="none"/>
        </w:rPr>
        <w:t>3.3投标有效期</w:t>
      </w:r>
      <w:bookmarkEnd w:id="194"/>
      <w:bookmarkEnd w:id="195"/>
      <w:bookmarkEnd w:id="196"/>
    </w:p>
    <w:p w14:paraId="5C64B1F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3.3.1除投标人须知前附表另有规定外，投标有效期为90日。</w:t>
      </w:r>
    </w:p>
    <w:p w14:paraId="704D9D9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3.3.2在投标有效期内，投标人撤销投标文件的，应承担招标文件和法律规定的责任。</w:t>
      </w:r>
    </w:p>
    <w:p w14:paraId="3F08B12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3.3.3出现特殊情况需要延长投标有效期的，招标人</w:t>
      </w:r>
      <w:r>
        <w:rPr>
          <w:rFonts w:hint="eastAsia" w:cs="Times New Roman"/>
          <w:color w:val="auto"/>
          <w:sz w:val="24"/>
          <w:highlight w:val="none"/>
          <w:lang w:val="en-US" w:eastAsia="zh-CN"/>
        </w:rPr>
        <w:t>通过电子交易平台</w:t>
      </w:r>
      <w:r>
        <w:rPr>
          <w:rFonts w:hint="default" w:ascii="Times New Roman" w:hAnsi="Times New Roman" w:eastAsia="宋体" w:cs="Times New Roman"/>
          <w:color w:val="auto"/>
          <w:sz w:val="24"/>
          <w:highlight w:val="none"/>
        </w:rPr>
        <w:t>通知所有投标人延长投标有效期。投标人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E2DFEB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97" w:name="_Toc14943"/>
      <w:bookmarkStart w:id="198" w:name="_Toc234832892"/>
      <w:bookmarkStart w:id="199" w:name="_Toc17536"/>
      <w:r>
        <w:rPr>
          <w:rFonts w:hint="default" w:ascii="Times New Roman" w:hAnsi="Times New Roman" w:eastAsia="黑体" w:cs="Times New Roman"/>
          <w:b w:val="0"/>
          <w:color w:val="auto"/>
          <w:sz w:val="24"/>
          <w:szCs w:val="24"/>
          <w:highlight w:val="none"/>
        </w:rPr>
        <w:t>3.4投标保证金</w:t>
      </w:r>
      <w:bookmarkEnd w:id="197"/>
      <w:bookmarkEnd w:id="198"/>
      <w:bookmarkEnd w:id="199"/>
    </w:p>
    <w:p w14:paraId="4B2CAB1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3.4.1投标人在递交投标文件的同时，应按投标人须知前附表规定的金额和第九章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投标文件格式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规定的投标保证金格式递交投标保证金，并作为其投标文件的组成部分。联合体投标的，其投标保证金由牵头人递交，并应符合投标人须知前附表的规定。</w:t>
      </w:r>
    </w:p>
    <w:p w14:paraId="0A3EDB8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投标保证金应采用现金、支票、银行保函或招标人在投标人须知前附表规定的其他形式。</w:t>
      </w:r>
    </w:p>
    <w:p w14:paraId="5950121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6563E8B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（2）若采用银行保函，则应由符合投标人须知前附表规定级别的银行开具，并采用招标文件提供的格式。银行保函</w:t>
      </w:r>
      <w:r>
        <w:rPr>
          <w:rFonts w:hint="eastAsia" w:cs="Times New Roman"/>
          <w:color w:val="auto"/>
          <w:sz w:val="24"/>
          <w:highlight w:val="none"/>
          <w:lang w:eastAsia="zh-CN"/>
        </w:rPr>
        <w:t>原件扫描件</w:t>
      </w:r>
      <w:r>
        <w:rPr>
          <w:rFonts w:hint="eastAsia" w:cs="Times New Roman"/>
          <w:color w:val="auto"/>
          <w:sz w:val="24"/>
          <w:highlight w:val="none"/>
          <w:lang w:val="en-US" w:eastAsia="zh-CN"/>
        </w:rPr>
        <w:t>编辑</w:t>
      </w:r>
      <w:r>
        <w:rPr>
          <w:rFonts w:hint="default" w:ascii="Times New Roman" w:hAnsi="Times New Roman" w:eastAsia="宋体" w:cs="Times New Roman"/>
          <w:color w:val="auto"/>
          <w:sz w:val="24"/>
          <w:highlight w:val="none"/>
        </w:rPr>
        <w:t>在投标文件内。</w:t>
      </w:r>
    </w:p>
    <w:p w14:paraId="79638B5D">
      <w:pPr>
        <w:pageBreakBefore w:val="0"/>
        <w:kinsoku/>
        <w:wordWrap w:val="0"/>
        <w:bidi w:val="0"/>
        <w:spacing w:line="400" w:lineRule="atLeast"/>
        <w:ind w:firstLine="480" w:firstLineChars="200"/>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）若采用电子保函形式提交，投标人应在投标文件中提供电子保函的扫描件和电子化保函验真渠道。</w:t>
      </w:r>
    </w:p>
    <w:p w14:paraId="4D7E9EF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无论采取何种形式的投标保证金，投标保证金有效期均应与投标有效期一致。招标人如果按本章第3.3.3项的规定延长了投标有效期，则投标保证金的有效期也相应延长。</w:t>
      </w:r>
    </w:p>
    <w:p w14:paraId="4A889F0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3.4.2投标人不按本章第3.4.1项要求提交投标保证金的，评标委员会将否决其投标。</w:t>
      </w:r>
    </w:p>
    <w:p w14:paraId="16A18F0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3.4.3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352F863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利息计算原则见投标人须知前附表。</w:t>
      </w:r>
    </w:p>
    <w:p w14:paraId="770502A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3.4.4有下列情形之一的，投标保证金将不予退还：</w:t>
      </w:r>
    </w:p>
    <w:p w14:paraId="443C06E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（1）投标人在投标有效期内撤销投标文件；</w:t>
      </w:r>
    </w:p>
    <w:p w14:paraId="72AD31E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（2）中标人在收到中标通知书后，无正当理由不与招标人订立合同，在签订合同时向招标人提出附加条件，或不按照招标文件要求提交履约保证金；</w:t>
      </w:r>
    </w:p>
    <w:p w14:paraId="492C8B2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（3）发生投标人须知前附表规定的其他可以不予退还投标保证金的情形。</w:t>
      </w:r>
    </w:p>
    <w:p w14:paraId="6D247F0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00" w:name="_Toc234832894"/>
      <w:bookmarkStart w:id="201" w:name="_Toc19802"/>
      <w:bookmarkStart w:id="202" w:name="_Toc6927"/>
      <w:r>
        <w:rPr>
          <w:rFonts w:hint="default" w:ascii="Times New Roman" w:hAnsi="Times New Roman" w:eastAsia="黑体" w:cs="Times New Roman"/>
          <w:b w:val="0"/>
          <w:color w:val="auto"/>
          <w:sz w:val="24"/>
          <w:szCs w:val="24"/>
          <w:highlight w:val="none"/>
        </w:rPr>
        <w:t>3.5资格审查资料</w:t>
      </w:r>
      <w:bookmarkEnd w:id="200"/>
      <w:bookmarkEnd w:id="201"/>
      <w:bookmarkEnd w:id="202"/>
    </w:p>
    <w:p w14:paraId="32E3BDD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除投标人须知前附表另有规定外，投标人应按下列规定提供资格审查资料，以证明其满足本章第1.4款规定的资质、财务、业绩、信誉等要求。</w:t>
      </w:r>
    </w:p>
    <w:p w14:paraId="454F859C">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eastAsia" w:cs="Times New Roman"/>
          <w:color w:val="auto"/>
          <w:sz w:val="24"/>
          <w:szCs w:val="24"/>
          <w:highlight w:val="none"/>
          <w:lang w:val="en-US" w:eastAsia="zh-CN"/>
        </w:rPr>
        <w:t>主体信息库</w:t>
      </w:r>
      <w:r>
        <w:rPr>
          <w:rFonts w:hint="default" w:ascii="Times New Roman" w:hAnsi="Times New Roman" w:eastAsia="宋体" w:cs="Times New Roman"/>
          <w:color w:val="auto"/>
          <w:sz w:val="24"/>
          <w:szCs w:val="24"/>
          <w:highlight w:val="none"/>
        </w:rPr>
        <w:t>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5402C40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投标人基本情况表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应附企业法人营业执照、施工资质证书、安全生产许可证、基本账户开户许可证</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基本存款账户信息</w:t>
      </w:r>
      <w:r>
        <w:rPr>
          <w:rFonts w:hint="default" w:ascii="Times New Roman" w:hAnsi="Times New Roman" w:eastAsia="宋体" w:cs="Times New Roman"/>
          <w:color w:val="auto"/>
          <w:sz w:val="24"/>
          <w:highlight w:val="none"/>
        </w:rPr>
        <w:t>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原件扫描件</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，投标人在交通运输部</w:t>
      </w:r>
      <w:r>
        <w:rPr>
          <w:rFonts w:hint="eastAsia" w:ascii="宋体" w:hAnsi="宋体" w:eastAsia="宋体" w:cs="宋体"/>
          <w:color w:val="auto"/>
          <w:sz w:val="24"/>
          <w:highlight w:val="none"/>
        </w:rPr>
        <w:t>“</w:t>
      </w:r>
      <w:r>
        <w:rPr>
          <w:rFonts w:hint="eastAsia" w:cs="Times New Roman"/>
          <w:color w:val="auto"/>
          <w:sz w:val="24"/>
          <w:highlight w:val="none"/>
          <w:lang w:eastAsia="zh-CN"/>
        </w:rPr>
        <w:t>全国公路建设市场监督管理系统</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公路工程施工资质企业名录中的网页截图</w:t>
      </w:r>
      <w:r>
        <w:rPr>
          <w:rStyle w:val="48"/>
          <w:rFonts w:ascii="Times New Roman" w:hAnsi="Times New Roman" w:eastAsia="宋体" w:cs="Times New Roman"/>
          <w:color w:val="auto"/>
          <w:highlight w:val="none"/>
        </w:rPr>
        <w:footnoteReference w:id="21"/>
      </w:r>
      <w:r>
        <w:rPr>
          <w:rFonts w:hint="default" w:ascii="Times New Roman" w:hAnsi="Times New Roman" w:eastAsia="宋体" w:cs="Times New Roman"/>
          <w:color w:val="auto"/>
          <w:sz w:val="24"/>
          <w:highlight w:val="none"/>
        </w:rPr>
        <w:t>，以及投标人在国家企业信用信息公示系统中基础信息（体现股东及出资详细信息）的网页截图。</w:t>
      </w:r>
    </w:p>
    <w:p w14:paraId="7B5BA36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企业法人营业执照、施工资质证书、安全生产许可证、基本账户开户许可证</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基本存款账户信息</w:t>
      </w:r>
      <w:r>
        <w:rPr>
          <w:rFonts w:hint="default" w:ascii="Times New Roman" w:hAnsi="Times New Roman" w:eastAsia="宋体" w:cs="Times New Roman"/>
          <w:color w:val="auto"/>
          <w:sz w:val="24"/>
          <w:highlight w:val="none"/>
        </w:rPr>
        <w:t>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原件扫描件</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应提供全本（证书封面、封底、空白页除外），应包括投标人名称、投标人其他相关信息、颁发机构名称、投标人信息变更情况等关键页在内。</w:t>
      </w:r>
    </w:p>
    <w:p w14:paraId="4864A8A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3.5.2</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财务状况表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应附经会计师事务所或审计机构审计的财务会计报表，包括资产负债表、现金流量表、利润表和财务情况说明书的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原件扫描件</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，具体年份要求见投标人须知前附表。投标人的成立时间少于投标人须知前附表规定年份的，应提供成立以来的财务状况表。</w:t>
      </w:r>
    </w:p>
    <w:p w14:paraId="7756AA32">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3.5.3</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近年完成的类似项目</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具体时间要求见投标人须知前附表。</w:t>
      </w:r>
    </w:p>
    <w:p w14:paraId="6CC214E4">
      <w:pPr>
        <w:pageBreakBefore w:val="0"/>
        <w:kinsoku/>
        <w:wordWrap w:val="0"/>
        <w:topLinePunct/>
        <w:bidi w:val="0"/>
        <w:spacing w:line="400" w:lineRule="atLeast"/>
        <w:ind w:firstLine="480" w:firstLineChars="200"/>
        <w:rPr>
          <w:rFonts w:hint="eastAsia" w:ascii="宋体" w:hAnsi="宋体" w:eastAsia="宋体" w:cs="宋体"/>
          <w:color w:val="auto"/>
          <w:sz w:val="24"/>
          <w:highlight w:val="none"/>
        </w:rPr>
      </w:pPr>
      <w:r>
        <w:rPr>
          <w:rFonts w:hint="eastAsia" w:cs="Times New Roman"/>
          <w:color w:val="auto"/>
          <w:sz w:val="24"/>
          <w:highlight w:val="none"/>
          <w:lang w:val="en-US" w:eastAsia="zh-CN"/>
        </w:rPr>
        <w:t>投标人应在</w:t>
      </w:r>
      <w:r>
        <w:rPr>
          <w:rFonts w:hint="eastAsia" w:ascii="宋体" w:hAnsi="宋体" w:eastAsia="宋体" w:cs="宋体"/>
          <w:color w:val="auto"/>
          <w:sz w:val="24"/>
          <w:highlight w:val="none"/>
        </w:rPr>
        <w:t>“辽宁省公共资源交易一张网电子化平台”</w:t>
      </w:r>
      <w:r>
        <w:rPr>
          <w:rFonts w:hint="eastAsia" w:ascii="宋体" w:hAnsi="宋体" w:cs="宋体"/>
          <w:color w:val="auto"/>
          <w:sz w:val="24"/>
          <w:highlight w:val="none"/>
          <w:lang w:eastAsia="zh-CN"/>
        </w:rPr>
        <w:t>主体信息库</w:t>
      </w:r>
      <w:r>
        <w:rPr>
          <w:rFonts w:hint="eastAsia" w:ascii="宋体" w:hAnsi="宋体" w:eastAsia="宋体" w:cs="宋体"/>
          <w:color w:val="auto"/>
          <w:sz w:val="24"/>
          <w:highlight w:val="none"/>
        </w:rPr>
        <w:t>中选择并进行超链接</w:t>
      </w:r>
      <w:r>
        <w:rPr>
          <w:rFonts w:hint="eastAsia" w:ascii="宋体" w:hAnsi="宋体" w:cs="宋体"/>
          <w:color w:val="auto"/>
          <w:sz w:val="24"/>
          <w:highlight w:val="none"/>
          <w:lang w:eastAsia="zh-CN"/>
        </w:rPr>
        <w:t>。</w:t>
      </w:r>
    </w:p>
    <w:p w14:paraId="24023A47">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投标人的信誉情况表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应附投标人在国家企业信用信息公示系统中未被列入严重违法失信企业名单、在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信用中国</w:t>
      </w:r>
      <w:r>
        <w:rPr>
          <w:rFonts w:hint="eastAsia" w:ascii="宋体" w:hAnsi="宋体" w:eastAsia="宋体" w:cs="宋体"/>
          <w:color w:val="auto"/>
          <w:sz w:val="24"/>
          <w:highlight w:val="none"/>
        </w:rPr>
        <w:t>”（或中国执行信息公开网）</w:t>
      </w:r>
      <w:r>
        <w:rPr>
          <w:rFonts w:hint="default" w:ascii="Times New Roman" w:hAnsi="Times New Roman" w:eastAsia="宋体" w:cs="Times New Roman"/>
          <w:color w:val="auto"/>
          <w:sz w:val="24"/>
          <w:highlight w:val="none"/>
        </w:rPr>
        <w:t>网站中未被列入失信被执行人名单的网页截图，以及</w:t>
      </w:r>
      <w:r>
        <w:rPr>
          <w:rFonts w:hint="default" w:ascii="Times New Roman" w:hAnsi="Times New Roman" w:cs="Times New Roman"/>
          <w:color w:val="auto"/>
          <w:sz w:val="24"/>
          <w:szCs w:val="24"/>
          <w:highlight w:val="none"/>
          <w:lang w:val="en-US" w:eastAsia="zh-CN"/>
        </w:rPr>
        <w:t>近三年内（以投标截止日期为截止日、往前推算3个年度）投标人单位、个人（指法定代表人、拟投入的项目经理）均无行贿犯罪行为的书面承诺</w:t>
      </w:r>
      <w:r>
        <w:rPr>
          <w:rFonts w:hint="eastAsia" w:cs="Times New Roman"/>
          <w:color w:val="auto"/>
          <w:sz w:val="24"/>
          <w:szCs w:val="24"/>
          <w:highlight w:val="none"/>
          <w:lang w:val="en-US" w:eastAsia="zh-CN"/>
        </w:rPr>
        <w:t>“原件扫描件”</w:t>
      </w:r>
      <w:r>
        <w:rPr>
          <w:rFonts w:hint="default" w:ascii="Times New Roman" w:hAnsi="Times New Roman" w:cs="Times New Roman"/>
          <w:color w:val="auto"/>
          <w:sz w:val="24"/>
          <w:szCs w:val="24"/>
          <w:highlight w:val="none"/>
          <w:lang w:val="en-US" w:eastAsia="zh-CN"/>
        </w:rPr>
        <w:t>（格式详见招标文件第九章）</w:t>
      </w:r>
      <w:r>
        <w:rPr>
          <w:rFonts w:hint="default" w:ascii="Times New Roman" w:hAnsi="Times New Roman" w:eastAsia="宋体" w:cs="Times New Roman"/>
          <w:color w:val="auto"/>
          <w:sz w:val="24"/>
          <w:highlight w:val="none"/>
        </w:rPr>
        <w:t>。</w:t>
      </w:r>
    </w:p>
    <w:p w14:paraId="6A23B367">
      <w:pPr>
        <w:pageBreakBefore w:val="0"/>
        <w:kinsoku/>
        <w:wordWrap w:val="0"/>
        <w:bidi w:val="0"/>
        <w:spacing w:line="400" w:lineRule="atLeast"/>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3.5.5</w:t>
      </w:r>
      <w:r>
        <w:rPr>
          <w:rFonts w:hint="eastAsia" w:ascii="宋体" w:hAnsi="宋体" w:eastAsia="宋体" w:cs="宋体"/>
          <w:b/>
          <w:bCs/>
          <w:color w:val="auto"/>
          <w:sz w:val="24"/>
          <w:highlight w:val="none"/>
        </w:rPr>
        <w:t>“</w:t>
      </w:r>
      <w:r>
        <w:rPr>
          <w:rFonts w:hint="default" w:ascii="Times New Roman" w:hAnsi="Times New Roman" w:eastAsia="宋体" w:cs="Times New Roman"/>
          <w:b/>
          <w:bCs/>
          <w:color w:val="auto"/>
          <w:sz w:val="24"/>
          <w:highlight w:val="none"/>
        </w:rPr>
        <w:t>拟委任的项目经理和项目总工资历表</w:t>
      </w:r>
      <w:r>
        <w:rPr>
          <w:rFonts w:hint="eastAsia" w:ascii="宋体" w:hAnsi="宋体" w:eastAsia="宋体" w:cs="宋体"/>
          <w:b/>
          <w:bCs/>
          <w:color w:val="auto"/>
          <w:sz w:val="24"/>
          <w:highlight w:val="none"/>
        </w:rPr>
        <w:t>”</w:t>
      </w:r>
      <w:r>
        <w:rPr>
          <w:rFonts w:hint="default" w:ascii="Times New Roman" w:hAnsi="Times New Roman" w:eastAsia="宋体" w:cs="Times New Roman"/>
          <w:b/>
          <w:bCs/>
          <w:color w:val="auto"/>
          <w:sz w:val="24"/>
          <w:highlight w:val="none"/>
        </w:rPr>
        <w:t>应附项目经理和项目总工的身份证、职称资格证书</w:t>
      </w:r>
      <w:r>
        <w:rPr>
          <w:rFonts w:hint="eastAsia" w:cs="Times New Roman"/>
          <w:b/>
          <w:bCs/>
          <w:color w:val="auto"/>
          <w:sz w:val="24"/>
          <w:highlight w:val="yellow"/>
          <w:lang w:eastAsia="zh-CN"/>
        </w:rPr>
        <w:t>、</w:t>
      </w:r>
      <w:r>
        <w:rPr>
          <w:rFonts w:hint="eastAsia" w:cs="Times New Roman"/>
          <w:b/>
          <w:bCs/>
          <w:color w:val="auto"/>
          <w:sz w:val="24"/>
          <w:highlight w:val="yellow"/>
          <w:lang w:val="en-US" w:eastAsia="zh-CN"/>
        </w:rPr>
        <w:t>业绩证明材料</w:t>
      </w:r>
      <w:r>
        <w:rPr>
          <w:rFonts w:hint="default" w:ascii="Times New Roman" w:hAnsi="Times New Roman" w:eastAsia="宋体" w:cs="Times New Roman"/>
          <w:b/>
          <w:bCs/>
          <w:color w:val="auto"/>
          <w:sz w:val="24"/>
          <w:highlight w:val="none"/>
        </w:rPr>
        <w:t>以及资格审查条件所要求的其他相关证书（如建造师注册证书、安全生产考核合格证书等）的</w:t>
      </w:r>
      <w:r>
        <w:rPr>
          <w:rFonts w:hint="eastAsia" w:cs="Times New Roman"/>
          <w:b/>
          <w:bCs/>
          <w:color w:val="auto"/>
          <w:sz w:val="24"/>
          <w:highlight w:val="none"/>
          <w:lang w:eastAsia="zh-CN"/>
        </w:rPr>
        <w:t>原件扫描件</w:t>
      </w:r>
      <w:r>
        <w:rPr>
          <w:rFonts w:hint="default" w:ascii="Times New Roman" w:hAnsi="Times New Roman" w:eastAsia="宋体" w:cs="Times New Roman"/>
          <w:b/>
          <w:bCs/>
          <w:color w:val="auto"/>
          <w:sz w:val="24"/>
          <w:highlight w:val="none"/>
        </w:rPr>
        <w:t>，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w:t>
      </w:r>
      <w:r>
        <w:rPr>
          <w:rFonts w:hint="eastAsia" w:cs="Times New Roman"/>
          <w:b/>
          <w:bCs/>
          <w:color w:val="auto"/>
          <w:sz w:val="24"/>
          <w:highlight w:val="none"/>
          <w:lang w:eastAsia="zh-CN"/>
        </w:rPr>
        <w:t>原件扫描件</w:t>
      </w:r>
      <w:r>
        <w:rPr>
          <w:rFonts w:hint="default" w:ascii="Times New Roman" w:hAnsi="Times New Roman" w:eastAsia="宋体" w:cs="Times New Roman"/>
          <w:b/>
          <w:bCs/>
          <w:color w:val="auto"/>
          <w:sz w:val="24"/>
          <w:highlight w:val="none"/>
        </w:rPr>
        <w:t>。</w:t>
      </w:r>
    </w:p>
    <w:p w14:paraId="7C9346FB">
      <w:pPr>
        <w:pageBreakBefore w:val="0"/>
        <w:kinsoku/>
        <w:wordWrap w:val="0"/>
        <w:topLinePunct/>
        <w:bidi w:val="0"/>
        <w:spacing w:line="400" w:lineRule="atLeast"/>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如项目经理或项目总工目前仍在其他项目上任职，则投标人应提供承诺上述人员能够从该项目撤离的书面</w:t>
      </w:r>
      <w:r>
        <w:rPr>
          <w:rFonts w:hint="eastAsia" w:cs="Times New Roman"/>
          <w:b/>
          <w:bCs/>
          <w:color w:val="auto"/>
          <w:sz w:val="24"/>
          <w:highlight w:val="none"/>
          <w:lang w:val="en-US" w:eastAsia="zh-CN"/>
        </w:rPr>
        <w:t>承诺</w:t>
      </w:r>
      <w:r>
        <w:rPr>
          <w:rFonts w:hint="default" w:ascii="Times New Roman" w:hAnsi="Times New Roman" w:eastAsia="宋体" w:cs="Times New Roman"/>
          <w:b/>
          <w:bCs/>
          <w:color w:val="auto"/>
          <w:sz w:val="24"/>
          <w:highlight w:val="none"/>
        </w:rPr>
        <w:t>。</w:t>
      </w:r>
    </w:p>
    <w:p w14:paraId="0F248A8F">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3.5.6</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拟委任的其他管理和技术人员汇总表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（如有）应填报满足投标人须知前附表附录6规定的其他人员的相关信息。</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拟委任的其他管理和技术人员资历表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（如有）中相关人员应附身份证、职称资格证书以及资格审查条件所要求的其他相关证书的</w:t>
      </w:r>
      <w:r>
        <w:rPr>
          <w:rFonts w:hint="eastAsia" w:cs="Times New Roman"/>
          <w:color w:val="auto"/>
          <w:sz w:val="24"/>
          <w:highlight w:val="none"/>
          <w:lang w:eastAsia="zh-CN"/>
        </w:rPr>
        <w:t>原件扫描件</w:t>
      </w:r>
      <w:r>
        <w:rPr>
          <w:rFonts w:hint="default" w:ascii="Times New Roman" w:hAnsi="Times New Roman" w:eastAsia="宋体" w:cs="Times New Roman"/>
          <w:color w:val="auto"/>
          <w:sz w:val="24"/>
          <w:highlight w:val="none"/>
        </w:rPr>
        <w:t>，相关业绩证明材料</w:t>
      </w:r>
      <w:r>
        <w:rPr>
          <w:rFonts w:hint="eastAsia" w:cs="Times New Roman"/>
          <w:color w:val="auto"/>
          <w:sz w:val="24"/>
          <w:highlight w:val="none"/>
          <w:lang w:eastAsia="zh-CN"/>
        </w:rPr>
        <w:t>原件扫描件</w:t>
      </w:r>
      <w:r>
        <w:rPr>
          <w:rFonts w:hint="default" w:ascii="Times New Roman" w:hAnsi="Times New Roman" w:eastAsia="宋体" w:cs="Times New Roman"/>
          <w:color w:val="auto"/>
          <w:sz w:val="24"/>
          <w:highlight w:val="none"/>
        </w:rPr>
        <w:t>，以及投标人所属社保机构出具的社保缴费证明或其他能够证明其参加社保的有效证明材料</w:t>
      </w:r>
      <w:r>
        <w:rPr>
          <w:rFonts w:hint="eastAsia" w:cs="Times New Roman"/>
          <w:color w:val="auto"/>
          <w:sz w:val="24"/>
          <w:highlight w:val="none"/>
          <w:lang w:eastAsia="zh-CN"/>
        </w:rPr>
        <w:t>原件扫描件</w:t>
      </w:r>
      <w:r>
        <w:rPr>
          <w:rFonts w:hint="default" w:ascii="Times New Roman" w:hAnsi="Times New Roman" w:eastAsia="宋体" w:cs="Times New Roman"/>
          <w:color w:val="auto"/>
          <w:sz w:val="24"/>
          <w:highlight w:val="none"/>
        </w:rPr>
        <w:t>。</w:t>
      </w:r>
    </w:p>
    <w:p w14:paraId="12D35623">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3.5.7</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拟投入本标段的主要施工机械表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拟配备本标段的主要材料试验、测量、质检仪器设备表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（如有）应填报满足投标人须知前附表附录7规定的机械设备和试验检测设备。</w:t>
      </w:r>
    </w:p>
    <w:p w14:paraId="5E08746A">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3.5.8投标人须知前附表规定接受联合体投标的，本章第3.5.1项至第3.5.7项规定的表格和资料应包括联合体各方相关情况。</w:t>
      </w:r>
    </w:p>
    <w:p w14:paraId="3A044053">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3.5.9除合同条款约定的特殊情形外，投标人在投标文件中填报的项目经理和项目总工不允许更换。</w:t>
      </w:r>
    </w:p>
    <w:p w14:paraId="03027EED">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3.5.10投标人应根据本单位实际情况及时完成相关信息的申报、录入和动态更新，并对相关信息的真实性、完整性和准确性负责。</w:t>
      </w:r>
    </w:p>
    <w:p w14:paraId="77552F20">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3.5.11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w:t>
      </w:r>
      <w:r>
        <w:rPr>
          <w:rFonts w:hint="default" w:ascii="Times New Roman" w:hAnsi="Times New Roman" w:eastAsia="宋体" w:cs="Times New Roman"/>
          <w:color w:val="auto"/>
          <w:sz w:val="24"/>
          <w:highlight w:val="none"/>
          <w:lang w:val="en-US"/>
        </w:rPr>
        <w:t>10</w:t>
      </w:r>
      <w:r>
        <w:rPr>
          <w:rFonts w:hint="default" w:ascii="Times New Roman" w:hAnsi="Times New Roman" w:eastAsia="宋体" w:cs="Times New Roman"/>
          <w:color w:val="auto"/>
          <w:sz w:val="24"/>
          <w:highlight w:val="none"/>
        </w:rPr>
        <w:t>％签约合同价的金额作为违约金。同时招标人将投标人上述弄虚作假行为上报省级交通运输主管部门，作为不良记录纳入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eastAsia="宋体" w:cs="Times New Roman"/>
          <w:color w:val="auto"/>
          <w:sz w:val="24"/>
          <w:highlight w:val="none"/>
        </w:rPr>
        <w:t>。</w:t>
      </w:r>
    </w:p>
    <w:p w14:paraId="6C499E81">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03" w:name="_Toc234832895"/>
      <w:bookmarkStart w:id="204" w:name="_Toc28562"/>
      <w:bookmarkStart w:id="205" w:name="_Toc28097"/>
      <w:r>
        <w:rPr>
          <w:rFonts w:hint="default" w:ascii="Times New Roman" w:hAnsi="Times New Roman" w:eastAsia="黑体" w:cs="Times New Roman"/>
          <w:b w:val="0"/>
          <w:color w:val="auto"/>
          <w:sz w:val="24"/>
          <w:szCs w:val="24"/>
          <w:highlight w:val="none"/>
        </w:rPr>
        <w:t>3.6备选投标方案</w:t>
      </w:r>
      <w:bookmarkEnd w:id="203"/>
      <w:bookmarkEnd w:id="204"/>
      <w:bookmarkEnd w:id="205"/>
    </w:p>
    <w:p w14:paraId="7A2D7A5C">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3.6.1除投标人须知前附表规定允许外，投标人不得递交备选投标方案，否则其投标将被否决。</w:t>
      </w:r>
    </w:p>
    <w:p w14:paraId="436D9CC1">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CCACC">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3.6.3投标人提供两个或两个以上投标报价，或在投标文件中提供一个报价，但同时提供两个或两个以上</w:t>
      </w:r>
      <w:bookmarkStart w:id="206" w:name="_Toc300834971"/>
      <w:bookmarkStart w:id="207" w:name="_Toc29902"/>
      <w:bookmarkStart w:id="208" w:name="_Toc247527575"/>
      <w:bookmarkStart w:id="209" w:name="_Toc152042326"/>
      <w:bookmarkStart w:id="210" w:name="_Toc247513974"/>
      <w:bookmarkStart w:id="211" w:name="_Toc384308232"/>
      <w:bookmarkStart w:id="212" w:name="_Toc352691495"/>
      <w:bookmarkStart w:id="213" w:name="_Toc152045550"/>
      <w:bookmarkStart w:id="214" w:name="_Toc144974518"/>
      <w:bookmarkStart w:id="215" w:name="_Toc369531538"/>
      <w:bookmarkStart w:id="216" w:name="_Toc361508607"/>
      <w:r>
        <w:rPr>
          <w:rFonts w:hint="default" w:ascii="Times New Roman" w:hAnsi="Times New Roman" w:eastAsia="宋体" w:cs="Times New Roman"/>
          <w:color w:val="auto"/>
          <w:sz w:val="24"/>
          <w:highlight w:val="none"/>
        </w:rPr>
        <w:t>施工组织设计的</w:t>
      </w:r>
      <w:bookmarkEnd w:id="206"/>
      <w:bookmarkEnd w:id="207"/>
      <w:bookmarkEnd w:id="208"/>
      <w:bookmarkEnd w:id="209"/>
      <w:bookmarkEnd w:id="210"/>
      <w:bookmarkEnd w:id="211"/>
      <w:bookmarkEnd w:id="212"/>
      <w:bookmarkEnd w:id="213"/>
      <w:bookmarkEnd w:id="214"/>
      <w:bookmarkEnd w:id="215"/>
      <w:bookmarkEnd w:id="216"/>
      <w:r>
        <w:rPr>
          <w:rFonts w:hint="default" w:ascii="Times New Roman" w:hAnsi="Times New Roman" w:eastAsia="宋体" w:cs="Times New Roman"/>
          <w:color w:val="auto"/>
          <w:sz w:val="24"/>
          <w:highlight w:val="none"/>
        </w:rPr>
        <w:t>，视为提供备选方案。</w:t>
      </w:r>
    </w:p>
    <w:p w14:paraId="19CEF2F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17" w:name="_Toc13945"/>
      <w:bookmarkStart w:id="218" w:name="_Toc234832896"/>
      <w:bookmarkStart w:id="219" w:name="_Toc10660"/>
      <w:r>
        <w:rPr>
          <w:rFonts w:hint="default" w:ascii="Times New Roman" w:hAnsi="Times New Roman" w:eastAsia="黑体" w:cs="Times New Roman"/>
          <w:b w:val="0"/>
          <w:color w:val="auto"/>
          <w:sz w:val="24"/>
          <w:szCs w:val="24"/>
          <w:highlight w:val="none"/>
        </w:rPr>
        <w:t>3.7投标文件的编制</w:t>
      </w:r>
      <w:bookmarkEnd w:id="217"/>
      <w:bookmarkEnd w:id="218"/>
      <w:bookmarkEnd w:id="219"/>
    </w:p>
    <w:p w14:paraId="4A56497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3.7.1投标文件应按第九章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投标文件格式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进行编写，如有必要，可以增加附页，作为投标文件的组成部分。其中，投标函附录在满足招标文件实质性要求的基础上，可以提出比招标文件要求更有利于招标人的承诺。</w:t>
      </w:r>
    </w:p>
    <w:p w14:paraId="67E1C52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3.7.2投标文件应对招标文件有关工期、投标有效期、质量要求、安全目标、技术标准和要求、招标范围等实质性内容作出响应。</w:t>
      </w:r>
    </w:p>
    <w:p w14:paraId="0F0DC07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3.7.3投标文件的制作应满足以下规定：</w:t>
      </w:r>
    </w:p>
    <w:p w14:paraId="56049F7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（1）投标文件由投标人使用</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自带的</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投标文件制作工具</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制作生成。</w:t>
      </w:r>
    </w:p>
    <w:p w14:paraId="1B78D44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（2）投标人在编制投标文件时应建立分级目录，并按照标签提示导入相关内容。</w:t>
      </w:r>
    </w:p>
    <w:p w14:paraId="5D57F1C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，应从</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主体信息库</w:t>
      </w:r>
      <w:r>
        <w:rPr>
          <w:rFonts w:hint="default" w:ascii="Times New Roman" w:hAnsi="Times New Roman" w:cs="Times New Roman"/>
          <w:color w:val="auto"/>
          <w:sz w:val="24"/>
          <w:szCs w:val="24"/>
          <w:highlight w:val="none"/>
        </w:rPr>
        <w:t>中选择并进行超链接，未标示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的证明资料均应直接制作生成。</w:t>
      </w:r>
    </w:p>
    <w:p w14:paraId="2C426F4F">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（4）投标文件中的已标价报价清单数据文件应与招标人提供的报价清单数据文件格式一致。</w:t>
      </w:r>
    </w:p>
    <w:p w14:paraId="69E58466">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（5）第</w:t>
      </w:r>
      <w:r>
        <w:rPr>
          <w:rFonts w:hint="default" w:ascii="Times New Roman" w:hAnsi="Times New Roman" w:cs="Times New Roman"/>
          <w:color w:val="auto"/>
          <w:sz w:val="24"/>
          <w:szCs w:val="24"/>
          <w:highlight w:val="none"/>
          <w:lang w:val="en-US" w:eastAsia="zh-CN"/>
        </w:rPr>
        <w:t>九</w:t>
      </w:r>
      <w:r>
        <w:rPr>
          <w:rFonts w:hint="default" w:ascii="Times New Roman" w:hAnsi="Times New Roman" w:cs="Times New Roman"/>
          <w:color w:val="auto"/>
          <w:sz w:val="24"/>
          <w:szCs w:val="24"/>
          <w:highlight w:val="none"/>
        </w:rPr>
        <w:t>章</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投标文件格式</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中要求盖单位章和（或）签字的地方，投标人均应使用CA数字证书加盖投标人的单位电子印章和（或）法定代表人</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其</w:t>
      </w:r>
      <w:r>
        <w:rPr>
          <w:rFonts w:hint="default" w:ascii="Times New Roman" w:hAnsi="Times New Roman" w:cs="Times New Roman"/>
          <w:color w:val="auto"/>
          <w:sz w:val="24"/>
          <w:szCs w:val="24"/>
          <w:highlight w:val="none"/>
          <w:lang w:val="en-US" w:eastAsia="zh-CN"/>
        </w:rPr>
        <w:t>委托代理人</w:t>
      </w:r>
      <w:r>
        <w:rPr>
          <w:rFonts w:hint="default" w:ascii="Times New Roman" w:hAnsi="Times New Roman" w:cs="Times New Roman"/>
          <w:color w:val="auto"/>
          <w:sz w:val="24"/>
          <w:szCs w:val="24"/>
          <w:highlight w:val="none"/>
        </w:rPr>
        <w:t>的个人电子印章或</w:t>
      </w:r>
      <w:r>
        <w:rPr>
          <w:rFonts w:hint="eastAsia" w:cs="Times New Roman"/>
          <w:color w:val="auto"/>
          <w:sz w:val="24"/>
          <w:szCs w:val="24"/>
          <w:highlight w:val="none"/>
          <w:lang w:eastAsia="zh-CN"/>
        </w:rPr>
        <w:t>电子签名</w:t>
      </w:r>
      <w:r>
        <w:rPr>
          <w:rFonts w:hint="default" w:ascii="Times New Roman" w:hAnsi="Times New Roman" w:cs="Times New Roman"/>
          <w:color w:val="auto"/>
          <w:sz w:val="24"/>
          <w:szCs w:val="24"/>
          <w:highlight w:val="none"/>
        </w:rPr>
        <w:t>。联合体投标的，投标文件由联合体牵头人按上述规定加盖联合体牵头人单位电子印章和（或）法定代表人</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其</w:t>
      </w:r>
      <w:r>
        <w:rPr>
          <w:rFonts w:hint="default" w:ascii="Times New Roman" w:hAnsi="Times New Roman" w:cs="Times New Roman"/>
          <w:color w:val="auto"/>
          <w:sz w:val="24"/>
          <w:szCs w:val="24"/>
          <w:highlight w:val="none"/>
          <w:lang w:val="en-US" w:eastAsia="zh-CN"/>
        </w:rPr>
        <w:t>委托代理人</w:t>
      </w:r>
      <w:r>
        <w:rPr>
          <w:rFonts w:hint="default" w:ascii="Times New Roman" w:hAnsi="Times New Roman" w:cs="Times New Roman"/>
          <w:color w:val="auto"/>
          <w:sz w:val="24"/>
          <w:szCs w:val="24"/>
          <w:highlight w:val="none"/>
        </w:rPr>
        <w:t>的个人电子印章或</w:t>
      </w:r>
      <w:r>
        <w:rPr>
          <w:rFonts w:hint="eastAsia" w:cs="Times New Roman"/>
          <w:color w:val="auto"/>
          <w:sz w:val="24"/>
          <w:szCs w:val="24"/>
          <w:highlight w:val="none"/>
          <w:lang w:eastAsia="zh-CN"/>
        </w:rPr>
        <w:t>电子签名</w:t>
      </w:r>
      <w:r>
        <w:rPr>
          <w:rFonts w:hint="default" w:ascii="Times New Roman" w:hAnsi="Times New Roman" w:cs="Times New Roman"/>
          <w:color w:val="auto"/>
          <w:sz w:val="24"/>
          <w:szCs w:val="24"/>
          <w:highlight w:val="none"/>
        </w:rPr>
        <w:t>。</w:t>
      </w:r>
    </w:p>
    <w:p w14:paraId="28CC0E55">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（6）投标文件制作完成后，投标人应使用CA数字证书对投标文件进行文件加密，形成加密的投标文件。</w:t>
      </w:r>
    </w:p>
    <w:p w14:paraId="6E94776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（7）投标文件制作的具体方法详见</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投标文件制作工具</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中的</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操作指南</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rPr>
        <w:t>。</w:t>
      </w:r>
    </w:p>
    <w:p w14:paraId="5A5B75BF">
      <w:pPr>
        <w:pageBreakBefore w:val="0"/>
        <w:kinsoku/>
        <w:wordWrap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3.7.4因投标人自身原因而导致投标文件无法导入</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电子开标、评标系统，该投标视为无效投标，投标人自行承担由此导致的全部责任</w:t>
      </w:r>
      <w:r>
        <w:rPr>
          <w:rFonts w:hint="default" w:ascii="Times New Roman" w:hAnsi="Times New Roman" w:cs="Times New Roman"/>
          <w:color w:val="auto"/>
          <w:sz w:val="24"/>
          <w:szCs w:val="24"/>
          <w:highlight w:val="none"/>
          <w:lang w:eastAsia="zh-CN"/>
        </w:rPr>
        <w:t>。</w:t>
      </w:r>
    </w:p>
    <w:p w14:paraId="633F04B2">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3.7.5</w:t>
      </w:r>
      <w:r>
        <w:rPr>
          <w:rFonts w:hint="default" w:ascii="Times New Roman" w:hAnsi="Times New Roman" w:cs="Times New Roman"/>
          <w:color w:val="auto"/>
          <w:sz w:val="24"/>
          <w:szCs w:val="24"/>
          <w:highlight w:val="none"/>
        </w:rPr>
        <w:t>投标文件上传的要求</w:t>
      </w:r>
      <w:r>
        <w:rPr>
          <w:rFonts w:hint="default" w:ascii="Times New Roman" w:hAnsi="Times New Roman" w:cs="Times New Roman"/>
          <w:color w:val="auto"/>
          <w:sz w:val="24"/>
          <w:szCs w:val="24"/>
          <w:highlight w:val="none"/>
          <w:lang w:val="en-US" w:eastAsia="zh-CN"/>
        </w:rPr>
        <w:t>：见投标人须知前附表。</w:t>
      </w:r>
    </w:p>
    <w:p w14:paraId="7FEDA83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cs="Times New Roman"/>
          <w:color w:val="auto"/>
          <w:sz w:val="24"/>
          <w:szCs w:val="24"/>
          <w:highlight w:val="none"/>
        </w:rPr>
        <w:t>3.7.</w:t>
      </w:r>
      <w:r>
        <w:rPr>
          <w:rFonts w:hint="default" w:ascii="Times New Roman" w:hAnsi="Times New Roman" w:cs="Times New Roman"/>
          <w:color w:val="auto"/>
          <w:sz w:val="24"/>
          <w:szCs w:val="24"/>
          <w:highlight w:val="none"/>
          <w:lang w:val="en-US" w:eastAsia="zh-CN"/>
        </w:rPr>
        <w:t>6投标文件其他要求</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见投标人须知前附表。</w:t>
      </w:r>
    </w:p>
    <w:p w14:paraId="7A8BB656">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20" w:name="_Toc17066"/>
      <w:bookmarkStart w:id="221" w:name="_Toc3604"/>
      <w:bookmarkStart w:id="222" w:name="_Toc234832897"/>
      <w:bookmarkStart w:id="223" w:name="_Toc15271"/>
      <w:bookmarkStart w:id="224" w:name="_Toc2947"/>
      <w:r>
        <w:rPr>
          <w:rFonts w:hint="default" w:ascii="黑体" w:hAnsi="黑体" w:eastAsia="黑体" w:cs="黑体"/>
          <w:b w:val="0"/>
          <w:bCs/>
          <w:i w:val="0"/>
          <w:iCs w:val="0"/>
          <w:color w:val="auto"/>
          <w:sz w:val="28"/>
          <w:szCs w:val="28"/>
          <w:highlight w:val="none"/>
          <w:lang w:val="en-US" w:eastAsia="zh-CN"/>
        </w:rPr>
        <w:t>4.投标</w:t>
      </w:r>
      <w:bookmarkEnd w:id="220"/>
      <w:bookmarkEnd w:id="221"/>
      <w:bookmarkEnd w:id="222"/>
      <w:bookmarkEnd w:id="223"/>
      <w:bookmarkEnd w:id="224"/>
      <w:r>
        <w:rPr>
          <w:rFonts w:hint="default" w:ascii="黑体" w:hAnsi="黑体" w:eastAsia="黑体" w:cs="黑体"/>
          <w:b w:val="0"/>
          <w:bCs/>
          <w:i w:val="0"/>
          <w:iCs w:val="0"/>
          <w:color w:val="auto"/>
          <w:sz w:val="28"/>
          <w:szCs w:val="28"/>
          <w:highlight w:val="none"/>
          <w:lang w:val="en-US" w:eastAsia="zh-CN"/>
        </w:rPr>
        <w:tab/>
      </w:r>
    </w:p>
    <w:p w14:paraId="6CD44FC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25" w:name="_Toc2664"/>
      <w:bookmarkStart w:id="226" w:name="_Toc26001"/>
      <w:bookmarkStart w:id="227" w:name="_Toc21870"/>
      <w:r>
        <w:rPr>
          <w:rFonts w:hint="default" w:ascii="Times New Roman" w:hAnsi="Times New Roman" w:eastAsia="黑体" w:cs="Times New Roman"/>
          <w:b w:val="0"/>
          <w:color w:val="auto"/>
          <w:sz w:val="24"/>
          <w:szCs w:val="24"/>
          <w:highlight w:val="none"/>
        </w:rPr>
        <w:t>4.1投标文件的密封和标记</w:t>
      </w:r>
      <w:bookmarkEnd w:id="225"/>
      <w:bookmarkEnd w:id="226"/>
      <w:bookmarkEnd w:id="227"/>
    </w:p>
    <w:p w14:paraId="1B11954D">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投标文件应按照本章第3.7.3项要求制作并加密，未按要求加密的投标文件，招标人（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）将拒绝接收并提示。</w:t>
      </w:r>
    </w:p>
    <w:p w14:paraId="2B44AD0F">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p>
    <w:p w14:paraId="2B75E028">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28" w:name="_Toc10211"/>
      <w:bookmarkStart w:id="229" w:name="_Toc26071"/>
      <w:bookmarkStart w:id="230" w:name="_Toc10897"/>
      <w:r>
        <w:rPr>
          <w:rFonts w:hint="default" w:ascii="Times New Roman" w:hAnsi="Times New Roman" w:eastAsia="黑体" w:cs="Times New Roman"/>
          <w:b w:val="0"/>
          <w:color w:val="auto"/>
          <w:sz w:val="24"/>
          <w:szCs w:val="24"/>
          <w:highlight w:val="none"/>
        </w:rPr>
        <w:t>4.2投标文件的递交</w:t>
      </w:r>
      <w:bookmarkEnd w:id="228"/>
      <w:bookmarkEnd w:id="229"/>
      <w:bookmarkEnd w:id="230"/>
    </w:p>
    <w:p w14:paraId="481A8B3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4.2.1投标人应在第一章</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招标公告</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规定的投标截止时间前，通过互联网使用CA数字证书登录</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）将拒绝接收。</w:t>
      </w:r>
    </w:p>
    <w:p w14:paraId="756A47C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4.2.2根据本章第4.1款的规定，投标人递交的投标文件，只要出现应当拒收的情形，其投标文件予以拒收。</w:t>
      </w:r>
    </w:p>
    <w:p w14:paraId="660ACC5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31" w:name="_Toc16651"/>
      <w:bookmarkStart w:id="232" w:name="_Toc31061"/>
      <w:bookmarkStart w:id="233" w:name="_Toc10369"/>
      <w:r>
        <w:rPr>
          <w:rFonts w:hint="default" w:ascii="Times New Roman" w:hAnsi="Times New Roman" w:eastAsia="黑体" w:cs="Times New Roman"/>
          <w:b w:val="0"/>
          <w:color w:val="auto"/>
          <w:sz w:val="24"/>
          <w:szCs w:val="24"/>
          <w:highlight w:val="none"/>
        </w:rPr>
        <w:t>4.3投标文件的修改与撤回</w:t>
      </w:r>
      <w:bookmarkEnd w:id="231"/>
      <w:bookmarkEnd w:id="232"/>
      <w:bookmarkEnd w:id="233"/>
    </w:p>
    <w:p w14:paraId="32DFE09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4.3.1在本章第4.2.1项规定的投标截止时间前，投标人可以修改或撤回已递交的投标文件。投标人对加密的投标文件进行撤回的，应在</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直接进行撤回操作；投标人对加密的投标文件进行修改的，应在投标截止时间前完成上传。</w:t>
      </w:r>
    </w:p>
    <w:p w14:paraId="0DA8CB4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4.3.2投标人修改投标文件的，应使用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投标文件制作工具</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制作成完整的投标文件，并按照本章第3条、第4条规定进行编制、加密和递交。对采用网上递交的加密的投标文件，以投标截止时间前最后完成上传的文件为准。</w:t>
      </w:r>
    </w:p>
    <w:p w14:paraId="28F115D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4.3.3投标人撤回投标文件的，招标人自收到投标人书面撤回通知之日起5日内退还已收取的投标保证金。</w:t>
      </w:r>
    </w:p>
    <w:p w14:paraId="2B0AC6BA">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34" w:name="_Toc31784"/>
      <w:bookmarkStart w:id="235" w:name="_Toc234832901"/>
      <w:bookmarkStart w:id="236" w:name="_Toc29100"/>
      <w:bookmarkStart w:id="237" w:name="_Toc19321"/>
      <w:bookmarkStart w:id="238" w:name="_Toc31196"/>
      <w:r>
        <w:rPr>
          <w:rFonts w:hint="default" w:ascii="黑体" w:hAnsi="黑体" w:eastAsia="黑体" w:cs="黑体"/>
          <w:b w:val="0"/>
          <w:bCs/>
          <w:i w:val="0"/>
          <w:iCs w:val="0"/>
          <w:color w:val="auto"/>
          <w:sz w:val="28"/>
          <w:szCs w:val="28"/>
          <w:highlight w:val="none"/>
          <w:lang w:val="en-US" w:eastAsia="zh-CN"/>
        </w:rPr>
        <w:t>5.开标</w:t>
      </w:r>
      <w:bookmarkEnd w:id="234"/>
      <w:bookmarkEnd w:id="235"/>
      <w:bookmarkEnd w:id="236"/>
      <w:bookmarkEnd w:id="237"/>
      <w:bookmarkEnd w:id="238"/>
    </w:p>
    <w:p w14:paraId="7B74B30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39" w:name="_Toc6841"/>
      <w:bookmarkStart w:id="240" w:name="_Toc22056"/>
      <w:bookmarkStart w:id="241" w:name="_Toc234832902"/>
      <w:r>
        <w:rPr>
          <w:rFonts w:hint="default" w:ascii="Times New Roman" w:hAnsi="Times New Roman" w:eastAsia="黑体" w:cs="Times New Roman"/>
          <w:b w:val="0"/>
          <w:color w:val="auto"/>
          <w:sz w:val="24"/>
          <w:szCs w:val="24"/>
          <w:highlight w:val="none"/>
        </w:rPr>
        <w:t>5.1开标时间和地点</w:t>
      </w:r>
      <w:bookmarkEnd w:id="239"/>
      <w:bookmarkEnd w:id="240"/>
    </w:p>
    <w:p w14:paraId="1D5D934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5.1.1招标人在投标人须知前附表规定的投标截止时间</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开标时间</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和地点在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辽宁省公共资源交易中心不见面开标大厅</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不见面开标大厅</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）上公开进行第一个信封（商务及技术文件）开标，所有投标人均应当准时在线参加开标。</w:t>
      </w:r>
    </w:p>
    <w:p w14:paraId="4579736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招标人还将在投标人须知前附表规定的时间和地点对投标文件第二个信封（报价文件）在</w:t>
      </w:r>
      <w:r>
        <w:rPr>
          <w:rFonts w:hint="eastAsia" w:ascii="宋体" w:hAnsi="宋体" w:eastAsia="宋体" w:cs="宋体"/>
          <w:color w:val="auto"/>
          <w:sz w:val="24"/>
          <w:highlight w:val="none"/>
        </w:rPr>
        <w:t>“不见面开标大厅”</w:t>
      </w:r>
      <w:r>
        <w:rPr>
          <w:rFonts w:hint="default" w:ascii="Times New Roman" w:hAnsi="Times New Roman" w:eastAsia="宋体" w:cs="Times New Roman"/>
          <w:color w:val="auto"/>
          <w:sz w:val="24"/>
          <w:highlight w:val="none"/>
        </w:rPr>
        <w:t>进行公开开标，并邀请所有投标人代表准时参加。</w:t>
      </w:r>
    </w:p>
    <w:p w14:paraId="7213C2E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投标人代表应按时参加第一个信封（商务及技术文件）及第二个信封（报价文件）</w:t>
      </w:r>
      <w:r>
        <w:rPr>
          <w:rFonts w:hint="eastAsia" w:cs="Times New Roman"/>
          <w:color w:val="auto"/>
          <w:sz w:val="24"/>
          <w:highlight w:val="none"/>
          <w:lang w:val="en-US" w:eastAsia="zh-CN"/>
        </w:rPr>
        <w:t>线上</w:t>
      </w:r>
      <w:r>
        <w:rPr>
          <w:rFonts w:hint="default" w:ascii="Times New Roman" w:hAnsi="Times New Roman" w:eastAsia="宋体" w:cs="Times New Roman"/>
          <w:color w:val="auto"/>
          <w:sz w:val="24"/>
          <w:highlight w:val="none"/>
        </w:rPr>
        <w:t>开标会。</w:t>
      </w:r>
    </w:p>
    <w:p w14:paraId="3D078FD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5.1.2投标人应当在能够保证设施设备可靠、互联网畅通的任意地点，通过互联网在线参加开标，并实时在线关注招标人的操作情况。</w:t>
      </w:r>
    </w:p>
    <w:p w14:paraId="411DD11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p>
    <w:bookmarkEnd w:id="241"/>
    <w:p w14:paraId="693FAC08">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42" w:name="_Toc17800"/>
      <w:bookmarkStart w:id="243" w:name="_Toc29801"/>
      <w:r>
        <w:rPr>
          <w:rFonts w:hint="default" w:ascii="Times New Roman" w:hAnsi="Times New Roman" w:eastAsia="黑体" w:cs="Times New Roman"/>
          <w:b w:val="0"/>
          <w:color w:val="auto"/>
          <w:sz w:val="24"/>
          <w:szCs w:val="24"/>
          <w:highlight w:val="none"/>
        </w:rPr>
        <w:t>5.2开标程序</w:t>
      </w:r>
      <w:bookmarkEnd w:id="242"/>
      <w:bookmarkEnd w:id="243"/>
    </w:p>
    <w:p w14:paraId="3F6F7E0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5.2.1主持人按下列程序对投标文件第一个信封（商务及技术文件）进行开标：</w:t>
      </w:r>
    </w:p>
    <w:p w14:paraId="2FBFD4B3">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（1）宣布开标纪律；</w:t>
      </w:r>
    </w:p>
    <w:p w14:paraId="47CA14B5">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（2）公布在投标截止时间前递交</w:t>
      </w:r>
      <w:r>
        <w:rPr>
          <w:rFonts w:hint="default" w:ascii="Times New Roman" w:hAnsi="Times New Roman" w:cs="Times New Roman"/>
          <w:color w:val="auto"/>
          <w:sz w:val="24"/>
          <w:szCs w:val="24"/>
          <w:highlight w:val="none"/>
          <w:lang w:val="en-US" w:eastAsia="zh-CN"/>
        </w:rPr>
        <w:t>至</w:t>
      </w:r>
      <w:r>
        <w:rPr>
          <w:rFonts w:hint="eastAsia" w:ascii="宋体" w:hAnsi="宋体" w:eastAsia="宋体" w:cs="宋体"/>
          <w:color w:val="auto"/>
          <w:sz w:val="24"/>
          <w:szCs w:val="24"/>
          <w:highlight w:val="none"/>
          <w:lang w:val="en-US" w:eastAsia="zh-CN"/>
        </w:rPr>
        <w:t>“</w:t>
      </w:r>
      <w:r>
        <w:rPr>
          <w:rFonts w:hint="eastAsia" w:cs="Times New Roman"/>
          <w:color w:val="auto"/>
          <w:sz w:val="24"/>
          <w:szCs w:val="24"/>
          <w:highlight w:val="none"/>
          <w:lang w:val="en-US" w:eastAsia="zh-CN"/>
        </w:rPr>
        <w:t>电子交易平台</w:t>
      </w:r>
      <w:r>
        <w:rPr>
          <w:rFonts w:hint="eastAsia" w:ascii="宋体" w:hAnsi="宋体" w:eastAsia="宋体" w:cs="宋体"/>
          <w:color w:val="auto"/>
          <w:sz w:val="24"/>
          <w:szCs w:val="24"/>
          <w:highlight w:val="none"/>
          <w:lang w:val="en-US" w:eastAsia="zh-CN"/>
        </w:rPr>
        <w:t>”</w:t>
      </w:r>
      <w:r>
        <w:rPr>
          <w:rFonts w:hint="default" w:ascii="Times New Roman" w:hAnsi="Times New Roman" w:cs="Times New Roman"/>
          <w:color w:val="auto"/>
          <w:sz w:val="24"/>
          <w:szCs w:val="24"/>
          <w:highlight w:val="none"/>
        </w:rPr>
        <w:t>投标文件的投标人数量；</w:t>
      </w:r>
    </w:p>
    <w:p w14:paraId="49A2CA5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（3）投标人代表</w:t>
      </w:r>
      <w:r>
        <w:rPr>
          <w:rFonts w:hint="default" w:ascii="Times New Roman" w:hAnsi="Times New Roman" w:cs="Times New Roman"/>
          <w:color w:val="auto"/>
          <w:sz w:val="24"/>
          <w:highlight w:val="none"/>
        </w:rPr>
        <w:t>通过互联网使用CA数字证书登录</w:t>
      </w:r>
      <w:r>
        <w:rPr>
          <w:rFonts w:hint="eastAsia" w:ascii="宋体" w:hAnsi="宋体" w:eastAsia="宋体" w:cs="宋体"/>
          <w:color w:val="auto"/>
          <w:sz w:val="24"/>
          <w:highlight w:val="none"/>
        </w:rPr>
        <w:t>“不见面开标大厅”</w:t>
      </w:r>
      <w:r>
        <w:rPr>
          <w:rFonts w:hint="default" w:ascii="Times New Roman" w:hAnsi="Times New Roman" w:cs="Times New Roman"/>
          <w:color w:val="auto"/>
          <w:sz w:val="24"/>
          <w:highlight w:val="none"/>
          <w:lang w:val="en-US" w:eastAsia="zh-CN"/>
        </w:rPr>
        <w:t>在投标人须知前附表规定的时间内</w:t>
      </w:r>
      <w:r>
        <w:rPr>
          <w:rFonts w:hint="default" w:ascii="Times New Roman" w:hAnsi="Times New Roman" w:cs="Times New Roman"/>
          <w:color w:val="auto"/>
          <w:sz w:val="24"/>
          <w:szCs w:val="24"/>
          <w:highlight w:val="none"/>
        </w:rPr>
        <w:t>解密加密的投标文件</w:t>
      </w:r>
      <w:r>
        <w:rPr>
          <w:rFonts w:hint="default" w:ascii="Times New Roman" w:hAnsi="Times New Roman" w:cs="Times New Roman"/>
          <w:color w:val="auto"/>
          <w:sz w:val="24"/>
          <w:szCs w:val="24"/>
          <w:highlight w:val="none"/>
          <w:lang w:val="en-US" w:eastAsia="zh-CN"/>
        </w:rPr>
        <w:t>第一个信封</w:t>
      </w:r>
      <w:r>
        <w:rPr>
          <w:rFonts w:hint="default" w:ascii="Times New Roman" w:hAnsi="Times New Roman" w:cs="Times New Roman"/>
          <w:color w:val="auto"/>
          <w:sz w:val="24"/>
          <w:szCs w:val="24"/>
          <w:highlight w:val="none"/>
        </w:rPr>
        <w:t>（商务及技术文件）；</w:t>
      </w:r>
    </w:p>
    <w:p w14:paraId="6116D79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）招标人对未成功解密的投标文件进行退回并按本章第5.3款进行补救处理；</w:t>
      </w:r>
    </w:p>
    <w:p w14:paraId="5F88648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）导入并读取所有解密成功的投标文件第一个信封（商务及技术文件）的内容；</w:t>
      </w:r>
    </w:p>
    <w:p w14:paraId="72DBC58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）公布标段名称、投标人名称的递交情况、</w:t>
      </w:r>
      <w:r>
        <w:rPr>
          <w:rFonts w:hint="eastAsia" w:cs="Times New Roman"/>
          <w:color w:val="auto"/>
          <w:sz w:val="24"/>
          <w:szCs w:val="24"/>
          <w:highlight w:val="none"/>
          <w:lang w:val="en-US" w:eastAsia="zh-CN"/>
        </w:rPr>
        <w:t>工期</w:t>
      </w:r>
      <w:r>
        <w:rPr>
          <w:rFonts w:hint="default" w:ascii="Times New Roman" w:hAnsi="Times New Roman" w:cs="Times New Roman"/>
          <w:color w:val="auto"/>
          <w:sz w:val="24"/>
          <w:szCs w:val="24"/>
          <w:highlight w:val="none"/>
        </w:rPr>
        <w:t>及其他内容，并记录在案；</w:t>
      </w:r>
    </w:p>
    <w:p w14:paraId="0EA06818">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）投标人代表对开标记录进行确认。投标人代表对开标结果有异议的应在</w:t>
      </w:r>
      <w:r>
        <w:rPr>
          <w:rFonts w:hint="default" w:ascii="Times New Roman" w:hAnsi="Times New Roman" w:cs="Times New Roman"/>
          <w:color w:val="auto"/>
          <w:sz w:val="24"/>
          <w:szCs w:val="24"/>
          <w:highlight w:val="none"/>
          <w:lang w:val="en-US" w:eastAsia="zh-CN"/>
        </w:rPr>
        <w:t>规定时间内通过</w:t>
      </w:r>
      <w:r>
        <w:rPr>
          <w:rFonts w:hint="eastAsia" w:ascii="宋体" w:hAnsi="宋体" w:eastAsia="宋体" w:cs="宋体"/>
          <w:color w:val="auto"/>
          <w:sz w:val="24"/>
          <w:szCs w:val="24"/>
          <w:highlight w:val="none"/>
          <w:lang w:val="en-US" w:eastAsia="zh-CN"/>
        </w:rPr>
        <w:t>“</w:t>
      </w:r>
      <w:r>
        <w:rPr>
          <w:rFonts w:hint="eastAsia" w:cs="Times New Roman"/>
          <w:color w:val="auto"/>
          <w:sz w:val="24"/>
          <w:szCs w:val="24"/>
          <w:highlight w:val="none"/>
          <w:lang w:val="en-US" w:eastAsia="zh-CN"/>
        </w:rPr>
        <w:t>不见面开标大厅</w:t>
      </w:r>
      <w:r>
        <w:rPr>
          <w:rFonts w:hint="eastAsia" w:ascii="宋体" w:hAnsi="宋体" w:eastAsia="宋体" w:cs="宋体"/>
          <w:color w:val="auto"/>
          <w:sz w:val="24"/>
          <w:szCs w:val="24"/>
          <w:highlight w:val="none"/>
          <w:lang w:val="en-US" w:eastAsia="zh-CN"/>
        </w:rPr>
        <w:t>”</w:t>
      </w:r>
      <w:r>
        <w:rPr>
          <w:rFonts w:hint="default" w:ascii="Times New Roman" w:hAnsi="Times New Roman" w:cs="Times New Roman"/>
          <w:color w:val="auto"/>
          <w:sz w:val="24"/>
          <w:szCs w:val="24"/>
          <w:highlight w:val="none"/>
        </w:rPr>
        <w:t>提出，否则视为无异议；</w:t>
      </w:r>
    </w:p>
    <w:p w14:paraId="5DED77B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）开标结束</w:t>
      </w:r>
      <w:r>
        <w:rPr>
          <w:rFonts w:hint="default" w:ascii="Times New Roman" w:hAnsi="Times New Roman" w:eastAsia="宋体" w:cs="Times New Roman"/>
          <w:color w:val="auto"/>
          <w:sz w:val="24"/>
          <w:highlight w:val="none"/>
        </w:rPr>
        <w:t>。</w:t>
      </w:r>
    </w:p>
    <w:p w14:paraId="6B78A4FC">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5.2.2投标文件第二个信封（报价文件）在投标文件第一个信封（商务及技术文件）完成评审前，</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的开标评标系统将不进行读取。</w:t>
      </w:r>
    </w:p>
    <w:p w14:paraId="1C007CF0">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5.2.3招标人将按照本章第5.1款规定的时间和地点对投标文件第二个信封（报价文件）进行开标。主持人按下列程序进行开标：</w:t>
      </w:r>
    </w:p>
    <w:p w14:paraId="0348E554">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（1）宣布开标纪律；</w:t>
      </w:r>
    </w:p>
    <w:p w14:paraId="43ABC41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（2）当众宣布通过投标文件第一个信封（商务及技术文件）评审的投标人名单；</w:t>
      </w:r>
    </w:p>
    <w:p w14:paraId="4F912AD9">
      <w:pPr>
        <w:pageBreakBefore w:val="0"/>
        <w:kinsoku/>
        <w:wordWrap w:val="0"/>
        <w:bidi w:val="0"/>
        <w:spacing w:line="400" w:lineRule="exact"/>
        <w:ind w:firstLine="480" w:firstLineChars="200"/>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eastAsia" w:ascii="宋体" w:hAnsi="宋体" w:cs="宋体"/>
          <w:color w:val="auto"/>
          <w:sz w:val="24"/>
          <w:szCs w:val="24"/>
          <w:highlight w:val="none"/>
          <w:lang w:val="en-US" w:eastAsia="zh-CN"/>
        </w:rPr>
        <w:t>对</w:t>
      </w:r>
      <w:r>
        <w:rPr>
          <w:rFonts w:hint="default" w:ascii="Times New Roman" w:hAnsi="Times New Roman" w:cs="Times New Roman"/>
          <w:color w:val="auto"/>
          <w:sz w:val="24"/>
          <w:szCs w:val="24"/>
          <w:highlight w:val="none"/>
        </w:rPr>
        <w:t>通过投标文件第一个信封（商务及技术文件）评审的投标人</w:t>
      </w:r>
      <w:r>
        <w:rPr>
          <w:rFonts w:hint="eastAsia" w:cs="Times New Roman"/>
          <w:color w:val="auto"/>
          <w:sz w:val="24"/>
          <w:szCs w:val="24"/>
          <w:highlight w:val="none"/>
          <w:lang w:val="en-US" w:eastAsia="zh-CN"/>
        </w:rPr>
        <w:t>进行随机分配投标标段</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（如有）</w:t>
      </w:r>
    </w:p>
    <w:p w14:paraId="0D2C8663">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）通过投标文件第一个信封（商务及技术文件）评审的投标人代表</w:t>
      </w:r>
      <w:r>
        <w:rPr>
          <w:rFonts w:hint="default" w:ascii="Times New Roman" w:hAnsi="Times New Roman" w:cs="Times New Roman"/>
          <w:color w:val="auto"/>
          <w:sz w:val="24"/>
          <w:highlight w:val="none"/>
        </w:rPr>
        <w:t>通过互联网使用CA数字证书登录</w:t>
      </w:r>
      <w:r>
        <w:rPr>
          <w:rFonts w:hint="eastAsia" w:ascii="宋体" w:hAnsi="宋体" w:eastAsia="宋体" w:cs="宋体"/>
          <w:color w:val="auto"/>
          <w:sz w:val="24"/>
          <w:highlight w:val="none"/>
        </w:rPr>
        <w:t>“不见面开标大厅”</w:t>
      </w:r>
      <w:r>
        <w:rPr>
          <w:rFonts w:hint="default" w:ascii="Times New Roman" w:hAnsi="Times New Roman" w:cs="Times New Roman"/>
          <w:color w:val="auto"/>
          <w:sz w:val="24"/>
          <w:highlight w:val="none"/>
          <w:lang w:val="en-US" w:eastAsia="zh-CN"/>
        </w:rPr>
        <w:t>在投标人须知前附表规定的时间内</w:t>
      </w:r>
      <w:r>
        <w:rPr>
          <w:rFonts w:hint="default" w:ascii="Times New Roman" w:hAnsi="Times New Roman" w:cs="Times New Roman"/>
          <w:color w:val="auto"/>
          <w:sz w:val="24"/>
          <w:szCs w:val="24"/>
          <w:highlight w:val="none"/>
        </w:rPr>
        <w:t>解密加密的投标文件第二个信封（报价文件）；</w:t>
      </w:r>
    </w:p>
    <w:p w14:paraId="6BB5D4F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）招标人对未成功解密的投标文件进行退回并按本章第5.3款进行补救处理；</w:t>
      </w:r>
    </w:p>
    <w:p w14:paraId="628F9D8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）导入并读取所有通过投标文件第一个信封（商务及技术文件）评审的解密成功的投标文件第二个信封（报价文件）的内容；</w:t>
      </w:r>
    </w:p>
    <w:p w14:paraId="673BE138">
      <w:pPr>
        <w:pageBreakBefore w:val="0"/>
        <w:kinsoku/>
        <w:wordWrap w:val="0"/>
        <w:bidi w:val="0"/>
        <w:spacing w:line="400" w:lineRule="exact"/>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）公布标段名称、投标人名称、投标报价及其他内容，并记录在案；</w:t>
      </w:r>
    </w:p>
    <w:p w14:paraId="4FCABDB8">
      <w:pPr>
        <w:pageBreakBefore w:val="0"/>
        <w:kinsoku/>
        <w:wordWrap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随机抽取评标基准价计算方法、评标基准价系数</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（如有）</w:t>
      </w:r>
    </w:p>
    <w:p w14:paraId="511A688D">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9</w:t>
      </w:r>
      <w:r>
        <w:rPr>
          <w:rFonts w:hint="default" w:ascii="Times New Roman" w:hAnsi="Times New Roman" w:cs="Times New Roman"/>
          <w:color w:val="auto"/>
          <w:sz w:val="24"/>
          <w:szCs w:val="24"/>
          <w:highlight w:val="none"/>
        </w:rPr>
        <w:t>）投标人代表对开标记录进行确认。投标人代表对开标结果有异议的应在</w:t>
      </w:r>
      <w:r>
        <w:rPr>
          <w:rFonts w:hint="default" w:ascii="Times New Roman" w:hAnsi="Times New Roman" w:cs="Times New Roman"/>
          <w:color w:val="auto"/>
          <w:sz w:val="24"/>
          <w:szCs w:val="24"/>
          <w:highlight w:val="none"/>
          <w:lang w:val="en-US" w:eastAsia="zh-CN"/>
        </w:rPr>
        <w:t>规定时间内通过</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不见面开标大厅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提出，否则视为无异议；</w:t>
      </w:r>
    </w:p>
    <w:p w14:paraId="31BE2DB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）开标结束。</w:t>
      </w:r>
    </w:p>
    <w:p w14:paraId="1340FC7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5.2.4若采用合理低价法或综合评分法，在投标文件第二个信封（报价文件）开标现场，招标人将按第三章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规定的原则计算并宣布评标基准价。若招标人发现投标文件出现以下任一情况，其投标报价将不再参加评标基准价的计算：</w:t>
      </w:r>
    </w:p>
    <w:p w14:paraId="4870595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（1）未按要求在投标函上填写投标总价；</w:t>
      </w:r>
    </w:p>
    <w:p w14:paraId="5715EC3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（2）投标报价超出招标人公布的最高投标限价（如有）</w:t>
      </w:r>
      <w:r>
        <w:rPr>
          <w:rFonts w:hint="eastAsia" w:cs="Times New Roman"/>
          <w:color w:val="auto"/>
          <w:sz w:val="24"/>
          <w:highlight w:val="none"/>
          <w:lang w:eastAsia="zh-CN"/>
        </w:rPr>
        <w:t>，或低于招标人公布的最高投标限价（如有）的G</w:t>
      </w:r>
      <w:r>
        <w:rPr>
          <w:rStyle w:val="48"/>
          <w:rFonts w:hint="eastAsia" w:cs="Times New Roman"/>
          <w:color w:val="auto"/>
          <w:sz w:val="24"/>
          <w:highlight w:val="none"/>
          <w:lang w:eastAsia="zh-CN"/>
        </w:rPr>
        <w:footnoteReference w:id="22"/>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5FA7747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（3）无法确定投标报价具体数值；</w:t>
      </w:r>
    </w:p>
    <w:p w14:paraId="68C2AAA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（4）投标函上填写的标段号与上传的对应项目标段号不一致（如分标段）。</w:t>
      </w:r>
    </w:p>
    <w:p w14:paraId="5BA406EF">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如果投标人认为某</w:t>
      </w:r>
      <w:r>
        <w:rPr>
          <w:rFonts w:hint="eastAsia" w:cs="Times New Roman"/>
          <w:color w:val="auto"/>
          <w:sz w:val="24"/>
          <w:szCs w:val="24"/>
          <w:highlight w:val="none"/>
          <w:lang w:val="en-US" w:eastAsia="zh-CN"/>
        </w:rPr>
        <w:t>一</w:t>
      </w:r>
      <w:r>
        <w:rPr>
          <w:rFonts w:hint="eastAsia" w:cs="Times New Roman"/>
          <w:color w:val="auto"/>
          <w:sz w:val="24"/>
          <w:szCs w:val="24"/>
          <w:highlight w:val="none"/>
          <w:lang w:eastAsia="zh-CN"/>
        </w:rPr>
        <w:t>标段</w:t>
      </w:r>
      <w:r>
        <w:rPr>
          <w:rFonts w:hint="default" w:ascii="Times New Roman" w:hAnsi="Times New Roman" w:cs="Times New Roman"/>
          <w:color w:val="auto"/>
          <w:sz w:val="24"/>
          <w:szCs w:val="24"/>
          <w:highlight w:val="none"/>
        </w:rPr>
        <w:t>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2285CA8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5.2.5在投标文件第一个信封（商务及技术文件）或第二个信封（报价文件）开标过程中，若</w:t>
      </w:r>
      <w:r>
        <w:rPr>
          <w:rFonts w:hint="default" w:ascii="Times New Roman" w:hAnsi="Times New Roman" w:cs="Times New Roman"/>
          <w:color w:val="auto"/>
          <w:sz w:val="24"/>
          <w:szCs w:val="24"/>
          <w:highlight w:val="none"/>
          <w:lang w:val="en-US" w:eastAsia="zh-CN"/>
        </w:rPr>
        <w:t>开标现场</w:t>
      </w:r>
      <w:r>
        <w:rPr>
          <w:rFonts w:hint="eastAsia" w:cs="Times New Roman"/>
          <w:color w:val="auto"/>
          <w:sz w:val="24"/>
          <w:szCs w:val="24"/>
          <w:highlight w:val="none"/>
          <w:lang w:val="en-US" w:eastAsia="zh-CN"/>
        </w:rPr>
        <w:t>公布</w:t>
      </w:r>
      <w:r>
        <w:rPr>
          <w:rFonts w:hint="default" w:ascii="Times New Roman" w:hAnsi="Times New Roman" w:cs="Times New Roman"/>
          <w:color w:val="auto"/>
          <w:sz w:val="24"/>
          <w:szCs w:val="24"/>
          <w:highlight w:val="none"/>
        </w:rPr>
        <w:t>的内容与投标文件不符，投标人有权在开标现场提出疑问，经招标人当场核查确认之后，可重新</w:t>
      </w:r>
      <w:r>
        <w:rPr>
          <w:rFonts w:hint="eastAsia" w:cs="Times New Roman"/>
          <w:color w:val="auto"/>
          <w:sz w:val="24"/>
          <w:szCs w:val="24"/>
          <w:highlight w:val="none"/>
          <w:lang w:val="en-US" w:eastAsia="zh-CN"/>
        </w:rPr>
        <w:t>公布</w:t>
      </w:r>
      <w:r>
        <w:rPr>
          <w:rFonts w:hint="default" w:ascii="Times New Roman" w:hAnsi="Times New Roman" w:cs="Times New Roman"/>
          <w:color w:val="auto"/>
          <w:sz w:val="24"/>
          <w:szCs w:val="24"/>
          <w:highlight w:val="none"/>
        </w:rPr>
        <w:t>其</w:t>
      </w:r>
      <w:r>
        <w:rPr>
          <w:rFonts w:hint="eastAsia" w:cs="Times New Roman"/>
          <w:color w:val="auto"/>
          <w:sz w:val="24"/>
          <w:szCs w:val="24"/>
          <w:highlight w:val="none"/>
          <w:lang w:val="en-US" w:eastAsia="zh-CN"/>
        </w:rPr>
        <w:t>内容</w:t>
      </w:r>
      <w:r>
        <w:rPr>
          <w:rFonts w:hint="default" w:ascii="Times New Roman" w:hAnsi="Times New Roman" w:cs="Times New Roman"/>
          <w:color w:val="auto"/>
          <w:sz w:val="24"/>
          <w:szCs w:val="24"/>
          <w:highlight w:val="none"/>
        </w:rPr>
        <w:t>。若投标人现场未提出疑问，则认为投标人已确认</w:t>
      </w:r>
      <w:r>
        <w:rPr>
          <w:rFonts w:hint="default" w:ascii="Times New Roman" w:hAnsi="Times New Roman" w:cs="Times New Roman"/>
          <w:color w:val="auto"/>
          <w:sz w:val="24"/>
          <w:szCs w:val="24"/>
          <w:highlight w:val="none"/>
          <w:lang w:val="en-US" w:eastAsia="zh-CN"/>
        </w:rPr>
        <w:t>开标现场</w:t>
      </w:r>
      <w:r>
        <w:rPr>
          <w:rFonts w:hint="eastAsia" w:cs="Times New Roman"/>
          <w:color w:val="auto"/>
          <w:sz w:val="24"/>
          <w:szCs w:val="24"/>
          <w:highlight w:val="none"/>
          <w:lang w:val="en-US" w:eastAsia="zh-CN"/>
        </w:rPr>
        <w:t>公布</w:t>
      </w:r>
      <w:r>
        <w:rPr>
          <w:rFonts w:hint="default" w:ascii="Times New Roman" w:hAnsi="Times New Roman" w:cs="Times New Roman"/>
          <w:color w:val="auto"/>
          <w:sz w:val="24"/>
          <w:szCs w:val="24"/>
          <w:highlight w:val="none"/>
        </w:rPr>
        <w:t>的内容。</w:t>
      </w:r>
    </w:p>
    <w:p w14:paraId="7030CC3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44" w:name="_Toc24866"/>
      <w:bookmarkStart w:id="245" w:name="_Toc27278"/>
      <w:r>
        <w:rPr>
          <w:rFonts w:hint="default" w:ascii="Times New Roman" w:hAnsi="Times New Roman" w:eastAsia="黑体" w:cs="Times New Roman"/>
          <w:b w:val="0"/>
          <w:color w:val="auto"/>
          <w:sz w:val="24"/>
          <w:szCs w:val="24"/>
          <w:highlight w:val="none"/>
        </w:rPr>
        <w:t>5.3开标补救措施</w:t>
      </w:r>
      <w:bookmarkEnd w:id="244"/>
      <w:bookmarkEnd w:id="245"/>
    </w:p>
    <w:p w14:paraId="6BFD00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5.3.1开标过程中因本章第5.3.2项、第5.3.3项所列原因，导致系统无法正常运行，将按投标人须知前附表的规定采取补救措施。</w:t>
      </w:r>
    </w:p>
    <w:p w14:paraId="730641A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5.3.2因</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系统故障导致投标人无法正常上传加密的投标文件，投标人应打印并递交</w:t>
      </w:r>
      <w:r>
        <w:rPr>
          <w:rFonts w:hint="eastAsia" w:cs="Times New Roman"/>
          <w:color w:val="auto"/>
          <w:sz w:val="24"/>
          <w:highlight w:val="none"/>
          <w:lang w:eastAsia="zh-CN"/>
        </w:rPr>
        <w:t>电子交易平台</w:t>
      </w:r>
      <w:r>
        <w:rPr>
          <w:rFonts w:hint="default" w:ascii="Times New Roman" w:hAnsi="Times New Roman" w:eastAsia="宋体" w:cs="Times New Roman"/>
          <w:color w:val="auto"/>
          <w:sz w:val="24"/>
          <w:highlight w:val="none"/>
        </w:rPr>
        <w:t>自动生成的上传失败的异常记录单。</w:t>
      </w:r>
    </w:p>
    <w:p w14:paraId="1752AB8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5.3.3当出现以下情况时，应对未开标的中止电子开标，并在恢复正常后及时安排时间开标：</w:t>
      </w:r>
    </w:p>
    <w:p w14:paraId="45901D4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（1）系统服务器发生故障，无法访问或无法使用系统；</w:t>
      </w:r>
    </w:p>
    <w:p w14:paraId="548EB93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（2）系统的软件或数据库出现错误，不能进行正常操作；</w:t>
      </w:r>
    </w:p>
    <w:p w14:paraId="2A75CF0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（3）系统发现有安全漏洞，有潜在的泄密危险；</w:t>
      </w:r>
    </w:p>
    <w:p w14:paraId="63A4EF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（4）出现断电事故且短时间内无法恢复供电；</w:t>
      </w:r>
    </w:p>
    <w:p w14:paraId="2B8A820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（5）其他无法保证招投标过程正常进行的情形。</w:t>
      </w:r>
    </w:p>
    <w:p w14:paraId="7ADD0C7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5.3.4采取补救措施时，必须对原有资料及信息作出妥善保密处理。</w:t>
      </w:r>
    </w:p>
    <w:p w14:paraId="67937B85">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46" w:name="_Toc20631"/>
      <w:bookmarkStart w:id="247" w:name="_Toc3488"/>
      <w:r>
        <w:rPr>
          <w:rFonts w:hint="default" w:ascii="Times New Roman" w:hAnsi="Times New Roman" w:eastAsia="黑体" w:cs="Times New Roman"/>
          <w:b w:val="0"/>
          <w:color w:val="auto"/>
          <w:sz w:val="24"/>
          <w:szCs w:val="24"/>
          <w:highlight w:val="none"/>
        </w:rPr>
        <w:t>5.4开标异议</w:t>
      </w:r>
      <w:bookmarkEnd w:id="246"/>
      <w:bookmarkEnd w:id="247"/>
    </w:p>
    <w:p w14:paraId="19A6849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cs="Times New Roman"/>
          <w:color w:val="auto"/>
          <w:sz w:val="24"/>
          <w:szCs w:val="24"/>
          <w:highlight w:val="none"/>
        </w:rPr>
        <w:t>投标人对开标有异议的，应在开标现场</w:t>
      </w:r>
      <w:r>
        <w:rPr>
          <w:rFonts w:hint="default" w:ascii="Times New Roman" w:hAnsi="Times New Roman" w:cs="Times New Roman"/>
          <w:color w:val="auto"/>
          <w:sz w:val="24"/>
          <w:szCs w:val="24"/>
          <w:highlight w:val="none"/>
          <w:lang w:val="en-US" w:eastAsia="zh-CN"/>
        </w:rPr>
        <w:t>通过</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不见面开标大厅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提出，招标人当场作出答复，并制作记录</w:t>
      </w:r>
      <w:r>
        <w:rPr>
          <w:rFonts w:hint="default" w:ascii="Times New Roman" w:hAnsi="Times New Roman" w:eastAsia="宋体" w:cs="Times New Roman"/>
          <w:color w:val="auto"/>
          <w:sz w:val="24"/>
          <w:highlight w:val="none"/>
        </w:rPr>
        <w:t>。</w:t>
      </w:r>
    </w:p>
    <w:p w14:paraId="33022C4E">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48" w:name="_Toc31944"/>
      <w:bookmarkStart w:id="249" w:name="_Toc17337"/>
      <w:bookmarkStart w:id="250" w:name="_Toc32026"/>
      <w:bookmarkStart w:id="251" w:name="_Toc26520"/>
      <w:bookmarkStart w:id="252" w:name="_Toc234832906"/>
      <w:r>
        <w:rPr>
          <w:rFonts w:hint="default" w:ascii="黑体" w:hAnsi="黑体" w:eastAsia="黑体" w:cs="黑体"/>
          <w:b w:val="0"/>
          <w:bCs/>
          <w:i w:val="0"/>
          <w:iCs w:val="0"/>
          <w:color w:val="auto"/>
          <w:sz w:val="28"/>
          <w:szCs w:val="28"/>
          <w:highlight w:val="none"/>
          <w:lang w:val="en-US" w:eastAsia="zh-CN"/>
        </w:rPr>
        <w:t>6.评标</w:t>
      </w:r>
      <w:bookmarkEnd w:id="248"/>
      <w:bookmarkEnd w:id="249"/>
      <w:bookmarkEnd w:id="250"/>
      <w:bookmarkEnd w:id="251"/>
      <w:bookmarkEnd w:id="252"/>
    </w:p>
    <w:p w14:paraId="5F71556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53" w:name="_Toc475"/>
      <w:bookmarkStart w:id="254" w:name="_Toc21787"/>
      <w:bookmarkStart w:id="255" w:name="_Toc234832907"/>
      <w:r>
        <w:rPr>
          <w:rFonts w:hint="default" w:ascii="Times New Roman" w:hAnsi="Times New Roman" w:eastAsia="黑体" w:cs="Times New Roman"/>
          <w:b w:val="0"/>
          <w:color w:val="auto"/>
          <w:sz w:val="24"/>
          <w:szCs w:val="24"/>
          <w:highlight w:val="none"/>
        </w:rPr>
        <w:t>6.1评标委员会</w:t>
      </w:r>
      <w:bookmarkEnd w:id="253"/>
      <w:bookmarkEnd w:id="254"/>
      <w:bookmarkEnd w:id="255"/>
    </w:p>
    <w:p w14:paraId="4C00044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6.1.1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75DB219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6.1.2评标委员会成员有下列情形之一的，应主动提出回避：</w:t>
      </w:r>
    </w:p>
    <w:p w14:paraId="2594A68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（1）为负责招标项目监督管理的交通运输主管部门的工作人员；</w:t>
      </w:r>
    </w:p>
    <w:p w14:paraId="2D318A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（2）与投标人法定代表人或其委托代理人有近亲属关系；</w:t>
      </w:r>
    </w:p>
    <w:p w14:paraId="32B15FC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（3）为投标人的工作人员或退休人员；</w:t>
      </w:r>
    </w:p>
    <w:p w14:paraId="206C88A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（4）与投标人有其他利害关系，可能影响评标活动公正性；</w:t>
      </w:r>
    </w:p>
    <w:p w14:paraId="179C62A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（5）在与招标投标有关的活动中有过违法违规行为、曾受过行政处罚或刑事处罚。</w:t>
      </w:r>
    </w:p>
    <w:p w14:paraId="12C30C9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招标人及其子公司、招标人下属单位、招标人的上级主管部门或者控股公司、招标代理机构的工作人员或者退休人员不得以专家身份参与本单位招标或者招标代理项目的评标。</w:t>
      </w:r>
    </w:p>
    <w:p w14:paraId="107561E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16355EA6">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56" w:name="_Toc234832908"/>
      <w:bookmarkStart w:id="257" w:name="_Toc2946"/>
      <w:bookmarkStart w:id="258" w:name="_Toc9194"/>
      <w:r>
        <w:rPr>
          <w:rFonts w:hint="default" w:ascii="Times New Roman" w:hAnsi="Times New Roman" w:eastAsia="黑体" w:cs="Times New Roman"/>
          <w:b w:val="0"/>
          <w:color w:val="auto"/>
          <w:sz w:val="24"/>
          <w:szCs w:val="24"/>
          <w:highlight w:val="none"/>
        </w:rPr>
        <w:t>6.2评标原则</w:t>
      </w:r>
      <w:bookmarkEnd w:id="256"/>
      <w:bookmarkEnd w:id="257"/>
      <w:bookmarkEnd w:id="258"/>
    </w:p>
    <w:p w14:paraId="1D6E8F5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评标活动遵循公平、公正、科学和择优的原则。</w:t>
      </w:r>
    </w:p>
    <w:p w14:paraId="18F777D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59" w:name="_Toc32567"/>
      <w:bookmarkStart w:id="260" w:name="_Toc22506"/>
      <w:bookmarkStart w:id="261" w:name="_Toc234832909"/>
      <w:r>
        <w:rPr>
          <w:rFonts w:hint="default" w:ascii="Times New Roman" w:hAnsi="Times New Roman" w:eastAsia="黑体" w:cs="Times New Roman"/>
          <w:b w:val="0"/>
          <w:color w:val="auto"/>
          <w:sz w:val="24"/>
          <w:szCs w:val="24"/>
          <w:highlight w:val="none"/>
        </w:rPr>
        <w:t>6.3评标</w:t>
      </w:r>
      <w:bookmarkEnd w:id="259"/>
      <w:bookmarkEnd w:id="260"/>
      <w:bookmarkEnd w:id="261"/>
    </w:p>
    <w:p w14:paraId="34BD896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6.3.1评标委员会按照第三章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规定的方法、评审因素、标准和程序对投标文件进行评审。第三章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没有规定的方法、评审因素和标准，不作为评标依据。</w:t>
      </w:r>
    </w:p>
    <w:p w14:paraId="45DC759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6.3.2评标及补救措施</w:t>
      </w:r>
    </w:p>
    <w:p w14:paraId="6F80C8B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2F7325A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评标完成后，评标委员会应当向招标人提交书面评标报告和中标候选人名单。评标委员会推荐中标</w:t>
      </w:r>
      <w:bookmarkStart w:id="262" w:name="_Toc247527583"/>
      <w:bookmarkStart w:id="263" w:name="_Toc369531546"/>
      <w:bookmarkStart w:id="264" w:name="_Toc352691502"/>
      <w:bookmarkStart w:id="265" w:name="_Toc152042334"/>
      <w:bookmarkStart w:id="266" w:name="_Toc384308240"/>
      <w:bookmarkStart w:id="267" w:name="_Toc361508615"/>
      <w:bookmarkStart w:id="268" w:name="_Toc300834979"/>
      <w:bookmarkStart w:id="269" w:name="_Toc144974526"/>
      <w:bookmarkStart w:id="270" w:name="_Toc12259"/>
      <w:bookmarkStart w:id="271" w:name="_Toc247513982"/>
      <w:bookmarkStart w:id="272" w:name="_Toc152045558"/>
      <w:r>
        <w:rPr>
          <w:rFonts w:hint="default" w:ascii="Times New Roman" w:hAnsi="Times New Roman" w:cs="Times New Roman"/>
          <w:color w:val="auto"/>
          <w:sz w:val="24"/>
          <w:szCs w:val="24"/>
          <w:highlight w:val="none"/>
        </w:rPr>
        <w:t>候选人的人数见投标人须知前附</w:t>
      </w:r>
      <w:bookmarkEnd w:id="262"/>
      <w:bookmarkEnd w:id="263"/>
      <w:bookmarkEnd w:id="264"/>
      <w:bookmarkEnd w:id="265"/>
      <w:bookmarkEnd w:id="266"/>
      <w:bookmarkEnd w:id="267"/>
      <w:bookmarkEnd w:id="268"/>
      <w:bookmarkEnd w:id="269"/>
      <w:bookmarkEnd w:id="270"/>
      <w:bookmarkEnd w:id="271"/>
      <w:bookmarkEnd w:id="272"/>
      <w:r>
        <w:rPr>
          <w:rFonts w:hint="default" w:ascii="Times New Roman" w:hAnsi="Times New Roman" w:cs="Times New Roman"/>
          <w:color w:val="auto"/>
          <w:sz w:val="24"/>
          <w:szCs w:val="24"/>
          <w:highlight w:val="none"/>
        </w:rPr>
        <w:t>表</w:t>
      </w:r>
      <w:r>
        <w:rPr>
          <w:rFonts w:hint="default" w:ascii="Times New Roman" w:hAnsi="Times New Roman" w:eastAsia="宋体" w:cs="Times New Roman"/>
          <w:color w:val="auto"/>
          <w:sz w:val="24"/>
          <w:highlight w:val="none"/>
        </w:rPr>
        <w:t>。</w:t>
      </w:r>
    </w:p>
    <w:p w14:paraId="774980C6">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73" w:name="_Toc29075"/>
      <w:bookmarkStart w:id="274" w:name="_Toc234832910"/>
      <w:bookmarkStart w:id="275" w:name="_Toc8692"/>
      <w:bookmarkStart w:id="276" w:name="_Toc5930"/>
      <w:bookmarkStart w:id="277" w:name="_Toc5813"/>
      <w:r>
        <w:rPr>
          <w:rFonts w:hint="default" w:ascii="黑体" w:hAnsi="黑体" w:eastAsia="黑体" w:cs="黑体"/>
          <w:b w:val="0"/>
          <w:bCs/>
          <w:i w:val="0"/>
          <w:iCs w:val="0"/>
          <w:color w:val="auto"/>
          <w:sz w:val="28"/>
          <w:szCs w:val="28"/>
          <w:highlight w:val="none"/>
          <w:lang w:val="en-US" w:eastAsia="zh-CN"/>
        </w:rPr>
        <w:t>7.合同授予</w:t>
      </w:r>
      <w:bookmarkEnd w:id="273"/>
      <w:bookmarkEnd w:id="274"/>
      <w:bookmarkEnd w:id="275"/>
      <w:bookmarkEnd w:id="276"/>
      <w:bookmarkEnd w:id="277"/>
    </w:p>
    <w:p w14:paraId="6CF6A91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78" w:name="_Toc6153"/>
      <w:bookmarkStart w:id="279" w:name="_Toc29612"/>
      <w:bookmarkStart w:id="280" w:name="_Toc234832911"/>
      <w:r>
        <w:rPr>
          <w:rFonts w:hint="default" w:ascii="Times New Roman" w:hAnsi="Times New Roman" w:eastAsia="黑体" w:cs="Times New Roman"/>
          <w:b w:val="0"/>
          <w:color w:val="auto"/>
          <w:sz w:val="24"/>
          <w:szCs w:val="24"/>
          <w:highlight w:val="none"/>
        </w:rPr>
        <w:t>7.1中标候选人公示</w:t>
      </w:r>
      <w:bookmarkEnd w:id="278"/>
      <w:bookmarkEnd w:id="279"/>
    </w:p>
    <w:p w14:paraId="2566147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招标人在收到评标报告之日起3日内，按照投标人须知前附表规定的公示媒介和期限公示中标候选人，公示期不得少于3日，公示内容包括：</w:t>
      </w:r>
    </w:p>
    <w:p w14:paraId="5871E62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（1）中标候选人排序、名称、投标报价，对工程质量要求、安全目标和工期的响应情况；</w:t>
      </w:r>
    </w:p>
    <w:p w14:paraId="708C09A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（2）中标候选人在投标文件中承诺的项目经理和项目总工姓名、个人业绩、相关证书名称和编号；</w:t>
      </w:r>
    </w:p>
    <w:p w14:paraId="43442AB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（3）中标候选人在投标文件中填报的项目业绩；</w:t>
      </w:r>
    </w:p>
    <w:p w14:paraId="1A2373D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（4）被否决投标的投标人名称、否决依据和原因；</w:t>
      </w:r>
    </w:p>
    <w:p w14:paraId="514994C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（5）提出异议的渠道和方式；</w:t>
      </w:r>
    </w:p>
    <w:p w14:paraId="2CB9833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（6）投标人须知前附表规定公示的其他内容。</w:t>
      </w:r>
    </w:p>
    <w:p w14:paraId="77FC8A79">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1" w:name="_Toc28677"/>
      <w:bookmarkStart w:id="282" w:name="_Toc9333"/>
      <w:r>
        <w:rPr>
          <w:rFonts w:hint="default" w:ascii="Times New Roman" w:hAnsi="Times New Roman" w:eastAsia="黑体" w:cs="Times New Roman"/>
          <w:b w:val="0"/>
          <w:color w:val="auto"/>
          <w:sz w:val="24"/>
          <w:szCs w:val="24"/>
          <w:highlight w:val="none"/>
        </w:rPr>
        <w:t>7.2评标结果异议</w:t>
      </w:r>
      <w:bookmarkEnd w:id="281"/>
      <w:bookmarkEnd w:id="282"/>
    </w:p>
    <w:p w14:paraId="566BDEB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投标人或其他利害关系人对依法必须进行招标的项目的评标结果有异议的，应在中标候选人公示期间提出。招标人将在收到异议之日起3日内作出答复；作出答复前，将暂停招标投标活动。</w:t>
      </w:r>
    </w:p>
    <w:p w14:paraId="2C7B638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3" w:name="_Toc2167"/>
      <w:bookmarkStart w:id="284" w:name="_Toc9159"/>
      <w:r>
        <w:rPr>
          <w:rFonts w:hint="default" w:ascii="Times New Roman" w:hAnsi="Times New Roman" w:eastAsia="黑体" w:cs="Times New Roman"/>
          <w:b w:val="0"/>
          <w:color w:val="auto"/>
          <w:sz w:val="24"/>
          <w:szCs w:val="24"/>
          <w:highlight w:val="none"/>
        </w:rPr>
        <w:t>7.3中标候选人履约能力审查</w:t>
      </w:r>
      <w:bookmarkEnd w:id="283"/>
      <w:bookmarkEnd w:id="284"/>
    </w:p>
    <w:p w14:paraId="3B0085C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A18C59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5" w:name="_Toc766"/>
      <w:bookmarkStart w:id="286" w:name="_Toc5726"/>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4</w:t>
      </w:r>
      <w:r>
        <w:rPr>
          <w:rFonts w:hint="default" w:ascii="Times New Roman" w:hAnsi="Times New Roman" w:eastAsia="黑体" w:cs="Times New Roman"/>
          <w:b w:val="0"/>
          <w:color w:val="auto"/>
          <w:sz w:val="24"/>
          <w:szCs w:val="24"/>
          <w:highlight w:val="none"/>
        </w:rPr>
        <w:t>定标</w:t>
      </w:r>
      <w:bookmarkEnd w:id="280"/>
      <w:bookmarkEnd w:id="285"/>
      <w:bookmarkEnd w:id="286"/>
    </w:p>
    <w:p w14:paraId="19E82D2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7.4.1</w:t>
      </w:r>
      <w:r>
        <w:rPr>
          <w:rFonts w:hint="default" w:ascii="Times New Roman" w:hAnsi="Times New Roman" w:eastAsia="宋体" w:cs="Times New Roman"/>
          <w:color w:val="auto"/>
          <w:sz w:val="24"/>
          <w:highlight w:val="none"/>
        </w:rPr>
        <w:t>按照投标人须知前附表的规定，招标人或招标人授权的评标委员会依法确定中标人。</w:t>
      </w:r>
    </w:p>
    <w:p w14:paraId="56F41F6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7.4.2招标人依据投标须知前附表的</w:t>
      </w:r>
      <w:r>
        <w:rPr>
          <w:rFonts w:hint="eastAsia" w:cs="Times New Roman"/>
          <w:color w:val="auto"/>
          <w:sz w:val="24"/>
          <w:szCs w:val="24"/>
          <w:highlight w:val="none"/>
          <w:lang w:val="en-US" w:eastAsia="zh-CN"/>
        </w:rPr>
        <w:t>定标规则</w:t>
      </w:r>
      <w:r>
        <w:rPr>
          <w:rFonts w:hint="eastAsia" w:cs="Times New Roman"/>
          <w:color w:val="auto"/>
          <w:sz w:val="24"/>
          <w:highlight w:val="none"/>
          <w:lang w:val="en-US" w:eastAsia="zh-CN"/>
        </w:rPr>
        <w:t>，在评标委员会推荐的中标候选人中确定中标人</w:t>
      </w:r>
      <w:r>
        <w:rPr>
          <w:rFonts w:hint="default" w:ascii="Times New Roman" w:hAnsi="Times New Roman" w:eastAsia="宋体" w:cs="Times New Roman"/>
          <w:color w:val="auto"/>
          <w:sz w:val="24"/>
          <w:highlight w:val="none"/>
        </w:rPr>
        <w:t>。</w:t>
      </w:r>
    </w:p>
    <w:p w14:paraId="13F5349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7.4.3招标人授权评标委员会按前附表7.4.2项规定的规则直接定标。</w:t>
      </w:r>
    </w:p>
    <w:p w14:paraId="4C974A8A">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7" w:name="_Toc10213"/>
      <w:bookmarkStart w:id="288" w:name="_Toc11520"/>
      <w:bookmarkStart w:id="289" w:name="_Toc234832912"/>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5中标通知</w:t>
      </w:r>
      <w:bookmarkEnd w:id="287"/>
      <w:bookmarkEnd w:id="288"/>
      <w:bookmarkEnd w:id="289"/>
    </w:p>
    <w:p w14:paraId="6875AD1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在本章第3.3款规定的投标有效期内，招标人应通过</w:t>
      </w:r>
      <w:r>
        <w:rPr>
          <w:rFonts w:hint="default" w:ascii="Times New Roman" w:hAnsi="Times New Roman" w:cs="Times New Roman"/>
          <w:color w:val="auto"/>
          <w:sz w:val="24"/>
          <w:highlight w:val="none"/>
          <w:lang w:val="en-US" w:eastAsia="zh-CN"/>
        </w:rPr>
        <w:t>投标人须知前附表规定的</w:t>
      </w:r>
      <w:r>
        <w:rPr>
          <w:rFonts w:hint="default" w:ascii="Times New Roman" w:hAnsi="Times New Roman" w:cs="Times New Roman"/>
          <w:color w:val="auto"/>
          <w:sz w:val="24"/>
          <w:highlight w:val="none"/>
        </w:rPr>
        <w:t>形式向中标人发出中标通知书，同时将中标结果通知未中标的投标人</w:t>
      </w:r>
      <w:r>
        <w:rPr>
          <w:rFonts w:hint="default" w:ascii="Times New Roman" w:hAnsi="Times New Roman" w:eastAsia="宋体" w:cs="Times New Roman"/>
          <w:color w:val="auto"/>
          <w:sz w:val="24"/>
          <w:highlight w:val="none"/>
        </w:rPr>
        <w:t>。</w:t>
      </w:r>
    </w:p>
    <w:p w14:paraId="1F737C9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90" w:name="_Toc16073"/>
      <w:bookmarkStart w:id="291" w:name="_Toc2116"/>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6</w:t>
      </w:r>
      <w:r>
        <w:rPr>
          <w:rFonts w:hint="default" w:ascii="Times New Roman" w:hAnsi="Times New Roman" w:eastAsia="黑体" w:cs="Times New Roman"/>
          <w:b w:val="0"/>
          <w:color w:val="auto"/>
          <w:sz w:val="24"/>
          <w:szCs w:val="24"/>
          <w:highlight w:val="none"/>
        </w:rPr>
        <w:t>中标</w:t>
      </w:r>
      <w:r>
        <w:rPr>
          <w:rFonts w:hint="default" w:ascii="Times New Roman" w:hAnsi="Times New Roman" w:eastAsia="黑体" w:cs="Times New Roman"/>
          <w:b w:val="0"/>
          <w:color w:val="auto"/>
          <w:sz w:val="24"/>
          <w:szCs w:val="24"/>
          <w:highlight w:val="none"/>
          <w:lang w:eastAsia="zh-CN"/>
        </w:rPr>
        <w:t>结果</w:t>
      </w:r>
      <w:r>
        <w:rPr>
          <w:rFonts w:hint="default" w:ascii="Times New Roman" w:hAnsi="Times New Roman" w:eastAsia="黑体" w:cs="Times New Roman"/>
          <w:b w:val="0"/>
          <w:color w:val="auto"/>
          <w:sz w:val="24"/>
          <w:szCs w:val="24"/>
          <w:highlight w:val="none"/>
        </w:rPr>
        <w:t>公告</w:t>
      </w:r>
      <w:bookmarkEnd w:id="290"/>
      <w:bookmarkEnd w:id="291"/>
    </w:p>
    <w:p w14:paraId="466CEA6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招标人在确定中标人之日起3日内，按照投标人须知前附表规定的公告媒介和期限公告中标结果，公告期不得少于3日。公告内容包括中标人名称、中标价。</w:t>
      </w:r>
    </w:p>
    <w:p w14:paraId="2FFDF375">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92" w:name="_Toc234832913"/>
      <w:bookmarkStart w:id="293" w:name="_Toc24614"/>
      <w:bookmarkStart w:id="294" w:name="_Toc12850"/>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7</w:t>
      </w:r>
      <w:r>
        <w:rPr>
          <w:rFonts w:hint="default" w:ascii="Times New Roman" w:hAnsi="Times New Roman" w:eastAsia="黑体" w:cs="Times New Roman"/>
          <w:b w:val="0"/>
          <w:color w:val="auto"/>
          <w:sz w:val="24"/>
          <w:szCs w:val="24"/>
          <w:highlight w:val="none"/>
        </w:rPr>
        <w:t>履约</w:t>
      </w:r>
      <w:bookmarkEnd w:id="292"/>
      <w:r>
        <w:rPr>
          <w:rFonts w:hint="default" w:ascii="Times New Roman" w:hAnsi="Times New Roman" w:eastAsia="黑体" w:cs="Times New Roman"/>
          <w:b w:val="0"/>
          <w:color w:val="auto"/>
          <w:sz w:val="24"/>
          <w:szCs w:val="24"/>
          <w:highlight w:val="none"/>
          <w:lang w:eastAsia="zh-CN"/>
        </w:rPr>
        <w:t>保证金</w:t>
      </w:r>
      <w:bookmarkEnd w:id="293"/>
      <w:bookmarkEnd w:id="294"/>
    </w:p>
    <w:p w14:paraId="6ED44CA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7.7.1在签订合同前中标人应按投标人须知前附表规定的形式、金额和招标文件第四章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合同条款及格式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规定的或事先经过招标人书面认可的履约保证金格式向招标人提交履约保证金。除投标人须知前附表另有规定外，履约保证金为签约合同价的</w:t>
      </w:r>
      <w:r>
        <w:rPr>
          <w:rFonts w:hint="default" w:ascii="Times New Roman" w:hAnsi="Times New Roman" w:eastAsia="宋体" w:cs="Times New Roman"/>
          <w:color w:val="auto"/>
          <w:sz w:val="24"/>
          <w:highlight w:val="none"/>
          <w:lang w:val="en-US"/>
        </w:rPr>
        <w:t>10</w:t>
      </w:r>
      <w:r>
        <w:rPr>
          <w:rFonts w:hint="default" w:ascii="Times New Roman" w:hAnsi="Times New Roman" w:eastAsia="宋体" w:cs="Times New Roman"/>
          <w:color w:val="auto"/>
          <w:sz w:val="24"/>
          <w:highlight w:val="none"/>
        </w:rPr>
        <w:t>%。联合体中标的，其履约保证金以联合体各方或联合体中牵头人的名义提交。</w:t>
      </w:r>
    </w:p>
    <w:p w14:paraId="778DB7A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采用银行保函时，应由符合投标人须知前附表规定级别的银行开具，所需的费用由中标人承担，中标人应保证银行保函有效。</w:t>
      </w:r>
    </w:p>
    <w:p w14:paraId="5848F40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7.7.2中标人不能按本章第7.7.1项要求提交履约保证金的，视为放弃中标，其投标保证金不予退还，给招标人造成的损失超过投标保证金数额的，中标人还应对超过部分予以赔偿。</w:t>
      </w:r>
    </w:p>
    <w:p w14:paraId="1D2A494B">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95" w:name="_Toc24076"/>
      <w:bookmarkStart w:id="296" w:name="_Toc234832914"/>
      <w:bookmarkStart w:id="297" w:name="_Toc12449"/>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签订合同</w:t>
      </w:r>
      <w:bookmarkEnd w:id="295"/>
      <w:bookmarkEnd w:id="296"/>
      <w:bookmarkEnd w:id="297"/>
    </w:p>
    <w:p w14:paraId="0C34A3B5">
      <w:pPr>
        <w:pageBreakBefore w:val="0"/>
        <w:kinsoku/>
        <w:wordWrap w:val="0"/>
        <w:bidi w:val="0"/>
        <w:spacing w:line="400" w:lineRule="atLeast"/>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7.8.1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7A546B6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7.8.2发出中标通知书后，招标人无正当理由拒签合同，或在签订合同时向中标人提出附加条件的，招标人向中标人退还投标保证金；给中标人造成损失的，还应赔偿损失。</w:t>
      </w:r>
    </w:p>
    <w:p w14:paraId="7DF5A0B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7.8.</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联合体中标的，联合体各方应共同与招标人签订合同，就中标项目向招标人承担连带责任。</w:t>
      </w:r>
    </w:p>
    <w:p w14:paraId="6B5BBDA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7.8.</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招标人和中标人在签订合同协议书的同时，须按照本招标文件规定的格式和要求签订廉政合同及安全生产合同，明确双方在廉政建设和安全生产方面的权利和义务以及应承担的违约责任。</w:t>
      </w:r>
    </w:p>
    <w:p w14:paraId="026287E5">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98" w:name="_Toc14316"/>
      <w:bookmarkStart w:id="299" w:name="_Toc17560"/>
      <w:bookmarkStart w:id="300" w:name="_Toc11626"/>
      <w:bookmarkStart w:id="301" w:name="_Toc234832918"/>
      <w:bookmarkStart w:id="302" w:name="_Toc21562"/>
      <w:r>
        <w:rPr>
          <w:rFonts w:hint="default" w:ascii="黑体" w:hAnsi="黑体" w:eastAsia="黑体" w:cs="黑体"/>
          <w:b w:val="0"/>
          <w:bCs/>
          <w:i w:val="0"/>
          <w:iCs w:val="0"/>
          <w:color w:val="auto"/>
          <w:sz w:val="28"/>
          <w:szCs w:val="28"/>
          <w:highlight w:val="none"/>
          <w:lang w:val="en-US" w:eastAsia="zh-CN"/>
        </w:rPr>
        <w:t>8.纪律和监督</w:t>
      </w:r>
      <w:bookmarkEnd w:id="298"/>
      <w:bookmarkEnd w:id="299"/>
      <w:bookmarkEnd w:id="300"/>
      <w:bookmarkEnd w:id="301"/>
      <w:bookmarkEnd w:id="302"/>
    </w:p>
    <w:p w14:paraId="1EACA5D4">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03" w:name="_Toc2195"/>
      <w:bookmarkStart w:id="304" w:name="_Toc234832919"/>
      <w:bookmarkStart w:id="305" w:name="_Toc23721"/>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.1对招标人的纪律要求</w:t>
      </w:r>
      <w:bookmarkEnd w:id="303"/>
      <w:bookmarkEnd w:id="304"/>
      <w:bookmarkEnd w:id="305"/>
    </w:p>
    <w:p w14:paraId="5035F2E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招标人不得泄露招标投标活动中应保密的情况和资料，不得与投标人串通损害国家利益、社会公共利益或他人合法权益。</w:t>
      </w:r>
    </w:p>
    <w:p w14:paraId="6EE2999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06" w:name="_Toc234832920"/>
      <w:bookmarkStart w:id="307" w:name="_Toc23019"/>
      <w:bookmarkStart w:id="308" w:name="_Toc28155"/>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.2对投标人的纪律要求</w:t>
      </w:r>
      <w:bookmarkEnd w:id="306"/>
      <w:bookmarkEnd w:id="307"/>
      <w:bookmarkEnd w:id="308"/>
    </w:p>
    <w:p w14:paraId="720FB80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67473180">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09" w:name="_Toc22216"/>
      <w:bookmarkStart w:id="310" w:name="_Toc234832921"/>
      <w:bookmarkStart w:id="311" w:name="_Toc5418"/>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.3对评标委员会成员的纪律要求</w:t>
      </w:r>
      <w:bookmarkEnd w:id="309"/>
      <w:bookmarkEnd w:id="310"/>
      <w:bookmarkEnd w:id="311"/>
    </w:p>
    <w:p w14:paraId="0771FE6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没有规定的评审因素和标准进行评标。</w:t>
      </w:r>
    </w:p>
    <w:p w14:paraId="4D04A6B0">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12" w:name="_Toc6211"/>
      <w:bookmarkStart w:id="313" w:name="_Toc9801"/>
      <w:bookmarkStart w:id="314" w:name="_Toc234832922"/>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.4对与评标活动有关的工作人员的纪律要求</w:t>
      </w:r>
      <w:bookmarkEnd w:id="312"/>
      <w:bookmarkEnd w:id="313"/>
      <w:bookmarkEnd w:id="314"/>
    </w:p>
    <w:p w14:paraId="159E81D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7B916F6C">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15" w:name="_Toc234832923"/>
      <w:bookmarkStart w:id="316" w:name="_Toc19294"/>
      <w:bookmarkStart w:id="317" w:name="_Toc22150"/>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.5投诉</w:t>
      </w:r>
      <w:bookmarkEnd w:id="315"/>
      <w:bookmarkEnd w:id="316"/>
      <w:bookmarkEnd w:id="317"/>
    </w:p>
    <w:p w14:paraId="6573160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8.5.1投标人或其他利害关系人认为招标投标活动不符合法律、行政法规规定的，可以自知道或应当知道之日起10日内向有关行政监督部门投诉。投诉应有明确的请求和必要的证明材料。</w:t>
      </w:r>
    </w:p>
    <w:p w14:paraId="05B9B22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监督部门的联系方式见投标人须知前附表。</w:t>
      </w:r>
    </w:p>
    <w:p w14:paraId="0C01418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8.5.2投标人或其他利害关系人对招标文件、开标和评标结果提出投诉的，应按照本章第2.4款、第5.3款和第7.2款的规定先向招标人提出异议。异议答复期间</w:t>
      </w:r>
      <w:bookmarkStart w:id="318" w:name="_Toc369531561"/>
      <w:bookmarkStart w:id="319" w:name="_Toc361508630"/>
      <w:bookmarkStart w:id="320" w:name="_Toc384308255"/>
      <w:bookmarkStart w:id="321" w:name="_Toc12776"/>
      <w:bookmarkStart w:id="322" w:name="_Toc144974538"/>
      <w:bookmarkStart w:id="323" w:name="_Toc352691517"/>
      <w:bookmarkStart w:id="324" w:name="_Toc152045570"/>
      <w:bookmarkStart w:id="325" w:name="_Toc152042346"/>
      <w:bookmarkStart w:id="326" w:name="_Toc247527595"/>
      <w:bookmarkStart w:id="327" w:name="_Toc247513994"/>
      <w:bookmarkStart w:id="328" w:name="_Toc300834993"/>
      <w:r>
        <w:rPr>
          <w:rFonts w:hint="default" w:ascii="Times New Roman" w:hAnsi="Times New Roman" w:eastAsia="宋体" w:cs="Times New Roman"/>
          <w:color w:val="auto"/>
          <w:sz w:val="24"/>
          <w:highlight w:val="none"/>
        </w:rPr>
        <w:t>不计算在第8.5.</w:t>
      </w:r>
      <w:bookmarkEnd w:id="318"/>
      <w:bookmarkEnd w:id="319"/>
      <w:bookmarkEnd w:id="320"/>
      <w:bookmarkEnd w:id="321"/>
      <w:bookmarkEnd w:id="322"/>
      <w:bookmarkEnd w:id="323"/>
      <w:bookmarkEnd w:id="324"/>
      <w:bookmarkEnd w:id="325"/>
      <w:bookmarkEnd w:id="326"/>
      <w:bookmarkEnd w:id="327"/>
      <w:bookmarkEnd w:id="328"/>
      <w:r>
        <w:rPr>
          <w:rFonts w:hint="default" w:ascii="Times New Roman" w:hAnsi="Times New Roman" w:eastAsia="宋体" w:cs="Times New Roman"/>
          <w:color w:val="auto"/>
          <w:sz w:val="24"/>
          <w:highlight w:val="none"/>
        </w:rPr>
        <w:t>1项规定的期限内。</w:t>
      </w:r>
    </w:p>
    <w:p w14:paraId="0C2BAF02">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329" w:name="_Toc18903"/>
      <w:bookmarkStart w:id="330" w:name="_Toc22135"/>
      <w:bookmarkStart w:id="331" w:name="_Toc234832924"/>
      <w:bookmarkStart w:id="332" w:name="_Toc7531"/>
      <w:bookmarkStart w:id="333" w:name="_Toc13754"/>
      <w:r>
        <w:rPr>
          <w:rFonts w:hint="default" w:ascii="黑体" w:hAnsi="黑体" w:eastAsia="黑体" w:cs="黑体"/>
          <w:b w:val="0"/>
          <w:bCs/>
          <w:i w:val="0"/>
          <w:iCs w:val="0"/>
          <w:color w:val="auto"/>
          <w:sz w:val="28"/>
          <w:szCs w:val="28"/>
          <w:highlight w:val="none"/>
          <w:lang w:val="en-US" w:eastAsia="zh-CN"/>
        </w:rPr>
        <w:t>9.需要补充的其他内容</w:t>
      </w:r>
      <w:bookmarkEnd w:id="329"/>
      <w:bookmarkEnd w:id="330"/>
      <w:bookmarkEnd w:id="331"/>
      <w:bookmarkEnd w:id="332"/>
      <w:bookmarkEnd w:id="333"/>
    </w:p>
    <w:p w14:paraId="3C7EB18B">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需要补充的其他内容：见投标人须知前附表。</w:t>
      </w:r>
    </w:p>
    <w:p w14:paraId="0160E7F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i w:val="0"/>
          <w:iCs w:val="0"/>
          <w:color w:val="auto"/>
          <w:sz w:val="24"/>
          <w:szCs w:val="24"/>
          <w:highlight w:val="none"/>
        </w:rPr>
      </w:pPr>
      <w:r>
        <w:rPr>
          <w:rFonts w:hint="default" w:ascii="Times New Roman" w:hAnsi="Times New Roman" w:eastAsia="隶书" w:cs="Times New Roman"/>
          <w:color w:val="auto"/>
          <w:sz w:val="24"/>
          <w:highlight w:val="none"/>
        </w:rPr>
        <w:br w:type="page"/>
      </w:r>
      <w:bookmarkStart w:id="334" w:name="_Toc18463"/>
      <w:bookmarkStart w:id="335" w:name="_Toc19391"/>
      <w:bookmarkStart w:id="336" w:name="_Toc26380"/>
      <w:bookmarkStart w:id="337" w:name="_Toc234832925"/>
      <w:bookmarkStart w:id="338" w:name="_Toc12892"/>
      <w:r>
        <w:rPr>
          <w:rFonts w:hint="default" w:ascii="黑体" w:hAnsi="黑体" w:eastAsia="黑体" w:cs="黑体"/>
          <w:b w:val="0"/>
          <w:bCs/>
          <w:i w:val="0"/>
          <w:iCs w:val="0"/>
          <w:color w:val="auto"/>
          <w:sz w:val="28"/>
          <w:szCs w:val="28"/>
          <w:highlight w:val="none"/>
          <w:lang w:val="en-US" w:eastAsia="zh-CN"/>
        </w:rPr>
        <w:t>附件一</w:t>
      </w:r>
      <w:r>
        <w:rPr>
          <w:rFonts w:hint="eastAsia" w:ascii="黑体" w:hAnsi="黑体" w:eastAsia="黑体" w:cs="黑体"/>
          <w:b w:val="0"/>
          <w:bCs/>
          <w:i w:val="0"/>
          <w:iCs w:val="0"/>
          <w:color w:val="auto"/>
          <w:sz w:val="28"/>
          <w:szCs w:val="28"/>
          <w:highlight w:val="none"/>
          <w:lang w:val="en-US" w:eastAsia="zh-CN"/>
        </w:rPr>
        <w:t xml:space="preserve"> </w:t>
      </w:r>
      <w:r>
        <w:rPr>
          <w:rFonts w:hint="default" w:ascii="黑体" w:hAnsi="黑体" w:eastAsia="黑体" w:cs="黑体"/>
          <w:b w:val="0"/>
          <w:bCs/>
          <w:i w:val="0"/>
          <w:iCs w:val="0"/>
          <w:color w:val="auto"/>
          <w:sz w:val="28"/>
          <w:szCs w:val="28"/>
          <w:highlight w:val="none"/>
          <w:lang w:val="en-US" w:eastAsia="zh-CN"/>
        </w:rPr>
        <w:t>开标记录表</w:t>
      </w:r>
      <w:r>
        <w:rPr>
          <w:rFonts w:hint="default" w:ascii="黑体" w:hAnsi="黑体" w:eastAsia="黑体" w:cs="黑体"/>
          <w:b w:val="0"/>
          <w:bCs/>
          <w:i w:val="0"/>
          <w:iCs w:val="0"/>
          <w:color w:val="auto"/>
          <w:sz w:val="28"/>
          <w:szCs w:val="28"/>
          <w:highlight w:val="none"/>
          <w:vertAlign w:val="superscript"/>
          <w:lang w:val="en-US" w:eastAsia="zh-CN"/>
        </w:rPr>
        <w:footnoteReference w:id="23"/>
      </w:r>
      <w:bookmarkEnd w:id="334"/>
      <w:bookmarkEnd w:id="335"/>
      <w:bookmarkEnd w:id="336"/>
      <w:bookmarkEnd w:id="337"/>
      <w:bookmarkEnd w:id="338"/>
    </w:p>
    <w:p w14:paraId="53580B08">
      <w:pPr>
        <w:wordWrap w:val="0"/>
        <w:spacing w:before="0" w:after="100" w:afterAutospacing="1" w:line="240" w:lineRule="atLeast"/>
        <w:outlineLvl w:val="9"/>
        <w:rPr>
          <w:rFonts w:hint="default" w:ascii="Times New Roman" w:hAnsi="Times New Roman" w:eastAsia="黑体" w:cs="Times New Roman"/>
          <w:b w:val="0"/>
          <w:color w:val="auto"/>
          <w:sz w:val="24"/>
          <w:szCs w:val="24"/>
          <w:highlight w:val="none"/>
        </w:rPr>
      </w:pPr>
      <w:bookmarkStart w:id="339" w:name="_Toc16381"/>
      <w:bookmarkStart w:id="340" w:name="_Toc8817"/>
      <w:bookmarkStart w:id="341" w:name="_Toc20922"/>
      <w:bookmarkStart w:id="342" w:name="_Toc2455"/>
      <w:r>
        <w:rPr>
          <w:rFonts w:hint="eastAsia" w:ascii="宋体" w:hAnsi="宋体" w:eastAsia="宋体" w:cs="宋体"/>
          <w:color w:val="auto"/>
          <w:sz w:val="24"/>
          <w:szCs w:val="24"/>
          <w:highlight w:val="none"/>
          <w:u w:val="none"/>
          <w:lang w:val="en-US" w:eastAsia="zh-CN"/>
        </w:rPr>
        <w:t>以电子交易平台生成格式为准。</w:t>
      </w:r>
      <w:bookmarkEnd w:id="339"/>
      <w:bookmarkEnd w:id="340"/>
      <w:bookmarkEnd w:id="341"/>
      <w:bookmarkEnd w:id="342"/>
    </w:p>
    <w:p w14:paraId="18AEAA88">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color w:val="auto"/>
          <w:szCs w:val="21"/>
          <w:highlight w:val="none"/>
        </w:rPr>
      </w:pPr>
      <w:bookmarkStart w:id="343" w:name="_Toc24468"/>
      <w:r>
        <w:rPr>
          <w:rFonts w:hint="default" w:ascii="Times New Roman" w:hAnsi="Times New Roman" w:cs="Times New Roman"/>
          <w:color w:val="auto"/>
          <w:szCs w:val="24"/>
          <w:highlight w:val="none"/>
        </w:rPr>
        <w:br w:type="page"/>
      </w:r>
      <w:bookmarkEnd w:id="343"/>
    </w:p>
    <w:p w14:paraId="5ED86EB3">
      <w:pPr>
        <w:pageBreakBefore w:val="0"/>
        <w:kinsoku/>
        <w:wordWrap w:val="0"/>
        <w:bidi w:val="0"/>
        <w:spacing w:line="620" w:lineRule="exact"/>
        <w:ind w:right="630"/>
        <w:jc w:val="center"/>
        <w:rPr>
          <w:rFonts w:hint="default" w:ascii="Times New Roman" w:hAnsi="Times New Roman" w:cs="Times New Roman"/>
          <w:color w:val="auto"/>
          <w:szCs w:val="21"/>
          <w:highlight w:val="none"/>
        </w:rPr>
        <w:sectPr>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6533FBB">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344" w:name="_Toc25086"/>
      <w:bookmarkStart w:id="345" w:name="_Toc3403"/>
      <w:bookmarkStart w:id="346" w:name="_Toc19637"/>
      <w:bookmarkStart w:id="347" w:name="_Toc28813"/>
      <w:bookmarkStart w:id="348" w:name="_Toc234832926"/>
      <w:r>
        <w:rPr>
          <w:rFonts w:hint="default" w:ascii="黑体" w:hAnsi="黑体" w:eastAsia="黑体" w:cs="黑体"/>
          <w:b w:val="0"/>
          <w:bCs/>
          <w:i w:val="0"/>
          <w:iCs w:val="0"/>
          <w:color w:val="auto"/>
          <w:sz w:val="28"/>
          <w:szCs w:val="28"/>
          <w:highlight w:val="none"/>
          <w:lang w:val="en-US" w:eastAsia="zh-CN"/>
        </w:rPr>
        <w:t>附件二 问题澄清通知</w:t>
      </w:r>
      <w:bookmarkEnd w:id="344"/>
      <w:bookmarkEnd w:id="345"/>
      <w:bookmarkEnd w:id="346"/>
      <w:bookmarkEnd w:id="347"/>
      <w:bookmarkEnd w:id="348"/>
    </w:p>
    <w:p w14:paraId="048CEDCC">
      <w:pPr>
        <w:pageBreakBefore w:val="0"/>
        <w:kinsoku/>
        <w:wordWrap w:val="0"/>
        <w:bidi w:val="0"/>
        <w:spacing w:line="440" w:lineRule="exact"/>
        <w:jc w:val="center"/>
        <w:rPr>
          <w:rFonts w:hint="default" w:ascii="Times New Roman" w:hAnsi="Times New Roman" w:cs="Times New Roman"/>
          <w:color w:val="auto"/>
          <w:sz w:val="28"/>
          <w:szCs w:val="28"/>
          <w:highlight w:val="none"/>
        </w:rPr>
      </w:pPr>
    </w:p>
    <w:p w14:paraId="6D7D423D">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问题澄清通知</w:t>
      </w:r>
    </w:p>
    <w:p w14:paraId="002D5E90">
      <w:pPr>
        <w:pageBreakBefore w:val="0"/>
        <w:kinsoku/>
        <w:wordWrap w:val="0"/>
        <w:bidi w:val="0"/>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（编号：</w:t>
      </w:r>
      <w:r>
        <w:rPr>
          <w:rFonts w:hint="default" w:ascii="Times New Roman" w:hAnsi="Times New Roman" w:eastAsia="黑体" w:cs="Times New Roman"/>
          <w:color w:val="auto"/>
          <w:sz w:val="28"/>
          <w:highlight w:val="none"/>
          <w:u w:val="single"/>
        </w:rPr>
        <w:t xml:space="preserve">               </w:t>
      </w:r>
      <w:r>
        <w:rPr>
          <w:rFonts w:hint="default" w:ascii="Times New Roman" w:hAnsi="Times New Roman" w:cs="Times New Roman"/>
          <w:color w:val="auto"/>
          <w:highlight w:val="none"/>
        </w:rPr>
        <w:t>）</w:t>
      </w:r>
    </w:p>
    <w:p w14:paraId="04C6E8C8">
      <w:pPr>
        <w:pageBreakBefore w:val="0"/>
        <w:kinsoku/>
        <w:wordWrap w:val="0"/>
        <w:bidi w:val="0"/>
        <w:spacing w:line="440" w:lineRule="exact"/>
        <w:rPr>
          <w:rFonts w:hint="default" w:ascii="Times New Roman" w:hAnsi="Times New Roman" w:cs="Times New Roman"/>
          <w:color w:val="auto"/>
          <w:sz w:val="24"/>
          <w:highlight w:val="none"/>
        </w:rPr>
      </w:pPr>
    </w:p>
    <w:p w14:paraId="21AD753A">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w:t>
      </w:r>
    </w:p>
    <w:p w14:paraId="484A9D1F">
      <w:pPr>
        <w:pageBreakBefore w:val="0"/>
        <w:kinsoku/>
        <w:wordWrap w:val="0"/>
        <w:bidi w:val="0"/>
        <w:spacing w:line="440" w:lineRule="exact"/>
        <w:rPr>
          <w:rFonts w:hint="default" w:ascii="Times New Roman" w:hAnsi="Times New Roman" w:cs="Times New Roman"/>
          <w:color w:val="auto"/>
          <w:sz w:val="24"/>
          <w:highlight w:val="none"/>
        </w:rPr>
      </w:pPr>
    </w:p>
    <w:p w14:paraId="216A130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标段施工招标的评标委员会，对你方的投标文件进行了仔细的审查，现需你方对下列问题以书面形式予以澄清或说明：</w:t>
      </w:r>
    </w:p>
    <w:p w14:paraId="72EF233C">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2880E709">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w:t>
      </w:r>
    </w:p>
    <w:p w14:paraId="5747B02C">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w:t>
      </w:r>
    </w:p>
    <w:p w14:paraId="2AFB3F2B">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   </w:t>
      </w:r>
    </w:p>
    <w:p w14:paraId="3F00AB2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7B3CBFF0">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请将上述问题的澄清或说明于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时</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分前通过</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lang w:eastAsia="zh-CN"/>
        </w:rPr>
        <w:t>”</w:t>
      </w:r>
      <w:r>
        <w:rPr>
          <w:rFonts w:hint="default" w:ascii="Times New Roman" w:hAnsi="Times New Roman" w:cs="Times New Roman"/>
          <w:color w:val="auto"/>
          <w:sz w:val="24"/>
          <w:highlight w:val="none"/>
        </w:rPr>
        <w:t>上传。</w:t>
      </w:r>
    </w:p>
    <w:p w14:paraId="21E9E83E">
      <w:pPr>
        <w:pageBreakBefore w:val="0"/>
        <w:kinsoku/>
        <w:wordWrap w:val="0"/>
        <w:bidi w:val="0"/>
        <w:spacing w:line="440" w:lineRule="exact"/>
        <w:rPr>
          <w:rFonts w:hint="default" w:ascii="Times New Roman" w:hAnsi="Times New Roman" w:cs="Times New Roman"/>
          <w:color w:val="auto"/>
          <w:sz w:val="24"/>
          <w:highlight w:val="none"/>
        </w:rPr>
      </w:pPr>
    </w:p>
    <w:p w14:paraId="6CCEC6E2">
      <w:pPr>
        <w:pageBreakBefore w:val="0"/>
        <w:kinsoku/>
        <w:wordWrap w:val="0"/>
        <w:bidi w:val="0"/>
        <w:spacing w:line="440" w:lineRule="exact"/>
        <w:rPr>
          <w:rFonts w:hint="default" w:ascii="Times New Roman" w:hAnsi="Times New Roman" w:cs="Times New Roman"/>
          <w:color w:val="auto"/>
          <w:sz w:val="24"/>
          <w:highlight w:val="none"/>
        </w:rPr>
      </w:pPr>
    </w:p>
    <w:p w14:paraId="626A9BCD">
      <w:pPr>
        <w:pageBreakBefore w:val="0"/>
        <w:kinsoku/>
        <w:wordWrap w:val="0"/>
        <w:bidi w:val="0"/>
        <w:spacing w:line="440" w:lineRule="exact"/>
        <w:jc w:val="righ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评标委员会授权的招标人或招标代理机构：</w:t>
      </w:r>
      <w:r>
        <w:rPr>
          <w:rFonts w:hint="default" w:ascii="Times New Roman" w:hAnsi="Times New Roman" w:eastAsia="黑体" w:cs="Times New Roman"/>
          <w:color w:val="auto"/>
          <w:sz w:val="24"/>
          <w:highlight w:val="none"/>
          <w:u w:val="single"/>
        </w:rPr>
        <w:t xml:space="preserve">        </w:t>
      </w:r>
      <w:r>
        <w:rPr>
          <w:rFonts w:hint="default" w:ascii="Times New Roman" w:hAnsi="Times New Roman" w:cs="Times New Roman"/>
          <w:color w:val="auto"/>
          <w:sz w:val="24"/>
          <w:highlight w:val="none"/>
        </w:rPr>
        <w:t>（签字或盖单位章）</w:t>
      </w:r>
    </w:p>
    <w:p w14:paraId="6CF7660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86B224E">
      <w:pPr>
        <w:pageBreakBefore w:val="0"/>
        <w:kinsoku/>
        <w:wordWrap w:val="0"/>
        <w:bidi w:val="0"/>
        <w:spacing w:line="440" w:lineRule="exact"/>
        <w:ind w:right="48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4F6BF8C8">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4"/>
          <w:highlight w:val="none"/>
        </w:rPr>
        <w:br w:type="page"/>
      </w:r>
      <w:bookmarkStart w:id="349" w:name="_Toc234832927"/>
      <w:bookmarkStart w:id="350" w:name="_Toc6756"/>
      <w:bookmarkStart w:id="351" w:name="_Toc11792"/>
      <w:bookmarkStart w:id="352" w:name="_Toc23171"/>
      <w:bookmarkStart w:id="353" w:name="_Toc10752"/>
      <w:bookmarkStart w:id="354" w:name="_Toc234832928"/>
      <w:bookmarkStart w:id="355" w:name="_Toc15693"/>
      <w:bookmarkStart w:id="356" w:name="_Toc10765"/>
      <w:r>
        <w:rPr>
          <w:rFonts w:hint="default" w:ascii="黑体" w:hAnsi="黑体" w:eastAsia="黑体" w:cs="黑体"/>
          <w:b w:val="0"/>
          <w:bCs/>
          <w:i w:val="0"/>
          <w:iCs w:val="0"/>
          <w:color w:val="auto"/>
          <w:sz w:val="28"/>
          <w:szCs w:val="28"/>
          <w:highlight w:val="none"/>
          <w:lang w:val="en-US" w:eastAsia="zh-CN"/>
        </w:rPr>
        <w:t>附件三 问题的澄清</w:t>
      </w:r>
      <w:bookmarkEnd w:id="349"/>
      <w:bookmarkEnd w:id="350"/>
      <w:bookmarkEnd w:id="351"/>
      <w:bookmarkEnd w:id="352"/>
      <w:bookmarkEnd w:id="353"/>
    </w:p>
    <w:p w14:paraId="0AAC2373">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问题的澄清</w:t>
      </w:r>
    </w:p>
    <w:p w14:paraId="11D5C19D">
      <w:pPr>
        <w:pageBreakBefore w:val="0"/>
        <w:kinsoku/>
        <w:wordWrap w:val="0"/>
        <w:bidi w:val="0"/>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（编号：</w:t>
      </w:r>
      <w:r>
        <w:rPr>
          <w:rFonts w:hint="default" w:ascii="Times New Roman" w:hAnsi="Times New Roman" w:eastAsia="黑体" w:cs="Times New Roman"/>
          <w:color w:val="auto"/>
          <w:sz w:val="28"/>
          <w:highlight w:val="none"/>
          <w:u w:val="single"/>
        </w:rPr>
        <w:t xml:space="preserve">           </w:t>
      </w:r>
      <w:r>
        <w:rPr>
          <w:rFonts w:hint="default" w:ascii="Times New Roman" w:hAnsi="Times New Roman" w:cs="Times New Roman"/>
          <w:color w:val="auto"/>
          <w:highlight w:val="none"/>
        </w:rPr>
        <w:t>）</w:t>
      </w:r>
    </w:p>
    <w:p w14:paraId="052917E4">
      <w:pPr>
        <w:pageBreakBefore w:val="0"/>
        <w:kinsoku/>
        <w:wordWrap w:val="0"/>
        <w:bidi w:val="0"/>
        <w:spacing w:line="440" w:lineRule="exact"/>
        <w:rPr>
          <w:rFonts w:hint="default" w:ascii="Times New Roman" w:hAnsi="Times New Roman" w:cs="Times New Roman"/>
          <w:color w:val="auto"/>
          <w:sz w:val="24"/>
          <w:highlight w:val="none"/>
        </w:rPr>
      </w:pPr>
    </w:p>
    <w:p w14:paraId="451DE93F">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标段施工招标评标委员会：</w:t>
      </w:r>
    </w:p>
    <w:p w14:paraId="5AC72027">
      <w:pPr>
        <w:pageBreakBefore w:val="0"/>
        <w:kinsoku/>
        <w:wordWrap w:val="0"/>
        <w:bidi w:val="0"/>
        <w:spacing w:line="440" w:lineRule="exact"/>
        <w:rPr>
          <w:rFonts w:hint="default" w:ascii="Times New Roman" w:hAnsi="Times New Roman" w:cs="Times New Roman"/>
          <w:color w:val="auto"/>
          <w:sz w:val="24"/>
          <w:highlight w:val="none"/>
        </w:rPr>
      </w:pPr>
    </w:p>
    <w:p w14:paraId="3A6C8BE9">
      <w:pPr>
        <w:pageBreakBefore w:val="0"/>
        <w:kinsoku/>
        <w:wordWrap w:val="0"/>
        <w:bidi w:val="0"/>
        <w:spacing w:line="440" w:lineRule="exact"/>
        <w:rPr>
          <w:rFonts w:hint="default" w:ascii="Times New Roman" w:hAnsi="Times New Roman" w:cs="Times New Roman"/>
          <w:color w:val="auto"/>
          <w:sz w:val="24"/>
          <w:highlight w:val="none"/>
        </w:rPr>
      </w:pPr>
    </w:p>
    <w:p w14:paraId="766981F0">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问题澄清通知（编号：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）已收悉，现澄清、说明如下：</w:t>
      </w:r>
    </w:p>
    <w:p w14:paraId="4F44FCCD">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w:t>
      </w:r>
    </w:p>
    <w:p w14:paraId="1D173C04">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w:t>
      </w:r>
    </w:p>
    <w:p w14:paraId="1CBFF796">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04980A90">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6D54438E">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2F8F16EF">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7626BF15">
      <w:pPr>
        <w:pageBreakBefore w:val="0"/>
        <w:kinsoku/>
        <w:wordWrap w:val="0"/>
        <w:bidi w:val="0"/>
        <w:spacing w:line="440" w:lineRule="exact"/>
        <w:rPr>
          <w:rFonts w:hint="default" w:ascii="Times New Roman" w:hAnsi="Times New Roman" w:cs="Times New Roman"/>
          <w:color w:val="auto"/>
          <w:sz w:val="24"/>
          <w:highlight w:val="none"/>
        </w:rPr>
      </w:pPr>
    </w:p>
    <w:p w14:paraId="2E28CF1B">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上述问题澄清或说明，不改变我方投标文件的实质性内容，构成我方投标文件的组成部分。</w:t>
      </w:r>
    </w:p>
    <w:p w14:paraId="2141F805">
      <w:pPr>
        <w:pageBreakBefore w:val="0"/>
        <w:kinsoku/>
        <w:wordWrap w:val="0"/>
        <w:bidi w:val="0"/>
        <w:spacing w:line="440" w:lineRule="exact"/>
        <w:rPr>
          <w:rFonts w:hint="default" w:ascii="Times New Roman" w:hAnsi="Times New Roman" w:cs="Times New Roman"/>
          <w:color w:val="auto"/>
          <w:sz w:val="24"/>
          <w:highlight w:val="none"/>
        </w:rPr>
      </w:pPr>
    </w:p>
    <w:p w14:paraId="54F632CF">
      <w:pPr>
        <w:pageBreakBefore w:val="0"/>
        <w:kinsoku/>
        <w:wordWrap w:val="0"/>
        <w:bidi w:val="0"/>
        <w:spacing w:line="440" w:lineRule="exact"/>
        <w:rPr>
          <w:rFonts w:hint="default" w:ascii="Times New Roman" w:hAnsi="Times New Roman" w:cs="Times New Roman"/>
          <w:color w:val="auto"/>
          <w:sz w:val="24"/>
          <w:highlight w:val="none"/>
        </w:rPr>
      </w:pPr>
    </w:p>
    <w:p w14:paraId="79739AEE">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vertAlign w:val="superscript"/>
        </w:rPr>
        <w:footnoteReference w:id="24"/>
      </w:r>
    </w:p>
    <w:p w14:paraId="7C511A2F">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135C46A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1B42DD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0"/>
          <w:szCs w:val="20"/>
          <w:highlight w:val="none"/>
        </w:rPr>
        <w:br w:type="page"/>
      </w:r>
      <w:bookmarkStart w:id="357" w:name="_Toc20484"/>
      <w:bookmarkStart w:id="358" w:name="_Toc5460"/>
      <w:r>
        <w:rPr>
          <w:rFonts w:hint="default" w:ascii="黑体" w:hAnsi="黑体" w:eastAsia="黑体" w:cs="黑体"/>
          <w:b w:val="0"/>
          <w:bCs/>
          <w:i w:val="0"/>
          <w:iCs w:val="0"/>
          <w:color w:val="auto"/>
          <w:sz w:val="28"/>
          <w:szCs w:val="28"/>
          <w:highlight w:val="none"/>
          <w:lang w:val="en-US" w:eastAsia="zh-CN"/>
        </w:rPr>
        <w:t>附件四</w:t>
      </w:r>
      <w:r>
        <w:rPr>
          <w:rFonts w:hint="eastAsia" w:ascii="黑体" w:hAnsi="黑体" w:eastAsia="黑体" w:cs="黑体"/>
          <w:b w:val="0"/>
          <w:bCs/>
          <w:i w:val="0"/>
          <w:iCs w:val="0"/>
          <w:color w:val="auto"/>
          <w:sz w:val="28"/>
          <w:szCs w:val="28"/>
          <w:highlight w:val="none"/>
          <w:lang w:val="en-US" w:eastAsia="zh-CN"/>
        </w:rPr>
        <w:t xml:space="preserve"> </w:t>
      </w:r>
      <w:r>
        <w:rPr>
          <w:rFonts w:hint="default" w:ascii="黑体" w:hAnsi="黑体" w:eastAsia="黑体" w:cs="黑体"/>
          <w:b w:val="0"/>
          <w:bCs/>
          <w:i w:val="0"/>
          <w:iCs w:val="0"/>
          <w:color w:val="auto"/>
          <w:sz w:val="28"/>
          <w:szCs w:val="28"/>
          <w:highlight w:val="none"/>
          <w:lang w:val="en-US" w:eastAsia="zh-CN"/>
        </w:rPr>
        <w:t>中标通知书</w:t>
      </w:r>
      <w:bookmarkEnd w:id="354"/>
      <w:bookmarkEnd w:id="355"/>
      <w:bookmarkEnd w:id="356"/>
      <w:bookmarkEnd w:id="357"/>
      <w:bookmarkEnd w:id="358"/>
    </w:p>
    <w:p w14:paraId="774D9AAD">
      <w:pPr>
        <w:pageBreakBefore w:val="0"/>
        <w:kinsoku/>
        <w:wordWrap w:val="0"/>
        <w:bidi w:val="0"/>
        <w:spacing w:line="440" w:lineRule="exact"/>
        <w:ind w:firstLine="3640" w:firstLineChars="1300"/>
        <w:rPr>
          <w:rFonts w:hint="default" w:ascii="Times New Roman" w:hAnsi="Times New Roman" w:eastAsia="黑体" w:cs="Times New Roman"/>
          <w:color w:val="auto"/>
          <w:sz w:val="28"/>
          <w:szCs w:val="28"/>
          <w:highlight w:val="none"/>
        </w:rPr>
      </w:pPr>
    </w:p>
    <w:p w14:paraId="4BA1BB56">
      <w:pPr>
        <w:pageBreakBefore w:val="0"/>
        <w:kinsoku/>
        <w:wordWrap w:val="0"/>
        <w:bidi w:val="0"/>
        <w:spacing w:line="600" w:lineRule="exact"/>
        <w:ind w:firstLine="0" w:firstLineChars="0"/>
        <w:rPr>
          <w:rFonts w:hint="default" w:ascii="Times New Roman" w:hAnsi="Times New Roman" w:cs="Times New Roman"/>
          <w:color w:val="auto"/>
          <w:sz w:val="24"/>
          <w:highlight w:val="none"/>
        </w:rPr>
      </w:pPr>
      <w:r>
        <w:rPr>
          <w:rFonts w:hint="eastAsia" w:ascii="宋体" w:hAnsi="宋体" w:eastAsia="宋体" w:cs="宋体"/>
          <w:color w:val="auto"/>
          <w:sz w:val="24"/>
          <w:szCs w:val="24"/>
          <w:highlight w:val="none"/>
          <w:u w:val="none"/>
          <w:lang w:val="en-US" w:eastAsia="zh-CN"/>
        </w:rPr>
        <w:t>以</w:t>
      </w:r>
      <w:r>
        <w:rPr>
          <w:rFonts w:hint="eastAsia" w:cs="Times New Roman"/>
          <w:color w:val="auto"/>
          <w:sz w:val="24"/>
          <w:szCs w:val="24"/>
          <w:highlight w:val="none"/>
          <w:u w:val="none"/>
          <w:lang w:val="en-US" w:eastAsia="zh-CN"/>
        </w:rPr>
        <w:t>辽宁省招标投标监管网</w:t>
      </w:r>
      <w:r>
        <w:rPr>
          <w:rFonts w:hint="default" w:cs="Times New Roman"/>
          <w:color w:val="auto"/>
          <w:sz w:val="24"/>
          <w:szCs w:val="24"/>
          <w:highlight w:val="none"/>
          <w:u w:val="none"/>
          <w:lang w:val="en-US" w:eastAsia="zh-CN"/>
        </w:rPr>
        <w:t>生成格式为准</w:t>
      </w:r>
      <w:r>
        <w:rPr>
          <w:rFonts w:hint="eastAsia" w:cs="Times New Roman"/>
          <w:color w:val="auto"/>
          <w:sz w:val="24"/>
          <w:szCs w:val="24"/>
          <w:highlight w:val="none"/>
          <w:u w:val="none"/>
          <w:lang w:val="en-US" w:eastAsia="zh-CN"/>
        </w:rPr>
        <w:t>（如有）</w:t>
      </w:r>
      <w:r>
        <w:rPr>
          <w:rFonts w:hint="default" w:cs="Times New Roman"/>
          <w:color w:val="auto"/>
          <w:sz w:val="24"/>
          <w:szCs w:val="24"/>
          <w:highlight w:val="none"/>
          <w:u w:val="none"/>
          <w:lang w:val="en-US" w:eastAsia="zh-CN"/>
        </w:rPr>
        <w:t>。</w:t>
      </w:r>
    </w:p>
    <w:p w14:paraId="0C674B26">
      <w:pPr>
        <w:pageBreakBefore w:val="0"/>
        <w:kinsoku/>
        <w:wordWrap w:val="0"/>
        <w:bidi w:val="0"/>
        <w:spacing w:line="440" w:lineRule="exact"/>
        <w:rPr>
          <w:rFonts w:hint="default" w:ascii="Times New Roman" w:hAnsi="Times New Roman" w:eastAsia="黑体" w:cs="Times New Roman"/>
          <w:color w:val="auto"/>
          <w:sz w:val="24"/>
          <w:highlight w:val="none"/>
        </w:rPr>
      </w:pPr>
    </w:p>
    <w:p w14:paraId="23209AFD">
      <w:pPr>
        <w:pageBreakBefore w:val="0"/>
        <w:kinsoku/>
        <w:wordWrap w:val="0"/>
        <w:bidi w:val="0"/>
        <w:spacing w:line="440" w:lineRule="exact"/>
        <w:rPr>
          <w:rFonts w:hint="default" w:ascii="Times New Roman" w:hAnsi="Times New Roman" w:cs="Times New Roman"/>
          <w:color w:val="auto"/>
          <w:sz w:val="20"/>
          <w:szCs w:val="20"/>
          <w:highlight w:val="none"/>
        </w:rPr>
      </w:pPr>
    </w:p>
    <w:p w14:paraId="27CB33D9">
      <w:pPr>
        <w:pageBreakBefore w:val="0"/>
        <w:kinsoku/>
        <w:wordWrap w:val="0"/>
        <w:bidi w:val="0"/>
        <w:spacing w:line="440" w:lineRule="exact"/>
        <w:rPr>
          <w:rFonts w:hint="default" w:ascii="Times New Roman" w:hAnsi="Times New Roman" w:cs="Times New Roman"/>
          <w:color w:val="auto"/>
          <w:sz w:val="20"/>
          <w:szCs w:val="20"/>
          <w:highlight w:val="none"/>
        </w:rPr>
      </w:pPr>
    </w:p>
    <w:p w14:paraId="3B4FE281">
      <w:pPr>
        <w:pageBreakBefore w:val="0"/>
        <w:kinsoku/>
        <w:wordWrap w:val="0"/>
        <w:bidi w:val="0"/>
        <w:spacing w:line="440" w:lineRule="exact"/>
        <w:rPr>
          <w:rFonts w:hint="default" w:ascii="Times New Roman" w:hAnsi="Times New Roman" w:cs="Times New Roman"/>
          <w:color w:val="auto"/>
          <w:sz w:val="20"/>
          <w:szCs w:val="20"/>
          <w:highlight w:val="none"/>
        </w:rPr>
      </w:pPr>
    </w:p>
    <w:p w14:paraId="0B6F8760">
      <w:pPr>
        <w:pageBreakBefore w:val="0"/>
        <w:kinsoku/>
        <w:wordWrap w:val="0"/>
        <w:bidi w:val="0"/>
        <w:spacing w:line="440" w:lineRule="exact"/>
        <w:rPr>
          <w:rFonts w:hint="default" w:ascii="Times New Roman" w:hAnsi="Times New Roman" w:cs="Times New Roman"/>
          <w:color w:val="auto"/>
          <w:sz w:val="20"/>
          <w:szCs w:val="20"/>
          <w:highlight w:val="none"/>
        </w:rPr>
      </w:pPr>
    </w:p>
    <w:p w14:paraId="172F304A">
      <w:pPr>
        <w:pageBreakBefore w:val="0"/>
        <w:kinsoku/>
        <w:wordWrap w:val="0"/>
        <w:bidi w:val="0"/>
        <w:spacing w:line="440" w:lineRule="exact"/>
        <w:rPr>
          <w:rFonts w:hint="default" w:ascii="Times New Roman" w:hAnsi="Times New Roman" w:cs="Times New Roman"/>
          <w:color w:val="auto"/>
          <w:sz w:val="20"/>
          <w:szCs w:val="20"/>
          <w:highlight w:val="none"/>
        </w:rPr>
      </w:pPr>
    </w:p>
    <w:p w14:paraId="57C73C54">
      <w:pPr>
        <w:pageBreakBefore w:val="0"/>
        <w:kinsoku/>
        <w:wordWrap w:val="0"/>
        <w:bidi w:val="0"/>
        <w:spacing w:line="440" w:lineRule="exact"/>
        <w:rPr>
          <w:rFonts w:hint="default" w:ascii="Times New Roman" w:hAnsi="Times New Roman" w:cs="Times New Roman"/>
          <w:color w:val="auto"/>
          <w:sz w:val="20"/>
          <w:szCs w:val="20"/>
          <w:highlight w:val="none"/>
        </w:rPr>
      </w:pPr>
    </w:p>
    <w:p w14:paraId="14874330">
      <w:pPr>
        <w:pageBreakBefore w:val="0"/>
        <w:kinsoku/>
        <w:wordWrap w:val="0"/>
        <w:bidi w:val="0"/>
        <w:spacing w:line="440" w:lineRule="exact"/>
        <w:rPr>
          <w:rFonts w:hint="default" w:ascii="Times New Roman" w:hAnsi="Times New Roman" w:cs="Times New Roman"/>
          <w:color w:val="auto"/>
          <w:sz w:val="20"/>
          <w:szCs w:val="20"/>
          <w:highlight w:val="none"/>
        </w:rPr>
      </w:pPr>
    </w:p>
    <w:p w14:paraId="1A5EFF28">
      <w:pPr>
        <w:pageBreakBefore w:val="0"/>
        <w:kinsoku/>
        <w:wordWrap w:val="0"/>
        <w:bidi w:val="0"/>
        <w:spacing w:before="0" w:after="0" w:line="240" w:lineRule="atLeast"/>
        <w:rPr>
          <w:rFonts w:hint="default" w:ascii="Times New Roman" w:hAnsi="Times New Roman" w:eastAsia="黑体" w:cs="Times New Roman"/>
          <w:b w:val="0"/>
          <w:color w:val="auto"/>
          <w:sz w:val="24"/>
          <w:szCs w:val="24"/>
          <w:highlight w:val="none"/>
        </w:rPr>
      </w:pPr>
      <w:bookmarkStart w:id="359" w:name="_Toc234832929"/>
      <w:r>
        <w:rPr>
          <w:rFonts w:hint="default" w:ascii="Times New Roman" w:hAnsi="Times New Roman" w:eastAsia="黑体" w:cs="Times New Roman"/>
          <w:b w:val="0"/>
          <w:color w:val="auto"/>
          <w:sz w:val="24"/>
          <w:szCs w:val="24"/>
          <w:highlight w:val="none"/>
        </w:rPr>
        <w:br w:type="page"/>
      </w:r>
    </w:p>
    <w:bookmarkEnd w:id="359"/>
    <w:p w14:paraId="5671389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41302D71">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3B41DCA0">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2704DE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06523F3">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1E46367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DB641B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73926E4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2A54366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BBCA9FC">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325B1AF3">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36"/>
          <w:szCs w:val="36"/>
          <w:highlight w:val="none"/>
        </w:rPr>
        <w:sectPr>
          <w:headerReference r:id="rId23" w:type="default"/>
          <w:footerReference r:id="rId25" w:type="default"/>
          <w:headerReference r:id="rId24" w:type="even"/>
          <w:footerReference r:id="rId26"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360" w:name="_Toc10943"/>
      <w:bookmarkStart w:id="361" w:name="_Toc29562"/>
      <w:r>
        <w:rPr>
          <w:rFonts w:hint="default" w:ascii="Times New Roman" w:hAnsi="Times New Roman" w:eastAsia="黑体" w:cs="Times New Roman"/>
          <w:color w:val="auto"/>
          <w:sz w:val="56"/>
          <w:szCs w:val="56"/>
          <w:highlight w:val="none"/>
        </w:rPr>
        <w:t>第三章</w:t>
      </w:r>
      <w:r>
        <w:rPr>
          <w:rFonts w:hint="eastAsia"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评标办法</w:t>
      </w:r>
      <w:bookmarkEnd w:id="360"/>
      <w:bookmarkEnd w:id="361"/>
    </w:p>
    <w:p w14:paraId="500C3D81">
      <w:pPr>
        <w:spacing w:line="400" w:lineRule="atLeast"/>
        <w:rPr>
          <w:rFonts w:hint="default" w:ascii="Times New Roman" w:hAnsi="Times New Roman" w:eastAsia="宋体" w:cs="Times New Roman"/>
          <w:color w:val="auto"/>
          <w:sz w:val="24"/>
          <w:highlight w:val="none"/>
        </w:rPr>
      </w:pPr>
      <w:bookmarkStart w:id="362" w:name="_Toc234832931"/>
    </w:p>
    <w:p w14:paraId="27E7FD13">
      <w:pPr>
        <w:pageBreakBefore w:val="0"/>
        <w:kinsoku/>
        <w:wordWrap w:val="0"/>
        <w:bidi w:val="0"/>
        <w:spacing w:before="0" w:after="120" w:afterLines="50" w:line="240" w:lineRule="atLeast"/>
        <w:jc w:val="center"/>
        <w:outlineLvl w:val="9"/>
        <w:rPr>
          <w:rFonts w:hint="default" w:ascii="Times New Roman" w:hAnsi="Times New Roman" w:eastAsia="黑体" w:cs="Times New Roman"/>
          <w:b w:val="0"/>
          <w:color w:val="auto"/>
          <w:sz w:val="42"/>
          <w:szCs w:val="42"/>
          <w:highlight w:val="none"/>
        </w:rPr>
      </w:pPr>
      <w:bookmarkStart w:id="363" w:name="_Toc26505"/>
      <w:bookmarkStart w:id="364" w:name="_Toc14682"/>
      <w:r>
        <w:rPr>
          <w:rFonts w:hint="default" w:ascii="Times New Roman" w:hAnsi="Times New Roman" w:eastAsia="黑体" w:cs="Times New Roman"/>
          <w:b w:val="0"/>
          <w:color w:val="auto"/>
          <w:sz w:val="42"/>
          <w:szCs w:val="42"/>
          <w:highlight w:val="none"/>
        </w:rPr>
        <w:t>第三章评标办法（合理低价法）</w:t>
      </w:r>
      <w:r>
        <w:rPr>
          <w:rStyle w:val="48"/>
          <w:rFonts w:hint="default" w:ascii="Times New Roman" w:hAnsi="Times New Roman" w:eastAsia="黑体" w:cs="Times New Roman"/>
          <w:color w:val="auto"/>
          <w:sz w:val="42"/>
          <w:szCs w:val="42"/>
          <w:highlight w:val="none"/>
        </w:rPr>
        <w:footnoteReference w:id="25"/>
      </w:r>
      <w:bookmarkEnd w:id="362"/>
      <w:bookmarkEnd w:id="363"/>
      <w:bookmarkEnd w:id="364"/>
    </w:p>
    <w:p w14:paraId="2D2DF495">
      <w:pPr>
        <w:pageBreakBefore w:val="0"/>
        <w:kinsoku/>
        <w:wordWrap w:val="0"/>
        <w:bidi w:val="0"/>
        <w:spacing w:line="420" w:lineRule="atLeast"/>
        <w:rPr>
          <w:rFonts w:hint="default" w:ascii="Times New Roman" w:hAnsi="Times New Roman" w:eastAsia="黑体" w:cs="Times New Roman"/>
          <w:color w:val="auto"/>
          <w:sz w:val="20"/>
          <w:szCs w:val="20"/>
          <w:highlight w:val="none"/>
        </w:rPr>
      </w:pPr>
    </w:p>
    <w:p w14:paraId="07BBF582">
      <w:pPr>
        <w:pStyle w:val="5"/>
        <w:pageBreakBefore w:val="0"/>
        <w:kinsoku/>
        <w:wordWrap w:val="0"/>
        <w:bidi w:val="0"/>
        <w:spacing w:before="0" w:after="0" w:line="240" w:lineRule="atLeast"/>
        <w:jc w:val="both"/>
        <w:outlineLvl w:val="2"/>
        <w:rPr>
          <w:rFonts w:hint="default" w:ascii="Times New Roman" w:hAnsi="Times New Roman" w:eastAsia="黑体" w:cs="Times New Roman"/>
          <w:b w:val="0"/>
          <w:color w:val="auto"/>
          <w:sz w:val="28"/>
          <w:szCs w:val="28"/>
          <w:highlight w:val="none"/>
        </w:rPr>
      </w:pPr>
      <w:bookmarkStart w:id="365" w:name="_Toc17606"/>
      <w:bookmarkStart w:id="366" w:name="_Toc234832932"/>
      <w:bookmarkStart w:id="367" w:name="_Toc18214"/>
      <w:bookmarkStart w:id="368" w:name="_Toc15202"/>
      <w:bookmarkStart w:id="369" w:name="_Toc11316"/>
      <w:r>
        <w:rPr>
          <w:rFonts w:hint="default" w:ascii="Times New Roman" w:hAnsi="Times New Roman" w:eastAsia="黑体" w:cs="Times New Roman"/>
          <w:b w:val="0"/>
          <w:color w:val="auto"/>
          <w:sz w:val="24"/>
          <w:szCs w:val="24"/>
          <w:highlight w:val="none"/>
        </w:rPr>
        <w:t>评标办法前附表</w:t>
      </w:r>
      <w:r>
        <w:rPr>
          <w:rStyle w:val="48"/>
          <w:rFonts w:hint="default" w:ascii="Times New Roman" w:hAnsi="Times New Roman" w:cs="Times New Roman"/>
          <w:color w:val="auto"/>
          <w:sz w:val="28"/>
          <w:szCs w:val="28"/>
          <w:highlight w:val="none"/>
        </w:rPr>
        <w:footnoteReference w:id="26"/>
      </w:r>
      <w:bookmarkEnd w:id="365"/>
      <w:bookmarkEnd w:id="366"/>
      <w:bookmarkEnd w:id="367"/>
      <w:bookmarkEnd w:id="368"/>
      <w:bookmarkEnd w:id="369"/>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0C515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71820297">
            <w:pPr>
              <w:pageBreakBefore w:val="0"/>
              <w:kinsoku/>
              <w:wordWrap w:val="0"/>
              <w:bidi w:val="0"/>
              <w:spacing w:line="40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172B4E0D">
            <w:pPr>
              <w:pageBreakBefore w:val="0"/>
              <w:kinsoku/>
              <w:wordWrap w:val="0"/>
              <w:bidi w:val="0"/>
              <w:spacing w:line="40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评审因素与评审标准</w:t>
            </w:r>
          </w:p>
        </w:tc>
      </w:tr>
      <w:tr w14:paraId="4B80A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71FF52F2">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3A4EE452">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3C7A2C08">
            <w:pPr>
              <w:pageBreakBefore w:val="0"/>
              <w:kinsoku/>
              <w:wordWrap w:val="0"/>
              <w:bidi w:val="0"/>
              <w:spacing w:line="36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综合评分相等时，评标委员会依次按照以下优先顺序推荐中标候选人或确定中标人：</w:t>
            </w:r>
          </w:p>
          <w:p w14:paraId="3F5D4209">
            <w:pPr>
              <w:pageBreakBefore w:val="0"/>
              <w:kinsoku/>
              <w:wordWrap w:val="0"/>
              <w:bidi w:val="0"/>
              <w:spacing w:line="36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（1）评标价低的投标人优先；</w:t>
            </w:r>
          </w:p>
          <w:p w14:paraId="06EE7CD0">
            <w:pPr>
              <w:spacing w:before="154" w:line="369" w:lineRule="auto"/>
              <w:ind w:left="103" w:right="96" w:firstLine="437"/>
              <w:rPr>
                <w:rFonts w:hint="default" w:ascii="Times New Roman" w:hAnsi="Times New Roman" w:cs="Times New Roman"/>
                <w:color w:val="auto"/>
                <w:szCs w:val="21"/>
                <w:highlight w:val="none"/>
              </w:rPr>
            </w:pPr>
            <w:r>
              <w:rPr>
                <w:rFonts w:hint="eastAsia" w:ascii="宋体" w:hAnsi="宋体" w:eastAsia="宋体" w:cs="宋体"/>
                <w:color w:val="auto"/>
                <w:szCs w:val="21"/>
                <w:highlight w:val="none"/>
              </w:rPr>
              <w:t>（2）被招标项目所在地省级交通运输主管部门评为较高信用等级的投标人优先</w:t>
            </w:r>
            <w:r>
              <w:rPr>
                <w:rFonts w:hint="eastAsia" w:ascii="宋体" w:hAnsi="宋体" w:eastAsia="宋体" w:cs="宋体"/>
                <w:color w:val="auto"/>
                <w:szCs w:val="21"/>
                <w:highlight w:val="none"/>
                <w:lang w:eastAsia="zh-CN"/>
              </w:rPr>
              <w:t>。</w:t>
            </w:r>
          </w:p>
        </w:tc>
      </w:tr>
      <w:tr w14:paraId="5BB24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0BD8DC1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2.1.1</w:t>
            </w:r>
          </w:p>
          <w:p w14:paraId="35682629">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3EABD90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38D6558A">
            <w:pPr>
              <w:pageBreakBefore w:val="0"/>
              <w:kinsoku/>
              <w:wordWrap w:val="0"/>
              <w:bidi w:val="0"/>
              <w:spacing w:line="360" w:lineRule="atLeas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第一个信封（商务及技术文件）评审标准：</w:t>
            </w:r>
          </w:p>
          <w:p w14:paraId="3234522A">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14:paraId="378EAEBA">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a.投标函按招标文件规定填报了项目名称、标段号、补遗书编号（如有）、工期、工程质量要求及安全目标；</w:t>
            </w:r>
          </w:p>
          <w:p w14:paraId="62BD457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b.投标函附录的所有数据均符合招标文件规定；</w:t>
            </w:r>
          </w:p>
          <w:p w14:paraId="6CAE701C">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14:paraId="65FC3D93">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14:paraId="25E3D1DC">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）投标人按照招标文件的规定提供了投标保证金：</w:t>
            </w:r>
          </w:p>
          <w:p w14:paraId="210A23F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a.投标保证金金额符合招标文件规定的金额，且投标保证金有效期不少于投标有效期；</w:t>
            </w:r>
          </w:p>
          <w:p w14:paraId="1B4921B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b.若投标保证金采用现金或支票形式提交，投标人应在递交投标文件截止时间之前，将投标保证金由投标人的基本账户转入招标人指定账户；</w:t>
            </w:r>
          </w:p>
          <w:p w14:paraId="74606518">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c.若投标保证金采用银行保函形式提交，银行保函的格式、开具保函的银行均满足招标文件要求。</w:t>
            </w:r>
          </w:p>
          <w:p w14:paraId="753E3C5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d.若投标保证金采用电子保函形式提交，投标人应在投标文件中提供电子保函的原件扫描件、电子化保函验真渠道和从投标人基本账户支出的保函财务费用支付凭证。</w:t>
            </w:r>
          </w:p>
          <w:p w14:paraId="2836355C">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（4）投标人法定代表人授权委托代理人签署投标文件的，须提交授权委托书，且授权人和被授权人均在授权委托书上使用CA数字证书加盖个人电子印章或电子签名章。</w:t>
            </w:r>
          </w:p>
          <w:p w14:paraId="10B49899">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（5）投标人法定代表人亲自签署投标文件的，提供了法定代表人身份证明，且法定代表人在法定代表人身份证明上使用CA数字证书加盖个人电子印章或电子签名。</w:t>
            </w:r>
          </w:p>
          <w:p w14:paraId="5D566FE9">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（6）投标人以联合体形式投标时，联合体满足招标文件的要求：投标人按照招标文件提供的格式签订了联合体协议书，明确各方承担连带责任，并明确了联合体牵头人。</w:t>
            </w:r>
          </w:p>
          <w:p w14:paraId="54753C79">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（7）投标人如有分包计划，符合招标文件第二章“投标人须知”第1.11款规定，且按招标文件第九章“投标文件格式”的要求填写了“拟分包项目情况表”。</w:t>
            </w:r>
          </w:p>
          <w:p w14:paraId="459BD796">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（8）同一投标人未提交两个以上不同的投标文件，但招标文件要求提交备选投标的除外。</w:t>
            </w:r>
          </w:p>
          <w:p w14:paraId="18BE6446">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（9）投标文件中未出现有关投标报价的内容。</w:t>
            </w:r>
          </w:p>
          <w:p w14:paraId="312B1918">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（10）投标文件载明的招标项目完成期限未超过招标文件规定的时限。</w:t>
            </w:r>
          </w:p>
          <w:p w14:paraId="68F19F00">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（11）投标文件对招标文件的实质性要求和条件作出响应。</w:t>
            </w:r>
          </w:p>
          <w:p w14:paraId="33F1A070">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（12）权利义务符合招标文件规定：</w:t>
            </w:r>
          </w:p>
          <w:p w14:paraId="405C0CE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a.投标人应接受招标文件规定的风险划分原则，未提出新的风险划分办法；</w:t>
            </w:r>
          </w:p>
          <w:p w14:paraId="5386581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b.投标人未增加发包人的责任范围，或减少投标人义务；</w:t>
            </w:r>
          </w:p>
          <w:p w14:paraId="4F916527">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c.投标人未提出不同的工程验收、计量、支付办法；</w:t>
            </w:r>
          </w:p>
          <w:p w14:paraId="5649F30F">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d.投标人对合同纠纷、事故处理办法未提出异议；</w:t>
            </w:r>
          </w:p>
          <w:p w14:paraId="09762523">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e.投标人在投标活动中无欺诈行为；</w:t>
            </w:r>
          </w:p>
          <w:p w14:paraId="289FA3E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f.投标人未对合同条款有重要保留。</w:t>
            </w:r>
          </w:p>
          <w:p w14:paraId="74AE666E">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）投标人上传投标文件的标段数量满足第一章“招标公告”第3.3款规定，投标函上填写的标段号与上传的对应项目标段号一致。</w:t>
            </w:r>
          </w:p>
          <w:p w14:paraId="4B47805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（14）未发现投标人与其他投标人存在使用同一不可篡改的唯一标识软硬件设备投标的（如：MAC地址、标书制作特征码、标书唯一特征码等）。</w:t>
            </w:r>
          </w:p>
          <w:p w14:paraId="045C9735">
            <w:pPr>
              <w:pageBreakBefore w:val="0"/>
              <w:kinsoku/>
              <w:wordWrap w:val="0"/>
              <w:bidi w:val="0"/>
              <w:spacing w:line="360" w:lineRule="atLeast"/>
              <w:ind w:firstLine="420" w:firstLineChars="200"/>
              <w:rPr>
                <w:rFonts w:hint="default" w:ascii="Times New Roman" w:hAnsi="Times New Roman" w:cs="Times New Roman"/>
                <w:color w:val="auto"/>
                <w:szCs w:val="21"/>
                <w:highlight w:val="yellow"/>
              </w:rPr>
            </w:pPr>
          </w:p>
          <w:p w14:paraId="2D78C93B">
            <w:pPr>
              <w:pageBreakBefore w:val="0"/>
              <w:kinsoku/>
              <w:wordWrap w:val="0"/>
              <w:bidi w:val="0"/>
              <w:spacing w:line="360" w:lineRule="atLeast"/>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第二个信封（报价文件）评审标准：</w:t>
            </w:r>
          </w:p>
          <w:p w14:paraId="28F88B4A">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14:paraId="27362168">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a.投标函按招标文件规定填报了项目名称、标段号、补遗书编号（如有）、投标价（包括大写金额和小写金额）；</w:t>
            </w:r>
          </w:p>
          <w:p w14:paraId="144966EC">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b.已标价工程量清单说明文字与招标文件规定一致，未进行实质性修改和删减；</w:t>
            </w:r>
          </w:p>
          <w:p w14:paraId="36DE1AA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14:paraId="4840C857">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14:paraId="45E5BD9F">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（3）投标报价或调价函中的报价未超过招标文件设定的最高投标限价（如有）。</w:t>
            </w:r>
          </w:p>
          <w:p w14:paraId="15FAFD6C">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（4）投标报价或调价函中报价的大写金额能够确定具体数值。</w:t>
            </w:r>
          </w:p>
          <w:p w14:paraId="26E9E763">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（5）同一投标人未提交两个以上不同的投标报价，但招标文件要求提交备选投标的除外。</w:t>
            </w:r>
          </w:p>
          <w:p w14:paraId="2542F162">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（6）投标人若填写</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，填写完毕的</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未对</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电子文件中的数据、格式和运算定义进行修改；</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中的投标报价和投标函大写金额报价一致。</w:t>
            </w:r>
          </w:p>
          <w:p w14:paraId="5C6F9DB2">
            <w:pPr>
              <w:pageBreakBefore w:val="0"/>
              <w:kinsoku/>
              <w:wordWrap w:val="0"/>
              <w:bidi w:val="0"/>
              <w:spacing w:line="360" w:lineRule="atLeast"/>
              <w:ind w:firstLine="420" w:firstLineChars="200"/>
              <w:rPr>
                <w:rFonts w:hint="default" w:ascii="Times New Roman" w:hAnsi="Times New Roman" w:cs="Times New Roman"/>
                <w:color w:val="auto"/>
                <w:szCs w:val="21"/>
                <w:highlight w:val="yellow"/>
              </w:rPr>
            </w:pP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7</w:t>
            </w:r>
            <w:r>
              <w:rPr>
                <w:rFonts w:hint="default" w:ascii="Times New Roman" w:hAnsi="Times New Roman" w:cs="Times New Roman"/>
                <w:color w:val="auto"/>
                <w:szCs w:val="21"/>
                <w:highlight w:val="none"/>
              </w:rPr>
              <w:t>）未发现投标人与其他投标人存在使用同一不可篡改的唯一标识软硬件设备投标的（如：MAC地址、标书制作特征码、标书唯一特征码等）。</w:t>
            </w:r>
          </w:p>
        </w:tc>
      </w:tr>
      <w:tr w14:paraId="4246C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17961BAE">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2.1.2</w:t>
            </w:r>
          </w:p>
        </w:tc>
        <w:tc>
          <w:tcPr>
            <w:tcW w:w="1136" w:type="dxa"/>
            <w:gridSpan w:val="2"/>
            <w:tcBorders>
              <w:top w:val="single" w:color="auto" w:sz="4" w:space="0"/>
              <w:right w:val="single" w:color="auto" w:sz="4" w:space="0"/>
            </w:tcBorders>
            <w:noWrap w:val="0"/>
            <w:vAlign w:val="center"/>
          </w:tcPr>
          <w:p w14:paraId="49D53729">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4DCCA8D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（1）投标人的资质等级符合招标文件规定。</w:t>
            </w:r>
          </w:p>
          <w:p w14:paraId="64B12FE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）投标人的财务状况符合招标文件规定。</w:t>
            </w:r>
          </w:p>
          <w:p w14:paraId="0F678C5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）投标人的类似项目业绩符合招标文件规定。</w:t>
            </w:r>
          </w:p>
          <w:p w14:paraId="1F0EFBB1">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）投标人的信誉符合招标文件规定。</w:t>
            </w:r>
          </w:p>
          <w:p w14:paraId="3C699994">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）投标人的项目经理和项目总工资格、在岗情况符合招标文件规定。</w:t>
            </w:r>
          </w:p>
          <w:p w14:paraId="25CC1F0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）投标人的其他要求符合招标文件规定。</w:t>
            </w:r>
            <w:r>
              <w:rPr>
                <w:rFonts w:hint="default" w:ascii="Times New Roman" w:hAnsi="Times New Roman" w:cs="Times New Roman"/>
                <w:color w:val="auto"/>
                <w:szCs w:val="21"/>
                <w:highlight w:val="none"/>
                <w:vertAlign w:val="superscript"/>
              </w:rPr>
              <w:footnoteReference w:id="27"/>
            </w:r>
          </w:p>
          <w:p w14:paraId="2B719D41">
            <w:pPr>
              <w:pageBreakBefore w:val="0"/>
              <w:kinsoku/>
              <w:wordWrap w:val="0"/>
              <w:bidi w:val="0"/>
              <w:spacing w:line="360" w:lineRule="atLeast"/>
              <w:ind w:firstLine="420" w:firstLineChars="200"/>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）投标人不存在第二章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第1.4.3项或第1.4.4项规定的任何一种情形。</w:t>
            </w:r>
          </w:p>
          <w:p w14:paraId="46D5DFF2">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）投标人符合第二章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第1.4.5项规定。</w:t>
            </w:r>
            <w:r>
              <w:rPr>
                <w:rStyle w:val="48"/>
                <w:rFonts w:hint="default" w:ascii="Times New Roman" w:hAnsi="Times New Roman" w:cs="Times New Roman"/>
                <w:color w:val="auto"/>
                <w:highlight w:val="none"/>
              </w:rPr>
              <w:footnoteReference w:id="28"/>
            </w:r>
          </w:p>
          <w:p w14:paraId="35DBC77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）以联合体形式参与投标的，联合体各方均未再以自己名义单独或参加其他联合体在同一标段中投标；独立参与投标的，投标人未同时参加联合体在同一标段中投标。</w:t>
            </w:r>
          </w:p>
        </w:tc>
      </w:tr>
      <w:tr w14:paraId="1CEFD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AA6509F">
            <w:pPr>
              <w:pageBreakBefore w:val="0"/>
              <w:kinsoku/>
              <w:wordWrap w:val="0"/>
              <w:bidi w:val="0"/>
              <w:spacing w:line="36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890EF07">
            <w:pPr>
              <w:pageBreakBefore w:val="0"/>
              <w:kinsoku/>
              <w:wordWrap w:val="0"/>
              <w:bidi w:val="0"/>
              <w:spacing w:line="36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7994F90E">
            <w:pPr>
              <w:pageBreakBefore w:val="0"/>
              <w:kinsoku/>
              <w:wordWrap w:val="0"/>
              <w:bidi w:val="0"/>
              <w:spacing w:line="360" w:lineRule="atLeast"/>
              <w:jc w:val="center"/>
              <w:rPr>
                <w:rFonts w:hint="default" w:ascii="Times New Roman" w:hAnsi="Times New Roman" w:cs="Times New Roman"/>
                <w:b/>
                <w:color w:val="auto"/>
                <w:szCs w:val="21"/>
                <w:highlight w:val="yellow"/>
              </w:rPr>
            </w:pPr>
            <w:r>
              <w:rPr>
                <w:rFonts w:hint="default" w:ascii="Times New Roman" w:hAnsi="Times New Roman" w:cs="Times New Roman"/>
                <w:b/>
                <w:color w:val="auto"/>
                <w:szCs w:val="21"/>
                <w:highlight w:val="none"/>
              </w:rPr>
              <w:t>编列内容</w:t>
            </w:r>
          </w:p>
        </w:tc>
      </w:tr>
      <w:tr w14:paraId="5BBA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59E3485B">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CDC070A">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分值构成</w:t>
            </w:r>
          </w:p>
          <w:p w14:paraId="20A36BA6">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2B4DF90">
            <w:pPr>
              <w:pageBreakBefore w:val="0"/>
              <w:kinsoku/>
              <w:wordWrap w:val="0"/>
              <w:bidi w:val="0"/>
              <w:spacing w:line="360" w:lineRule="atLeast"/>
              <w:rPr>
                <w:rFonts w:hint="default" w:ascii="Times New Roman" w:hAnsi="Times New Roman" w:cs="Times New Roman"/>
                <w:color w:val="auto"/>
                <w:szCs w:val="21"/>
                <w:highlight w:val="yellow"/>
              </w:rPr>
            </w:pPr>
            <w:r>
              <w:rPr>
                <w:rFonts w:hint="default" w:ascii="Times New Roman" w:hAnsi="Times New Roman" w:cs="Times New Roman"/>
                <w:color w:val="auto"/>
                <w:szCs w:val="21"/>
                <w:highlight w:val="none"/>
              </w:rPr>
              <w:t>评标价：100分</w:t>
            </w:r>
          </w:p>
        </w:tc>
      </w:tr>
      <w:tr w14:paraId="7618D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3242207D">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334A8C00">
            <w:pPr>
              <w:pageBreakBefore w:val="0"/>
              <w:kinsoku/>
              <w:wordWrap w:val="0"/>
              <w:bidi w:val="0"/>
              <w:spacing w:line="360" w:lineRule="atLeast"/>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3193521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w:t>
            </w:r>
            <w:r>
              <w:rPr>
                <w:rFonts w:hint="default" w:ascii="Times New Roman" w:hAnsi="Times New Roman" w:eastAsia="宋体" w:cs="Times New Roman"/>
                <w:color w:val="auto"/>
                <w:kern w:val="0"/>
                <w:szCs w:val="21"/>
                <w:highlight w:val="none"/>
                <w:lang w:bidi="ar"/>
              </w:rPr>
              <w:t>个评标期间保持不变，不随任何因素发生变化。</w:t>
            </w:r>
          </w:p>
          <w:p w14:paraId="00E3B86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计算差错，仅限于以下两种情况：1、纯算术性四则运算差错；2、未按约定的规则，多计或少计参加评标价平均值计算的评标价。</w:t>
            </w:r>
          </w:p>
          <w:p w14:paraId="5AECD11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本次招标设定3种评标价平均值（B）计算方法，在第二个信封（报价文件）开标现场，每个标段随机抽取其中1种作为该标段的评标价平均值计算方法。</w:t>
            </w:r>
          </w:p>
          <w:p w14:paraId="68292452">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
              </w:rPr>
              <w:t>一、评标价（A）</w:t>
            </w:r>
          </w:p>
          <w:p w14:paraId="3416424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Cs w:val="21"/>
                <w:highlight w:val="none"/>
                <w:lang w:bidi="ar"/>
              </w:rPr>
              <w:t>评标价=投标函的文字报价</w:t>
            </w:r>
          </w:p>
          <w:p w14:paraId="0C437CE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如果投标文件出现以下1～5任一情况，不参加评标价平均值的计算：</w:t>
            </w:r>
          </w:p>
          <w:p w14:paraId="0DF596D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1、未按要求在投标函上填写投标总价；</w:t>
            </w:r>
          </w:p>
          <w:p w14:paraId="5AEDFA3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2、投标报价超出招标人公布的最高投标限价，或低于招标人公布的最高投标限价的</w:t>
            </w:r>
            <w:r>
              <w:rPr>
                <w:rFonts w:hint="default" w:ascii="Times New Roman" w:hAnsi="Times New Roman" w:eastAsia="宋体" w:cs="Times New Roman"/>
                <w:color w:val="auto"/>
                <w:kern w:val="0"/>
                <w:szCs w:val="21"/>
                <w:highlight w:val="none"/>
                <w:u w:val="single"/>
                <w:lang w:bidi="ar"/>
              </w:rPr>
              <w:t xml:space="preserve">  </w:t>
            </w:r>
            <w:r>
              <w:rPr>
                <w:rFonts w:hint="default" w:ascii="Times New Roman" w:hAnsi="Times New Roman" w:eastAsia="宋体" w:cs="Times New Roman"/>
                <w:color w:val="auto"/>
                <w:kern w:val="0"/>
                <w:szCs w:val="21"/>
                <w:highlight w:val="none"/>
                <w:u w:val="single"/>
                <w:lang w:val="en-US" w:eastAsia="zh-CN" w:bidi="ar"/>
              </w:rPr>
              <w:t>90</w:t>
            </w:r>
            <w:r>
              <w:rPr>
                <w:rFonts w:hint="default" w:ascii="Times New Roman" w:hAnsi="Times New Roman" w:eastAsia="宋体" w:cs="Times New Roman"/>
                <w:color w:val="auto"/>
                <w:kern w:val="0"/>
                <w:szCs w:val="21"/>
                <w:highlight w:val="none"/>
                <w:u w:val="single"/>
                <w:lang w:bidi="ar"/>
              </w:rPr>
              <w:t xml:space="preserve">  </w:t>
            </w:r>
            <w:r>
              <w:rPr>
                <w:rFonts w:hint="default" w:ascii="Times New Roman" w:hAnsi="Times New Roman" w:eastAsia="宋体" w:cs="Times New Roman"/>
                <w:color w:val="auto"/>
                <w:kern w:val="0"/>
                <w:szCs w:val="21"/>
                <w:highlight w:val="none"/>
                <w:lang w:bidi="ar"/>
              </w:rPr>
              <w:t>%；</w:t>
            </w:r>
          </w:p>
          <w:p w14:paraId="0BA8689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3、无法确定投标报价具体数值；</w:t>
            </w:r>
          </w:p>
          <w:p w14:paraId="25684C2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4、投标函上填写的标段号与上传的对应项目标段号不一致（如分标段）；</w:t>
            </w:r>
          </w:p>
          <w:p w14:paraId="42CC4AB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5、投标函中的投标报价大写金额与投标文件工程量清单中的投标报价金额不一致。</w:t>
            </w:r>
          </w:p>
          <w:p w14:paraId="506250F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26E9D6C5">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二、评标价平均值（B）计算方法1</w:t>
            </w:r>
          </w:p>
          <w:p w14:paraId="2CE78AA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C为招标人设定的最高投标限价</w:t>
            </w:r>
            <w:r>
              <w:rPr>
                <w:rFonts w:hint="default" w:ascii="Times New Roman" w:hAnsi="Times New Roman" w:eastAsia="宋体" w:cs="Times New Roman"/>
                <w:color w:val="auto"/>
                <w:kern w:val="0"/>
                <w:szCs w:val="21"/>
                <w:highlight w:val="none"/>
                <w:lang w:eastAsia="zh-CN" w:bidi="ar"/>
              </w:rPr>
              <w:t>，</w:t>
            </w:r>
            <w:r>
              <w:rPr>
                <w:rFonts w:hint="default" w:ascii="Times New Roman" w:hAnsi="Times New Roman" w:eastAsia="宋体" w:cs="Times New Roman"/>
                <w:color w:val="auto"/>
                <w:kern w:val="0"/>
                <w:szCs w:val="21"/>
                <w:highlight w:val="none"/>
                <w:lang w:bidi="ar"/>
              </w:rPr>
              <w:t>如果所有评标价均低于</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%），则评标价平均值（B）直接为</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）。否则，按以下方式计算评标价平均值（B）：</w:t>
            </w:r>
          </w:p>
          <w:p w14:paraId="40F484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1、评标价初始平均值（B1）</w:t>
            </w:r>
          </w:p>
          <w:p w14:paraId="2DDEA48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所有参加评标价平均值计算的评标价的算术平均值为评标价初始平均值B1。</w:t>
            </w:r>
          </w:p>
          <w:p w14:paraId="1481AFF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评标价初始平均值（B1）保留七位小数，小数点后第八位“四舍五入”。</w:t>
            </w:r>
          </w:p>
          <w:p w14:paraId="29086F4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2、评标价区段平均值（B2）</w:t>
            </w:r>
          </w:p>
          <w:p w14:paraId="53F7FC6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根据下述区段计算评标价区段平均值（</w:t>
            </w:r>
            <w:r>
              <w:rPr>
                <w:rFonts w:hint="default" w:ascii="Times New Roman" w:hAnsi="Times New Roman" w:eastAsia="宋体" w:cs="Times New Roman"/>
                <w:color w:val="auto"/>
                <w:szCs w:val="21"/>
                <w:highlight w:val="none"/>
              </w:rPr>
              <w:t>B2.1、B2.2、……、B2.15、B2.16</w:t>
            </w:r>
            <w:r>
              <w:rPr>
                <w:rFonts w:hint="default" w:ascii="Times New Roman" w:hAnsi="Times New Roman" w:eastAsia="宋体" w:cs="Times New Roman"/>
                <w:color w:val="auto"/>
                <w:kern w:val="0"/>
                <w:szCs w:val="21"/>
                <w:highlight w:val="none"/>
                <w:lang w:bidi="ar"/>
              </w:rPr>
              <w:t>），各区段平均值为该区段内各评标价的算术平均值。如：B2.2为“1.03*B1（不含）～1.035*B1（含）”范围内的所有评标价的算术平均值。评标价区段平均值（B2）保留七位小数，小数点后第八位“四舍五入”。</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1525"/>
            </w:tblGrid>
            <w:tr w14:paraId="6C27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51EF1F43">
                  <w:pPr>
                    <w:widowControl w:val="0"/>
                    <w:spacing w:line="360" w:lineRule="exact"/>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区段</w:t>
                  </w:r>
                </w:p>
              </w:tc>
              <w:tc>
                <w:tcPr>
                  <w:tcW w:w="1564" w:type="pct"/>
                  <w:vAlign w:val="center"/>
                </w:tcPr>
                <w:p w14:paraId="313EACB8">
                  <w:pPr>
                    <w:widowControl w:val="0"/>
                    <w:spacing w:line="360" w:lineRule="exact"/>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区段平均值（B2）</w:t>
                  </w:r>
                </w:p>
              </w:tc>
            </w:tr>
            <w:tr w14:paraId="1E9E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05D9A48A">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1.035*B1&lt;评标价</w:t>
                  </w:r>
                </w:p>
              </w:tc>
              <w:tc>
                <w:tcPr>
                  <w:tcW w:w="1564" w:type="pct"/>
                  <w:vAlign w:val="center"/>
                </w:tcPr>
                <w:p w14:paraId="4EABA966">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w:t>
                  </w:r>
                </w:p>
              </w:tc>
            </w:tr>
            <w:tr w14:paraId="6B2C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90315A3">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1.03*B1&lt;评标价≤1.035*B1</w:t>
                  </w:r>
                </w:p>
              </w:tc>
              <w:tc>
                <w:tcPr>
                  <w:tcW w:w="1564" w:type="pct"/>
                  <w:vAlign w:val="center"/>
                </w:tcPr>
                <w:p w14:paraId="74E45295">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B2.2</w:t>
                  </w:r>
                </w:p>
              </w:tc>
            </w:tr>
            <w:tr w14:paraId="35CD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36F7A883">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1.025*B1&lt;评标价≤1.03*B1</w:t>
                  </w:r>
                </w:p>
              </w:tc>
              <w:tc>
                <w:tcPr>
                  <w:tcW w:w="1564" w:type="pct"/>
                  <w:vAlign w:val="center"/>
                </w:tcPr>
                <w:p w14:paraId="11E2504A">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B2.3</w:t>
                  </w:r>
                </w:p>
              </w:tc>
            </w:tr>
            <w:tr w14:paraId="20D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67D04999">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1.02*B1&lt;评标价≤1.025*B1</w:t>
                  </w:r>
                </w:p>
              </w:tc>
              <w:tc>
                <w:tcPr>
                  <w:tcW w:w="1564" w:type="pct"/>
                  <w:vAlign w:val="center"/>
                </w:tcPr>
                <w:p w14:paraId="4F3D7A1E">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B2.4</w:t>
                  </w:r>
                </w:p>
              </w:tc>
            </w:tr>
            <w:tr w14:paraId="11FA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5CDDC951">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1.015*B1&lt;评标价≤1.02*B1</w:t>
                  </w:r>
                </w:p>
              </w:tc>
              <w:tc>
                <w:tcPr>
                  <w:tcW w:w="1564" w:type="pct"/>
                  <w:vAlign w:val="center"/>
                </w:tcPr>
                <w:p w14:paraId="1A095B67">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B2.5</w:t>
                  </w:r>
                </w:p>
              </w:tc>
            </w:tr>
            <w:tr w14:paraId="698A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4C2945EF">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1.01*B1&lt;评标价≤1.015*B1</w:t>
                  </w:r>
                </w:p>
              </w:tc>
              <w:tc>
                <w:tcPr>
                  <w:tcW w:w="1564" w:type="pct"/>
                  <w:vAlign w:val="center"/>
                </w:tcPr>
                <w:p w14:paraId="745673F6">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B2.6</w:t>
                  </w:r>
                </w:p>
              </w:tc>
            </w:tr>
            <w:tr w14:paraId="3116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75058B4">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1.005*B1&lt;评标价≤1.01*B1</w:t>
                  </w:r>
                </w:p>
              </w:tc>
              <w:tc>
                <w:tcPr>
                  <w:tcW w:w="1564" w:type="pct"/>
                  <w:vAlign w:val="center"/>
                </w:tcPr>
                <w:p w14:paraId="21B134DB">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B2.7</w:t>
                  </w:r>
                </w:p>
              </w:tc>
            </w:tr>
            <w:tr w14:paraId="6C4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42B0BC0D">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1.00*B1&lt;评标价≤1.005*B1</w:t>
                  </w:r>
                </w:p>
              </w:tc>
              <w:tc>
                <w:tcPr>
                  <w:tcW w:w="1564" w:type="pct"/>
                  <w:vAlign w:val="center"/>
                </w:tcPr>
                <w:p w14:paraId="19749E60">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B2.8</w:t>
                  </w:r>
                </w:p>
              </w:tc>
            </w:tr>
            <w:tr w14:paraId="579A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0527F55D">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0.995*B1&lt;评标价≤1.00*B1</w:t>
                  </w:r>
                </w:p>
              </w:tc>
              <w:tc>
                <w:tcPr>
                  <w:tcW w:w="1564" w:type="pct"/>
                  <w:vAlign w:val="center"/>
                </w:tcPr>
                <w:p w14:paraId="3693E7BF">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B2.9</w:t>
                  </w:r>
                </w:p>
              </w:tc>
            </w:tr>
            <w:tr w14:paraId="2007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68AE7646">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0.99*B1&lt;评标价≤0.995*B1</w:t>
                  </w:r>
                </w:p>
              </w:tc>
              <w:tc>
                <w:tcPr>
                  <w:tcW w:w="1564" w:type="pct"/>
                  <w:vAlign w:val="center"/>
                </w:tcPr>
                <w:p w14:paraId="425B8678">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B2.10</w:t>
                  </w:r>
                </w:p>
              </w:tc>
            </w:tr>
            <w:tr w14:paraId="4B09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73590F07">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0.985*B1&lt;评标价≤0.99*B1</w:t>
                  </w:r>
                </w:p>
              </w:tc>
              <w:tc>
                <w:tcPr>
                  <w:tcW w:w="1564" w:type="pct"/>
                  <w:vAlign w:val="center"/>
                </w:tcPr>
                <w:p w14:paraId="7D21B10E">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B2.11</w:t>
                  </w:r>
                </w:p>
              </w:tc>
            </w:tr>
            <w:tr w14:paraId="398B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49E0B69">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0.98*B1&lt;评标价≤0.985*B1</w:t>
                  </w:r>
                </w:p>
              </w:tc>
              <w:tc>
                <w:tcPr>
                  <w:tcW w:w="1564" w:type="pct"/>
                  <w:vAlign w:val="center"/>
                </w:tcPr>
                <w:p w14:paraId="58FF2046">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B2.12</w:t>
                  </w:r>
                </w:p>
              </w:tc>
            </w:tr>
            <w:tr w14:paraId="62DE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49D0BFF0">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0.975*B1&lt;评标价≤0.98*B1</w:t>
                  </w:r>
                </w:p>
              </w:tc>
              <w:tc>
                <w:tcPr>
                  <w:tcW w:w="1564" w:type="pct"/>
                  <w:vAlign w:val="center"/>
                </w:tcPr>
                <w:p w14:paraId="725BD2E2">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B2.13</w:t>
                  </w:r>
                </w:p>
              </w:tc>
            </w:tr>
            <w:tr w14:paraId="329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15DE5CF6">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0.97*B1&lt;评标价≤0.975*B1</w:t>
                  </w:r>
                </w:p>
              </w:tc>
              <w:tc>
                <w:tcPr>
                  <w:tcW w:w="1564" w:type="pct"/>
                  <w:vAlign w:val="center"/>
                </w:tcPr>
                <w:p w14:paraId="731A7111">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B2.14</w:t>
                  </w:r>
                </w:p>
              </w:tc>
            </w:tr>
            <w:tr w14:paraId="638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E20BEF2">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0.965*B1≤评标价≤0.97*B1</w:t>
                  </w:r>
                </w:p>
              </w:tc>
              <w:tc>
                <w:tcPr>
                  <w:tcW w:w="1564" w:type="pct"/>
                  <w:vAlign w:val="center"/>
                </w:tcPr>
                <w:p w14:paraId="30DFF2B1">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B2.15</w:t>
                  </w:r>
                </w:p>
              </w:tc>
            </w:tr>
            <w:tr w14:paraId="7120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52DBD8EB">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评标价&lt;0.965*B1</w:t>
                  </w:r>
                </w:p>
              </w:tc>
              <w:tc>
                <w:tcPr>
                  <w:tcW w:w="1564" w:type="pct"/>
                  <w:vAlign w:val="center"/>
                </w:tcPr>
                <w:p w14:paraId="3635109F">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B2.16</w:t>
                  </w:r>
                </w:p>
              </w:tc>
            </w:tr>
          </w:tbl>
          <w:p w14:paraId="67EE17C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3、评标价平均值（B）</w:t>
            </w:r>
          </w:p>
          <w:p w14:paraId="3EA2A4B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（1）按下列公式，将计算得出的区段平均值（</w:t>
            </w:r>
            <w:r>
              <w:rPr>
                <w:rFonts w:hint="default" w:ascii="Times New Roman" w:hAnsi="Times New Roman" w:eastAsia="宋体" w:cs="Times New Roman"/>
                <w:color w:val="auto"/>
                <w:szCs w:val="21"/>
                <w:highlight w:val="none"/>
              </w:rPr>
              <w:t>B2.1、B2.2、……、B2.15、B2.16</w:t>
            </w:r>
            <w:r>
              <w:rPr>
                <w:rFonts w:hint="default" w:ascii="Times New Roman" w:hAnsi="Times New Roman" w:eastAsia="宋体" w:cs="Times New Roman"/>
                <w:color w:val="auto"/>
                <w:kern w:val="0"/>
                <w:szCs w:val="21"/>
                <w:highlight w:val="none"/>
                <w:lang w:bidi="ar"/>
              </w:rPr>
              <w:t>）进行加权平均（B2.1和B2.16权重为0.1，B2.2和B2.15权重为0.3，B2.3和B2.14权重为0.5，其余权重为1.0），得出评标价平均值（B）。评标价平均值（B）保留七位小数，小数点后第八位“四舍五入”。</w:t>
            </w:r>
          </w:p>
          <w:p w14:paraId="5BFF9EC8">
            <w:pPr>
              <w:widowControl w:val="0"/>
              <w:wordWrap w:val="0"/>
              <w:spacing w:line="360" w:lineRule="exact"/>
              <w:ind w:firstLine="420" w:firstLineChars="20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B=[0.1*</w:t>
            </w:r>
            <w:r>
              <w:rPr>
                <w:rFonts w:hint="default" w:ascii="Times New Roman" w:hAnsi="Times New Roman" w:eastAsia="宋体" w:cs="Times New Roman"/>
                <w:color w:val="auto"/>
                <w:kern w:val="2"/>
                <w:sz w:val="21"/>
                <w:szCs w:val="21"/>
                <w:highlight w:val="none"/>
                <w:lang w:val="en-US" w:eastAsia="zh-CN" w:bidi="ar-SA"/>
              </w:rPr>
              <w:t>B2.1</w:t>
            </w:r>
            <w:r>
              <w:rPr>
                <w:rFonts w:hint="default" w:ascii="Times New Roman" w:hAnsi="Times New Roman" w:eastAsia="宋体" w:cs="Times New Roman"/>
                <w:color w:val="auto"/>
                <w:kern w:val="0"/>
                <w:sz w:val="21"/>
                <w:szCs w:val="21"/>
                <w:highlight w:val="none"/>
                <w:lang w:val="en-US" w:eastAsia="zh-CN" w:bidi="ar"/>
              </w:rPr>
              <w:t>+0.3*</w:t>
            </w:r>
            <w:r>
              <w:rPr>
                <w:rFonts w:hint="default" w:ascii="Times New Roman" w:hAnsi="Times New Roman" w:eastAsia="宋体" w:cs="Times New Roman"/>
                <w:color w:val="auto"/>
                <w:kern w:val="2"/>
                <w:sz w:val="21"/>
                <w:szCs w:val="21"/>
                <w:highlight w:val="none"/>
                <w:lang w:val="en-US" w:eastAsia="zh-CN" w:bidi="ar-SA"/>
              </w:rPr>
              <w:t>B2.2</w:t>
            </w:r>
            <w:r>
              <w:rPr>
                <w:rFonts w:hint="default" w:ascii="Times New Roman" w:hAnsi="Times New Roman" w:eastAsia="宋体" w:cs="Times New Roman"/>
                <w:color w:val="auto"/>
                <w:kern w:val="0"/>
                <w:sz w:val="21"/>
                <w:szCs w:val="21"/>
                <w:highlight w:val="none"/>
                <w:lang w:val="en-US" w:eastAsia="zh-CN" w:bidi="ar"/>
              </w:rPr>
              <w:t>+0.5*</w:t>
            </w:r>
            <w:r>
              <w:rPr>
                <w:rFonts w:hint="default" w:ascii="Times New Roman" w:hAnsi="Times New Roman" w:eastAsia="宋体" w:cs="Times New Roman"/>
                <w:color w:val="auto"/>
                <w:kern w:val="2"/>
                <w:sz w:val="21"/>
                <w:szCs w:val="21"/>
                <w:highlight w:val="none"/>
                <w:lang w:val="en-US" w:eastAsia="zh-CN" w:bidi="ar-SA"/>
              </w:rPr>
              <w:t>B2.3</w:t>
            </w:r>
            <w:r>
              <w:rPr>
                <w:rFonts w:hint="default" w:ascii="Times New Roman" w:hAnsi="Times New Roman" w:eastAsia="宋体" w:cs="Times New Roman"/>
                <w:color w:val="auto"/>
                <w:kern w:val="0"/>
                <w:sz w:val="21"/>
                <w:szCs w:val="21"/>
                <w:highlight w:val="none"/>
                <w:lang w:val="en-US" w:eastAsia="zh-CN" w:bidi="ar"/>
              </w:rPr>
              <w:t>+1.0*（</w:t>
            </w:r>
            <w:r>
              <w:rPr>
                <w:rFonts w:hint="default" w:ascii="Times New Roman" w:hAnsi="Times New Roman" w:eastAsia="宋体" w:cs="Times New Roman"/>
                <w:color w:val="auto"/>
                <w:kern w:val="2"/>
                <w:sz w:val="21"/>
                <w:szCs w:val="21"/>
                <w:highlight w:val="none"/>
                <w:lang w:val="en-US" w:eastAsia="zh-CN" w:bidi="ar-SA"/>
              </w:rPr>
              <w:t>B2.4+B2.5+……+B2.12+B2.13</w:t>
            </w:r>
            <w:r>
              <w:rPr>
                <w:rFonts w:hint="default" w:ascii="Times New Roman" w:hAnsi="Times New Roman" w:eastAsia="宋体" w:cs="Times New Roman"/>
                <w:color w:val="auto"/>
                <w:kern w:val="0"/>
                <w:sz w:val="21"/>
                <w:szCs w:val="21"/>
                <w:highlight w:val="none"/>
                <w:lang w:val="en-US" w:eastAsia="zh-CN" w:bidi="ar"/>
              </w:rPr>
              <w:t>）+0.5*</w:t>
            </w:r>
            <w:r>
              <w:rPr>
                <w:rFonts w:hint="default" w:ascii="Times New Roman" w:hAnsi="Times New Roman" w:eastAsia="宋体" w:cs="Times New Roman"/>
                <w:color w:val="auto"/>
                <w:kern w:val="2"/>
                <w:sz w:val="21"/>
                <w:szCs w:val="21"/>
                <w:highlight w:val="none"/>
                <w:lang w:val="en-US" w:eastAsia="zh-CN" w:bidi="ar-SA"/>
              </w:rPr>
              <w:t>B2.14+</w:t>
            </w:r>
            <w:r>
              <w:rPr>
                <w:rFonts w:hint="default" w:ascii="Times New Roman" w:hAnsi="Times New Roman" w:eastAsia="宋体" w:cs="Times New Roman"/>
                <w:color w:val="auto"/>
                <w:kern w:val="0"/>
                <w:sz w:val="21"/>
                <w:szCs w:val="21"/>
                <w:highlight w:val="none"/>
                <w:lang w:val="en-US" w:eastAsia="zh-CN" w:bidi="ar"/>
              </w:rPr>
              <w:t>0.3*</w:t>
            </w:r>
            <w:r>
              <w:rPr>
                <w:rFonts w:hint="default" w:ascii="Times New Roman" w:hAnsi="Times New Roman" w:eastAsia="宋体" w:cs="Times New Roman"/>
                <w:color w:val="auto"/>
                <w:kern w:val="2"/>
                <w:sz w:val="21"/>
                <w:szCs w:val="21"/>
                <w:highlight w:val="none"/>
                <w:lang w:val="en-US" w:eastAsia="zh-CN" w:bidi="ar-SA"/>
              </w:rPr>
              <w:t>B2.15+0.1*B2.16</w:t>
            </w:r>
            <w:r>
              <w:rPr>
                <w:rFonts w:hint="default" w:ascii="Times New Roman" w:hAnsi="Times New Roman" w:eastAsia="宋体" w:cs="Times New Roman"/>
                <w:color w:val="auto"/>
                <w:kern w:val="0"/>
                <w:sz w:val="21"/>
                <w:szCs w:val="21"/>
                <w:highlight w:val="none"/>
                <w:lang w:val="en-US" w:eastAsia="zh-CN" w:bidi="ar"/>
              </w:rPr>
              <w:t>]/[0.1+0.3+0.5+1.0+1.0+1.0+1.0+1.0+1.0+1.0+1.0+1.0+1.0+0.5+0.3+0.1]。</w:t>
            </w:r>
          </w:p>
          <w:p w14:paraId="3D9231B1">
            <w:pPr>
              <w:widowControl w:val="0"/>
              <w:wordWrap w:val="0"/>
              <w:spacing w:line="360" w:lineRule="exact"/>
              <w:ind w:firstLine="420" w:firstLineChars="20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（2）如果某区段无区段平均值，则该区段不计区段平均值。如：无B2.1、B2.3、B2.9、B2.15等区段平均值，即B2.1、B2.3、B2.9、B2.15以及其权重均等于0，则评标价平均值B=[0.0*0.0+0.3*</w:t>
            </w:r>
            <w:r>
              <w:rPr>
                <w:rFonts w:hint="default" w:ascii="Times New Roman" w:hAnsi="Times New Roman" w:eastAsia="宋体" w:cs="Times New Roman"/>
                <w:color w:val="auto"/>
                <w:kern w:val="2"/>
                <w:sz w:val="21"/>
                <w:szCs w:val="21"/>
                <w:highlight w:val="none"/>
                <w:lang w:val="en-US" w:eastAsia="zh-CN" w:bidi="ar-SA"/>
              </w:rPr>
              <w:t>B2.2+</w:t>
            </w:r>
            <w:r>
              <w:rPr>
                <w:rFonts w:hint="default" w:ascii="Times New Roman" w:hAnsi="Times New Roman" w:eastAsia="宋体" w:cs="Times New Roman"/>
                <w:color w:val="auto"/>
                <w:kern w:val="0"/>
                <w:sz w:val="21"/>
                <w:szCs w:val="21"/>
                <w:highlight w:val="none"/>
                <w:lang w:val="en-US" w:eastAsia="zh-CN" w:bidi="ar"/>
              </w:rPr>
              <w:t>0.0*0.0+1.0*（</w:t>
            </w:r>
            <w:r>
              <w:rPr>
                <w:rFonts w:hint="default" w:ascii="Times New Roman" w:hAnsi="Times New Roman" w:eastAsia="宋体" w:cs="Times New Roman"/>
                <w:color w:val="auto"/>
                <w:kern w:val="2"/>
                <w:sz w:val="21"/>
                <w:szCs w:val="21"/>
                <w:highlight w:val="none"/>
                <w:lang w:val="en-US" w:eastAsia="zh-CN" w:bidi="ar-SA"/>
              </w:rPr>
              <w:t>B2.4+B2.5+……+B2.8+</w:t>
            </w:r>
            <w:r>
              <w:rPr>
                <w:rFonts w:hint="default" w:ascii="Times New Roman" w:hAnsi="Times New Roman" w:eastAsia="宋体" w:cs="Times New Roman"/>
                <w:color w:val="auto"/>
                <w:kern w:val="0"/>
                <w:sz w:val="21"/>
                <w:szCs w:val="21"/>
                <w:highlight w:val="none"/>
                <w:lang w:val="en-US" w:eastAsia="zh-CN" w:bidi="ar"/>
              </w:rPr>
              <w:t>0.0+</w:t>
            </w:r>
            <w:r>
              <w:rPr>
                <w:rFonts w:hint="default" w:ascii="Times New Roman" w:hAnsi="Times New Roman" w:eastAsia="宋体" w:cs="Times New Roman"/>
                <w:color w:val="auto"/>
                <w:kern w:val="2"/>
                <w:sz w:val="21"/>
                <w:szCs w:val="21"/>
                <w:highlight w:val="none"/>
                <w:lang w:val="en-US" w:eastAsia="zh-CN" w:bidi="ar-SA"/>
              </w:rPr>
              <w:t>B2.10+……B2.12+B2.13</w:t>
            </w:r>
            <w:r>
              <w:rPr>
                <w:rFonts w:hint="default" w:ascii="Times New Roman" w:hAnsi="Times New Roman" w:eastAsia="宋体" w:cs="Times New Roman"/>
                <w:color w:val="auto"/>
                <w:kern w:val="0"/>
                <w:sz w:val="21"/>
                <w:szCs w:val="21"/>
                <w:highlight w:val="none"/>
                <w:lang w:val="en-US" w:eastAsia="zh-CN" w:bidi="ar"/>
              </w:rPr>
              <w:t>）+0.5*</w:t>
            </w:r>
            <w:r>
              <w:rPr>
                <w:rFonts w:hint="default" w:ascii="Times New Roman" w:hAnsi="Times New Roman" w:eastAsia="宋体" w:cs="Times New Roman"/>
                <w:color w:val="auto"/>
                <w:kern w:val="2"/>
                <w:sz w:val="21"/>
                <w:szCs w:val="21"/>
                <w:highlight w:val="none"/>
                <w:lang w:val="en-US" w:eastAsia="zh-CN" w:bidi="ar-SA"/>
              </w:rPr>
              <w:t>B2.14+</w:t>
            </w:r>
            <w:r>
              <w:rPr>
                <w:rFonts w:hint="default" w:ascii="Times New Roman" w:hAnsi="Times New Roman" w:eastAsia="宋体" w:cs="Times New Roman"/>
                <w:color w:val="auto"/>
                <w:kern w:val="0"/>
                <w:sz w:val="21"/>
                <w:szCs w:val="21"/>
                <w:highlight w:val="none"/>
                <w:lang w:val="en-US" w:eastAsia="zh-CN" w:bidi="ar"/>
              </w:rPr>
              <w:t>0.0*0.0+</w:t>
            </w:r>
            <w:r>
              <w:rPr>
                <w:rFonts w:hint="default" w:ascii="Times New Roman" w:hAnsi="Times New Roman" w:eastAsia="宋体" w:cs="Times New Roman"/>
                <w:color w:val="auto"/>
                <w:kern w:val="2"/>
                <w:sz w:val="21"/>
                <w:szCs w:val="21"/>
                <w:highlight w:val="none"/>
                <w:lang w:val="en-US" w:eastAsia="zh-CN" w:bidi="ar-SA"/>
              </w:rPr>
              <w:t>0.1*B2.16</w:t>
            </w:r>
            <w:r>
              <w:rPr>
                <w:rFonts w:hint="default" w:ascii="Times New Roman" w:hAnsi="Times New Roman" w:eastAsia="宋体" w:cs="Times New Roman"/>
                <w:color w:val="auto"/>
                <w:kern w:val="0"/>
                <w:sz w:val="21"/>
                <w:szCs w:val="21"/>
                <w:highlight w:val="none"/>
                <w:lang w:val="en-US" w:eastAsia="zh-CN" w:bidi="ar"/>
              </w:rPr>
              <w:t>]/[0.0+0.3+0.0+1.0+1.0+1.0+1.0+1.0+0.0+1.0+1.0+1.0+1.0+0.5+0.0+0.1]。</w:t>
            </w:r>
          </w:p>
          <w:p w14:paraId="6E208B7B">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三、评标价平均值（B）计算方法2</w:t>
            </w:r>
          </w:p>
          <w:p w14:paraId="1777C29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根据所有参加评标价平均值计算的评标价（个数用P表示）计算评标价平均值（B）。C为招标人设定的最高投标限价。评标价平均值保留七位小数，小数点后第八位“四舍五入”。</w:t>
            </w:r>
          </w:p>
          <w:p w14:paraId="7E1DDCD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1、当P=0时，即所有评标价均低于</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%），则评标价平均值（B）直接为</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w:t>
            </w:r>
          </w:p>
          <w:p w14:paraId="332A58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2、当0＜P≤5时，评标价平均值（B）为P个评标价的算术平均值。</w:t>
            </w:r>
          </w:p>
          <w:p w14:paraId="2EA60F0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3、当6≤P≤9时，在P个评标价中，去掉1个最高值和1个最低值后的其余评标价的算术平均值为评标价平均值（B）。</w:t>
            </w:r>
          </w:p>
          <w:p w14:paraId="575C411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4、当P≥10时，在P个评标价中，去掉P1个最高值和P2个最低值后的其余评标价的算术平均值为评标价平均值（B）。</w:t>
            </w:r>
          </w:p>
          <w:p w14:paraId="6ECC49A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P1=Q1，P2=Q2。Q1、Q2是在取值区间（1～Q）中随机抽取的两个数值，较大的数值为Q1，较小的数值为Q2。Q=INT（P/5），即Q为（P/5）向下取整。</w:t>
            </w:r>
          </w:p>
          <w:p w14:paraId="78139B4B">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四、评标价平均值（B）计算方法3</w:t>
            </w:r>
          </w:p>
          <w:p w14:paraId="5B62039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根据所有参加评标价平均值计算的评标价（个数用P表示）计算评标价平均值（B）。C为招标人设定的最高投标限价。评标价平均值保留七位小数，小数点后第八位“四舍五入”。</w:t>
            </w:r>
          </w:p>
          <w:p w14:paraId="51944A4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1、当P=0时，即所有评标价均低于</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%），则评标价平均值（B）直接为</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w:t>
            </w:r>
          </w:p>
          <w:p w14:paraId="2D46DC9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2、当0＜P≤5时，评标价平均值（B）为P个评标价的算术平均值。</w:t>
            </w:r>
          </w:p>
          <w:p w14:paraId="5F6FA72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3、当P=6或7时，在P个评标价中，去掉1个最高值和1个最低值后的其余评标价的算术平均值为评标价平均值（B）。</w:t>
            </w:r>
          </w:p>
          <w:p w14:paraId="3995862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4、当P≥8时</w:t>
            </w:r>
          </w:p>
          <w:p w14:paraId="3E2A955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（1）首先，在P个评标价中，去掉P1个最高值和P2个最低值。</w:t>
            </w:r>
          </w:p>
          <w:p w14:paraId="23F846B4">
            <w:pPr>
              <w:widowControl/>
              <w:spacing w:line="360" w:lineRule="exact"/>
              <w:ind w:firstLine="420" w:firstLineChars="200"/>
              <w:jc w:val="left"/>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①当P=8或9时，P1=P2=1；</w:t>
            </w:r>
          </w:p>
          <w:p w14:paraId="7F0E2389">
            <w:pPr>
              <w:widowControl/>
              <w:spacing w:line="360" w:lineRule="exact"/>
              <w:ind w:firstLine="420" w:firstLineChars="200"/>
              <w:jc w:val="left"/>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②当P=10或11或12或13或14时，P1=2，P2=1；</w:t>
            </w:r>
          </w:p>
          <w:p w14:paraId="5DF441A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③当P≥15时，P1=Q1，P2=Q2。Q1、Q2是在取值区间（1～Q）中随机抽取的两个数值，较大的数值为Q1，较小的数值为Q2。Q=INT（P/5），即Q为（P/5）向下取整且最小为1。</w:t>
            </w:r>
          </w:p>
          <w:p w14:paraId="387A2B8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（2）然后，将其余评标价由低到高排列，对排列第（1、1+R、1+2R、……、1+SR）</w:t>
            </w:r>
            <w:r>
              <w:rPr>
                <w:rFonts w:hint="default" w:ascii="Times New Roman" w:hAnsi="Times New Roman" w:eastAsia="宋体" w:cs="Times New Roman"/>
                <w:color w:val="auto"/>
                <w:highlight w:val="none"/>
              </w:rPr>
              <w:t>的评标价进行算术平均，该算术平均值为</w:t>
            </w:r>
            <w:r>
              <w:rPr>
                <w:rFonts w:hint="default" w:ascii="Times New Roman" w:hAnsi="Times New Roman" w:eastAsia="宋体" w:cs="Times New Roman"/>
                <w:color w:val="auto"/>
                <w:kern w:val="0"/>
                <w:szCs w:val="21"/>
                <w:highlight w:val="none"/>
                <w:lang w:bidi="ar"/>
              </w:rPr>
              <w:t>评标价平均值（B）。</w:t>
            </w:r>
          </w:p>
          <w:p w14:paraId="32AEFC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R为随机步距，在开标现场随机抽取，取值范围为3、4、5。</w:t>
            </w:r>
          </w:p>
          <w:p w14:paraId="7965BA1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S为步距个数，S=INT[（P-P1-P2-1）/R]，即S为[（P-P1-P2-1）/R]向下取整。</w:t>
            </w:r>
          </w:p>
          <w:p w14:paraId="7D0D280E">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五、评标基准价（D）</w:t>
            </w:r>
          </w:p>
          <w:p w14:paraId="62CC4A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D=D=[C*K+B*（1-K）]*（1-Z），保留七位小数，小数点后第八位“四舍五入”。</w:t>
            </w:r>
          </w:p>
          <w:p w14:paraId="0EE8787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Cs w:val="21"/>
                <w:highlight w:val="none"/>
                <w:lang w:bidi="ar"/>
              </w:rPr>
              <w:t>式中：</w:t>
            </w:r>
          </w:p>
          <w:p w14:paraId="319B4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1、C为招标人设定的最高投标限价，B为评标价平均值。</w:t>
            </w:r>
          </w:p>
          <w:p w14:paraId="756A881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2、K为</w:t>
            </w:r>
            <w:r>
              <w:rPr>
                <w:rFonts w:hint="default" w:ascii="Times New Roman" w:hAnsi="Times New Roman" w:eastAsia="宋体" w:cs="Times New Roman"/>
                <w:color w:val="auto"/>
                <w:highlight w:val="none"/>
              </w:rPr>
              <w:t>权重系数，K=[（K1/10）+K2]/10。各标段的K1在开标现场从0、1、2、3、4、5、6、7、8、9等10个系数中随机抽取。各标段的K2在开标现场从0、0.5、1等3个系数中随机抽取。</w:t>
            </w:r>
          </w:p>
          <w:p w14:paraId="612DABC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color w:val="auto"/>
                <w:szCs w:val="21"/>
                <w:highlight w:val="yellow"/>
              </w:rPr>
            </w:pPr>
            <w:r>
              <w:rPr>
                <w:rFonts w:hint="default" w:ascii="Times New Roman" w:hAnsi="Times New Roman" w:eastAsia="宋体" w:cs="Times New Roman"/>
                <w:color w:val="auto"/>
                <w:kern w:val="0"/>
                <w:sz w:val="21"/>
                <w:szCs w:val="21"/>
                <w:highlight w:val="none"/>
                <w:lang w:val="en-US" w:eastAsia="zh-CN" w:bidi="ar"/>
              </w:rPr>
              <w:t>3、Z为下浮系数，各标段的Z</w:t>
            </w:r>
            <w:r>
              <w:rPr>
                <w:rFonts w:hint="default" w:ascii="Times New Roman" w:hAnsi="Times New Roman" w:eastAsia="宋体" w:cs="Times New Roman"/>
                <w:color w:val="auto"/>
                <w:kern w:val="2"/>
                <w:sz w:val="21"/>
                <w:szCs w:val="21"/>
                <w:highlight w:val="none"/>
                <w:lang w:val="en-US" w:eastAsia="zh-CN" w:bidi="ar-SA"/>
              </w:rPr>
              <w:t>在开标现场</w:t>
            </w:r>
            <w:r>
              <w:rPr>
                <w:rFonts w:hint="default" w:ascii="Times New Roman" w:hAnsi="Times New Roman" w:eastAsia="宋体" w:cs="Times New Roman"/>
                <w:color w:val="auto"/>
                <w:kern w:val="0"/>
                <w:sz w:val="21"/>
                <w:szCs w:val="21"/>
                <w:highlight w:val="none"/>
                <w:lang w:val="en-US" w:eastAsia="zh-CN" w:bidi="ar"/>
              </w:rPr>
              <w:t>均从0%、0.1%、0.2%、0.3%、0.4%、0.5%、0.6%、0.7%、0.8%、0.9%、1.0%、1.1%、1.2%、1.3%、1.4%、1.5%、1.6%、1.7%、1.8%、1.9%、2%等21个系数中随机抽取。</w:t>
            </w:r>
          </w:p>
        </w:tc>
      </w:tr>
      <w:tr w14:paraId="656B2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46015F67">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021300F9">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576F6407">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偏差率=100%×（投标人评标价－评标基准价）/评标基准价</w:t>
            </w:r>
          </w:p>
          <w:p w14:paraId="5906F9DC">
            <w:pPr>
              <w:pageBreakBefore w:val="0"/>
              <w:kinsoku/>
              <w:wordWrap w:val="0"/>
              <w:bidi w:val="0"/>
              <w:spacing w:line="360" w:lineRule="atLeast"/>
              <w:rPr>
                <w:rFonts w:hint="default" w:ascii="Times New Roman" w:hAnsi="Times New Roman" w:cs="Times New Roman"/>
                <w:color w:val="auto"/>
                <w:szCs w:val="21"/>
                <w:highlight w:val="yellow"/>
              </w:rPr>
            </w:pPr>
            <w:r>
              <w:rPr>
                <w:rFonts w:hint="default" w:ascii="Times New Roman" w:hAnsi="Times New Roman" w:cs="Times New Roman"/>
                <w:color w:val="auto"/>
                <w:szCs w:val="21"/>
                <w:highlight w:val="none"/>
              </w:rPr>
              <w:t>偏差率保留</w:t>
            </w:r>
            <w:r>
              <w:rPr>
                <w:rFonts w:hint="eastAsia" w:cs="Times New Roman"/>
                <w:color w:val="auto"/>
                <w:szCs w:val="21"/>
                <w:highlight w:val="none"/>
                <w:u w:val="single"/>
                <w:lang w:val="en-US" w:eastAsia="zh-CN"/>
              </w:rPr>
              <w:t xml:space="preserve"> 2 </w:t>
            </w:r>
            <w:r>
              <w:rPr>
                <w:rFonts w:hint="default" w:ascii="Times New Roman" w:hAnsi="Times New Roman" w:cs="Times New Roman"/>
                <w:color w:val="auto"/>
                <w:szCs w:val="21"/>
                <w:highlight w:val="none"/>
              </w:rPr>
              <w:t>位小数</w:t>
            </w:r>
          </w:p>
        </w:tc>
      </w:tr>
      <w:tr w14:paraId="002E0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774724A1">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1F165B8F">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64513ADE">
            <w:pPr>
              <w:pageBreakBefore w:val="0"/>
              <w:kinsoku/>
              <w:wordWrap w:val="0"/>
              <w:bidi w:val="0"/>
              <w:spacing w:line="360" w:lineRule="atLeast"/>
              <w:jc w:val="center"/>
              <w:rPr>
                <w:rFonts w:hint="default" w:ascii="Times New Roman" w:hAnsi="Times New Roman" w:cs="Times New Roman"/>
                <w:color w:val="auto"/>
                <w:szCs w:val="21"/>
                <w:highlight w:val="yellow"/>
              </w:rPr>
            </w:pPr>
            <w:r>
              <w:rPr>
                <w:rFonts w:hint="default" w:ascii="Times New Roman" w:hAnsi="Times New Roman" w:cs="Times New Roman"/>
                <w:b/>
                <w:color w:val="auto"/>
                <w:szCs w:val="21"/>
                <w:highlight w:val="none"/>
              </w:rPr>
              <w:t>评分标准</w:t>
            </w:r>
          </w:p>
        </w:tc>
      </w:tr>
      <w:tr w14:paraId="5EA5D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49EE110C">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7CDD5663">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5A54D3BC">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100分</w:t>
            </w:r>
          </w:p>
          <w:p w14:paraId="57E8C5D1">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评标价得分计算公式示例：</w:t>
            </w:r>
          </w:p>
          <w:p w14:paraId="7C442442">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（1）如果投标人的评标价&gt;评标基准价，则评标价得分＝100－偏差率×100×</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w:t>
            </w:r>
          </w:p>
          <w:p w14:paraId="3B75A8DB">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（2）如果投标人的评标价≤评标基准价，则评标价得分＝100＋偏差率×100×</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w:t>
            </w:r>
          </w:p>
        </w:tc>
      </w:tr>
      <w:tr w14:paraId="66B4C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D679596">
            <w:pPr>
              <w:keepNext w:val="0"/>
              <w:keepLines w:val="0"/>
              <w:pageBreakBefore w:val="0"/>
              <w:kinsoku/>
              <w:wordWrap w:val="0"/>
              <w:overflowPunct/>
              <w:topLinePunct w:val="0"/>
              <w:autoSpaceDE/>
              <w:autoSpaceDN/>
              <w:bidi w:val="0"/>
              <w:adjustRightInd/>
              <w:snapToGrid/>
              <w:spacing w:line="300" w:lineRule="auto"/>
              <w:ind w:firstLine="210" w:firstLineChars="1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需要补充的其他内容：</w:t>
            </w:r>
          </w:p>
          <w:p w14:paraId="60604214">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1.评标办法</w:t>
            </w:r>
          </w:p>
          <w:p w14:paraId="1C680C5D">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本条细化为：</w:t>
            </w:r>
          </w:p>
          <w:p w14:paraId="496EA6CF">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1.1本次评标采用双信封形式合理低价法，评标委员会首先对投标文件第一个信封（商务与技术文件）进行初步评审（形式评审与响应性评审、资格评审），通过第一个信封初步评审后的投标文件方可进入第二个信封（报价文件）的开标。第二个信封的开标在监督人的监督下进行，未通过第一个信封初步评审投标人的第二个信封原封退回，不参与第二个信封的开标。评标委员会对投标文件第二个信封进行形式和响应性评审，并按照本章第2.2款规定的评分标准进行评分，然后按评标价得分由高到低顺序推荐中标候选人，但投标报价低于其成本的除外。</w:t>
            </w:r>
          </w:p>
          <w:p w14:paraId="6C5BEFE7">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1.2当两家及以上投标人综合评分相等时，评标委员会依次按照以下优先顺序推荐中标候选人或确定中标人：</w:t>
            </w:r>
          </w:p>
          <w:p w14:paraId="1A780C3E">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（1）以评标价较低者优先；</w:t>
            </w:r>
          </w:p>
          <w:p w14:paraId="796BB0FB">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（2）被招标项目所在地省级交通运输主管部门评为较高信用等级的投标人优先。</w:t>
            </w:r>
          </w:p>
          <w:p w14:paraId="628FD779">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注：当两家及以上投标人在标段中的评标价得分相等且评标价也相等时，若各投标人工程量清单子目单价也相同时，视为串标，其投标均被否决。</w:t>
            </w:r>
          </w:p>
          <w:p w14:paraId="79FB2E41">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1.3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 应当在评标报告中阐明理由并推荐这一标段中标候选人。</w:t>
            </w:r>
          </w:p>
          <w:p w14:paraId="3E328384">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某一标段通过第一个信封评审且参与第二个信封开标的投标人少于3个的，评标委员会可以否决这一标段全部投标；未否决这一标段全部投标的，评标委员会应当在评标报告中阐明理由，招标人将按规定的程序进行第二个信封开标，但评标委员会在进行第二个信封评审时仍有权否决这一标段全部投标；评标委员会未在第二个信封评审时否决全部投标的，应当在评标报告中阐明理由并推荐这一标段中标候选人。</w:t>
            </w:r>
          </w:p>
          <w:p w14:paraId="10661A9F">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lang w:eastAsia="zh-CN"/>
              </w:rPr>
            </w:pPr>
            <w:r>
              <w:rPr>
                <w:rFonts w:hint="eastAsia" w:ascii="宋体" w:hAnsi="宋体" w:eastAsia="宋体" w:cs="宋体"/>
                <w:color w:val="auto"/>
                <w:kern w:val="0"/>
                <w:szCs w:val="21"/>
                <w:lang w:bidi="ar"/>
              </w:rPr>
              <w:t>2.评标结果</w:t>
            </w:r>
          </w:p>
          <w:p w14:paraId="00C66250">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lang w:eastAsia="zh-CN"/>
              </w:rPr>
            </w:pPr>
            <w:r>
              <w:rPr>
                <w:rFonts w:hint="eastAsia" w:ascii="宋体" w:hAnsi="宋体" w:eastAsia="宋体" w:cs="宋体"/>
                <w:color w:val="auto"/>
                <w:kern w:val="0"/>
                <w:szCs w:val="21"/>
                <w:lang w:bidi="ar"/>
              </w:rPr>
              <w:t>2.1评标委员会按照评标方法的规定推荐中标候选人。</w:t>
            </w:r>
          </w:p>
          <w:p w14:paraId="453CD91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lang w:eastAsia="zh-CN"/>
              </w:rPr>
            </w:pPr>
            <w:r>
              <w:rPr>
                <w:rFonts w:hint="eastAsia" w:ascii="宋体" w:hAnsi="宋体" w:eastAsia="宋体" w:cs="宋体"/>
                <w:color w:val="auto"/>
                <w:kern w:val="0"/>
                <w:szCs w:val="21"/>
                <w:lang w:bidi="ar"/>
              </w:rPr>
              <w:t>2.2评标委员会完成评标后，应当向招标人提交书面评标报告。评标报告由评标委员会全</w:t>
            </w:r>
          </w:p>
          <w:p w14:paraId="10AA32B7">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lang w:eastAsia="zh-CN"/>
              </w:rPr>
            </w:pPr>
            <w:r>
              <w:rPr>
                <w:rFonts w:hint="eastAsia" w:ascii="宋体" w:hAnsi="宋体" w:eastAsia="宋体" w:cs="宋体"/>
                <w:color w:val="auto"/>
                <w:kern w:val="0"/>
                <w:szCs w:val="21"/>
                <w:lang w:bidi="ar"/>
              </w:rPr>
              <w:t>体成员签字。对评标结论持有异议的评标委员会成员可以书面方式阐述其不同意见和理</w:t>
            </w:r>
          </w:p>
          <w:p w14:paraId="3B2365F1">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lang w:eastAsia="zh-CN"/>
              </w:rPr>
            </w:pPr>
            <w:r>
              <w:rPr>
                <w:rFonts w:hint="eastAsia" w:ascii="宋体" w:hAnsi="宋体" w:eastAsia="宋体" w:cs="宋体"/>
                <w:color w:val="auto"/>
                <w:kern w:val="0"/>
                <w:szCs w:val="21"/>
                <w:lang w:bidi="ar"/>
              </w:rPr>
              <w:t>由。评标委员会成员拒绝在评标报告上签字且不陈述其不同意见和理由的，视为同意评标</w:t>
            </w:r>
          </w:p>
          <w:p w14:paraId="2AAE3CD3">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结论。</w:t>
            </w:r>
          </w:p>
          <w:p w14:paraId="2EC06AEF">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3、偏差率保留小数点后两位，小数点后第三位“四舍五入”。</w:t>
            </w:r>
          </w:p>
          <w:p w14:paraId="62B757D2">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4、废标条款:</w:t>
            </w:r>
          </w:p>
          <w:p w14:paraId="282943EC">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(1)在形式评审与响应性评审、资格评审中，评标委员会认定投标人的投标不符合评标办法前附表中规定的任何一项评审标准的</w:t>
            </w:r>
            <w:r>
              <w:rPr>
                <w:rFonts w:hint="eastAsia" w:ascii="宋体" w:hAnsi="宋体" w:cs="宋体"/>
                <w:color w:val="auto"/>
                <w:kern w:val="0"/>
                <w:szCs w:val="21"/>
                <w:lang w:val="en-US" w:eastAsia="zh-CN" w:bidi="ar"/>
              </w:rPr>
              <w:t>；</w:t>
            </w:r>
          </w:p>
          <w:p w14:paraId="61631033">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(2)评标委员会认定投标人以低于成本报价竞标的</w:t>
            </w:r>
            <w:r>
              <w:rPr>
                <w:rFonts w:hint="eastAsia" w:ascii="宋体" w:hAnsi="宋体" w:cs="宋体"/>
                <w:color w:val="auto"/>
                <w:kern w:val="0"/>
                <w:szCs w:val="21"/>
                <w:lang w:val="en-US" w:eastAsia="zh-CN" w:bidi="ar"/>
              </w:rPr>
              <w:t>；</w:t>
            </w:r>
          </w:p>
          <w:p w14:paraId="44E3D5BE">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(3)与其他投标人的投标文件分部、分项报价错漏一致，且没有合理解释的</w:t>
            </w:r>
            <w:r>
              <w:rPr>
                <w:rFonts w:hint="eastAsia" w:ascii="宋体" w:hAnsi="宋体" w:cs="宋体"/>
                <w:color w:val="auto"/>
                <w:kern w:val="0"/>
                <w:szCs w:val="21"/>
                <w:lang w:val="en-US" w:eastAsia="zh-CN" w:bidi="ar"/>
              </w:rPr>
              <w:t>；</w:t>
            </w:r>
          </w:p>
          <w:p w14:paraId="7DED3F44">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(4)与其他投标人的投标文件载明的项目管理班子成员出现重复的</w:t>
            </w:r>
            <w:r>
              <w:rPr>
                <w:rFonts w:hint="eastAsia" w:ascii="宋体" w:hAnsi="宋体" w:cs="宋体"/>
                <w:color w:val="auto"/>
                <w:kern w:val="0"/>
                <w:szCs w:val="21"/>
                <w:lang w:val="en-US" w:eastAsia="zh-CN" w:bidi="ar"/>
              </w:rPr>
              <w:t>；</w:t>
            </w:r>
          </w:p>
          <w:p w14:paraId="3593574A">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(5)不同投标人使用同一个人或者同一企业资金交纳投标保证金的</w:t>
            </w:r>
            <w:r>
              <w:rPr>
                <w:rFonts w:hint="eastAsia" w:ascii="宋体" w:hAnsi="宋体" w:cs="宋体"/>
                <w:color w:val="auto"/>
                <w:kern w:val="0"/>
                <w:szCs w:val="21"/>
                <w:lang w:val="en-US" w:eastAsia="zh-CN" w:bidi="ar"/>
              </w:rPr>
              <w:t>；</w:t>
            </w:r>
          </w:p>
          <w:p w14:paraId="30147681">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(6)不同投标人聘请同一人为其投标提供技术或者经济咨询服务的</w:t>
            </w:r>
            <w:r>
              <w:rPr>
                <w:rFonts w:hint="eastAsia" w:ascii="宋体" w:hAnsi="宋体" w:cs="宋体"/>
                <w:color w:val="auto"/>
                <w:kern w:val="0"/>
                <w:szCs w:val="21"/>
                <w:lang w:val="en-US" w:eastAsia="zh-CN" w:bidi="ar"/>
              </w:rPr>
              <w:t>；</w:t>
            </w:r>
          </w:p>
          <w:p w14:paraId="17DCC8F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(7)与其他投标人的投标文件存在不应有的雷同</w:t>
            </w:r>
            <w:r>
              <w:rPr>
                <w:rFonts w:hint="eastAsia" w:ascii="宋体" w:hAnsi="宋体" w:cs="宋体"/>
                <w:color w:val="auto"/>
                <w:kern w:val="0"/>
                <w:szCs w:val="21"/>
                <w:lang w:val="en-US" w:eastAsia="zh-CN" w:bidi="ar"/>
              </w:rPr>
              <w:t>；</w:t>
            </w:r>
          </w:p>
          <w:p w14:paraId="47D81199">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(8)其他情况能够证明有陪标行为的</w:t>
            </w:r>
            <w:r>
              <w:rPr>
                <w:rFonts w:hint="eastAsia" w:ascii="宋体" w:hAnsi="宋体" w:cs="宋体"/>
                <w:color w:val="auto"/>
                <w:kern w:val="0"/>
                <w:szCs w:val="21"/>
                <w:lang w:val="en-US" w:eastAsia="zh-CN" w:bidi="ar"/>
              </w:rPr>
              <w:t>；</w:t>
            </w:r>
          </w:p>
          <w:p w14:paraId="0E306B64">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(9)有串通投标或弄虚作假或有其他违法行为的</w:t>
            </w:r>
            <w:r>
              <w:rPr>
                <w:rFonts w:hint="eastAsia" w:ascii="宋体" w:hAnsi="宋体" w:cs="宋体"/>
                <w:color w:val="auto"/>
                <w:kern w:val="0"/>
                <w:szCs w:val="21"/>
                <w:lang w:val="en-US" w:eastAsia="zh-CN" w:bidi="ar"/>
              </w:rPr>
              <w:t>；</w:t>
            </w:r>
          </w:p>
          <w:p w14:paraId="3AA66A42">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cs="宋体"/>
                <w:color w:val="auto"/>
                <w:kern w:val="0"/>
                <w:szCs w:val="21"/>
                <w:lang w:val="en-US" w:eastAsia="zh-CN" w:bidi="ar"/>
              </w:rPr>
            </w:pPr>
            <w:r>
              <w:rPr>
                <w:rFonts w:hint="eastAsia" w:ascii="宋体" w:hAnsi="宋体" w:eastAsia="宋体" w:cs="宋体"/>
                <w:color w:val="auto"/>
                <w:kern w:val="0"/>
                <w:szCs w:val="21"/>
                <w:lang w:val="en-US" w:eastAsia="zh-CN" w:bidi="ar"/>
              </w:rPr>
              <w:t>(10)投标人不按评标委员会要求澄清、说明或补正的</w:t>
            </w:r>
            <w:r>
              <w:rPr>
                <w:rFonts w:hint="eastAsia" w:ascii="宋体" w:hAnsi="宋体" w:cs="宋体"/>
                <w:color w:val="auto"/>
                <w:kern w:val="0"/>
                <w:szCs w:val="21"/>
                <w:lang w:val="en-US" w:eastAsia="zh-CN" w:bidi="ar"/>
              </w:rPr>
              <w:t>；</w:t>
            </w:r>
          </w:p>
          <w:p w14:paraId="4A1635F0">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(11)不同投标人的投标报价或者报价组成异常一致或者呈规律性变化的:</w:t>
            </w:r>
          </w:p>
          <w:p w14:paraId="20B6C52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(12)投标文件附有招标人不能接受的条件</w:t>
            </w:r>
            <w:r>
              <w:rPr>
                <w:rFonts w:hint="eastAsia" w:ascii="宋体" w:hAnsi="宋体" w:cs="宋体"/>
                <w:color w:val="auto"/>
                <w:kern w:val="0"/>
                <w:szCs w:val="21"/>
                <w:lang w:val="en-US" w:eastAsia="zh-CN" w:bidi="ar"/>
              </w:rPr>
              <w:t>；</w:t>
            </w:r>
          </w:p>
          <w:p w14:paraId="71537DD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(13)不符合招标文件中规定的其他实质性要求的</w:t>
            </w:r>
            <w:r>
              <w:rPr>
                <w:rFonts w:hint="eastAsia" w:ascii="宋体" w:hAnsi="宋体" w:cs="宋体"/>
                <w:color w:val="auto"/>
                <w:kern w:val="0"/>
                <w:szCs w:val="21"/>
                <w:lang w:val="en-US" w:eastAsia="zh-CN" w:bidi="ar"/>
              </w:rPr>
              <w:t>；</w:t>
            </w:r>
          </w:p>
          <w:p w14:paraId="3EB0C0A2">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default" w:ascii="Times New Roman" w:hAnsi="Times New Roman" w:cs="Times New Roman"/>
                <w:color w:val="auto"/>
                <w:szCs w:val="21"/>
              </w:rPr>
            </w:pPr>
            <w:r>
              <w:rPr>
                <w:rFonts w:hint="eastAsia" w:ascii="宋体" w:hAnsi="宋体" w:eastAsia="宋体" w:cs="宋体"/>
                <w:color w:val="auto"/>
                <w:kern w:val="0"/>
                <w:szCs w:val="21"/>
                <w:lang w:val="en-US" w:eastAsia="zh-CN" w:bidi="ar"/>
              </w:rPr>
              <w:t>(14)不同投标人的投标文件存在“MAC地址”、“文件创建标识码”、“文件制作机器码”等唯一性标识一致等情形。</w:t>
            </w:r>
          </w:p>
        </w:tc>
      </w:tr>
    </w:tbl>
    <w:p w14:paraId="46A5DAFE">
      <w:pPr>
        <w:pStyle w:val="5"/>
        <w:pageBreakBefore w:val="0"/>
        <w:kinsoku/>
        <w:wordWrap w:val="0"/>
        <w:bidi w:val="0"/>
        <w:spacing w:before="240" w:after="240" w:line="240" w:lineRule="atLeast"/>
        <w:jc w:val="both"/>
        <w:outlineLvl w:val="2"/>
        <w:rPr>
          <w:rFonts w:hint="default" w:ascii="Times New Roman" w:hAnsi="Times New Roman" w:eastAsia="黑体" w:cs="Times New Roman"/>
          <w:b w:val="0"/>
          <w:color w:val="auto"/>
          <w:sz w:val="28"/>
          <w:szCs w:val="28"/>
          <w:highlight w:val="none"/>
        </w:rPr>
      </w:pPr>
      <w:r>
        <w:rPr>
          <w:rFonts w:hint="default" w:ascii="Times New Roman" w:hAnsi="Times New Roman" w:cs="Times New Roman"/>
          <w:color w:val="auto"/>
          <w:sz w:val="20"/>
          <w:szCs w:val="20"/>
          <w:highlight w:val="none"/>
        </w:rPr>
        <w:br w:type="page"/>
      </w:r>
      <w:bookmarkStart w:id="370" w:name="_Toc5363"/>
      <w:bookmarkStart w:id="371" w:name="_Toc12557"/>
      <w:bookmarkStart w:id="372" w:name="_Toc8715"/>
      <w:bookmarkStart w:id="373" w:name="_Toc234832933"/>
      <w:bookmarkStart w:id="374" w:name="_Toc20703"/>
      <w:r>
        <w:rPr>
          <w:rFonts w:hint="default" w:ascii="Times New Roman" w:hAnsi="Times New Roman" w:eastAsia="黑体" w:cs="Times New Roman"/>
          <w:b w:val="0"/>
          <w:color w:val="auto"/>
          <w:sz w:val="28"/>
          <w:szCs w:val="28"/>
          <w:highlight w:val="none"/>
        </w:rPr>
        <w:t>1.评标方法</w:t>
      </w:r>
      <w:bookmarkEnd w:id="370"/>
      <w:bookmarkEnd w:id="371"/>
      <w:bookmarkEnd w:id="372"/>
      <w:bookmarkEnd w:id="373"/>
      <w:bookmarkEnd w:id="374"/>
    </w:p>
    <w:p w14:paraId="14BA9C9B">
      <w:pPr>
        <w:pageBreakBefore w:val="0"/>
        <w:kinsoku/>
        <w:wordWrap w:val="0"/>
        <w:bidi w:val="0"/>
        <w:spacing w:line="400" w:lineRule="atLeast"/>
        <w:ind w:firstLine="480" w:firstLineChars="200"/>
        <w:rPr>
          <w:rFonts w:hint="default" w:ascii="Times New Roman" w:hAnsi="Times New Roman" w:eastAsia="华文隶书" w:cs="Times New Roman"/>
          <w:color w:val="auto"/>
          <w:sz w:val="24"/>
          <w:highlight w:val="none"/>
        </w:rPr>
      </w:pPr>
      <w:r>
        <w:rPr>
          <w:rFonts w:hint="default" w:ascii="Times New Roman" w:hAnsi="Times New Roman" w:eastAsia="宋体" w:cs="Times New Roman"/>
          <w:color w:val="auto"/>
          <w:sz w:val="24"/>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07FE059">
      <w:pPr>
        <w:pStyle w:val="5"/>
        <w:pageBreakBefore w:val="0"/>
        <w:kinsoku/>
        <w:wordWrap w:val="0"/>
        <w:bidi w:val="0"/>
        <w:spacing w:before="240" w:after="240" w:line="240" w:lineRule="atLeast"/>
        <w:jc w:val="both"/>
        <w:outlineLvl w:val="2"/>
        <w:rPr>
          <w:rFonts w:hint="default" w:ascii="Times New Roman" w:hAnsi="Times New Roman" w:eastAsia="黑体" w:cs="Times New Roman"/>
          <w:b w:val="0"/>
          <w:color w:val="auto"/>
          <w:sz w:val="28"/>
          <w:szCs w:val="28"/>
          <w:highlight w:val="none"/>
        </w:rPr>
      </w:pPr>
      <w:bookmarkStart w:id="375" w:name="_Toc234832934"/>
      <w:bookmarkStart w:id="376" w:name="_Toc17057"/>
      <w:bookmarkStart w:id="377" w:name="_Toc31114"/>
      <w:bookmarkStart w:id="378" w:name="_Toc32306"/>
      <w:bookmarkStart w:id="379" w:name="_Toc8070"/>
      <w:r>
        <w:rPr>
          <w:rFonts w:hint="default" w:ascii="Times New Roman" w:hAnsi="Times New Roman" w:eastAsia="黑体" w:cs="Times New Roman"/>
          <w:b w:val="0"/>
          <w:color w:val="auto"/>
          <w:sz w:val="28"/>
          <w:szCs w:val="28"/>
          <w:highlight w:val="none"/>
        </w:rPr>
        <w:t>2.评审标准</w:t>
      </w:r>
      <w:bookmarkEnd w:id="375"/>
      <w:bookmarkEnd w:id="376"/>
      <w:bookmarkEnd w:id="377"/>
      <w:bookmarkEnd w:id="378"/>
      <w:bookmarkEnd w:id="379"/>
    </w:p>
    <w:p w14:paraId="3891977F">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80" w:name="_Toc23903"/>
      <w:bookmarkStart w:id="381" w:name="_Toc12147"/>
      <w:bookmarkStart w:id="382" w:name="_Toc234832935"/>
      <w:r>
        <w:rPr>
          <w:rFonts w:hint="default" w:ascii="Times New Roman" w:hAnsi="Times New Roman" w:eastAsia="黑体" w:cs="Times New Roman"/>
          <w:b w:val="0"/>
          <w:color w:val="auto"/>
          <w:sz w:val="24"/>
          <w:szCs w:val="24"/>
          <w:highlight w:val="none"/>
        </w:rPr>
        <w:t>2.1初步评审标准</w:t>
      </w:r>
      <w:bookmarkEnd w:id="380"/>
      <w:bookmarkEnd w:id="381"/>
      <w:bookmarkEnd w:id="382"/>
    </w:p>
    <w:p w14:paraId="045AE09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2.1.1形式评审标准：见评标办法前附表。</w:t>
      </w:r>
    </w:p>
    <w:p w14:paraId="38694EB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2.1.2资格评审标准：见评标办法前附表。</w:t>
      </w:r>
    </w:p>
    <w:p w14:paraId="68CB52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2.1.3响应性评审标准：见评标办法前附表。</w:t>
      </w:r>
    </w:p>
    <w:p w14:paraId="5BB4B959">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83" w:name="_Toc234832936"/>
      <w:bookmarkStart w:id="384" w:name="_Toc25127"/>
      <w:bookmarkStart w:id="385" w:name="_Toc24185"/>
      <w:r>
        <w:rPr>
          <w:rFonts w:hint="default" w:ascii="Times New Roman" w:hAnsi="Times New Roman" w:eastAsia="黑体" w:cs="Times New Roman"/>
          <w:b w:val="0"/>
          <w:color w:val="auto"/>
          <w:sz w:val="24"/>
          <w:szCs w:val="24"/>
          <w:highlight w:val="none"/>
        </w:rPr>
        <w:t>2.2分值构成与评分标准</w:t>
      </w:r>
      <w:bookmarkEnd w:id="383"/>
      <w:bookmarkEnd w:id="384"/>
      <w:bookmarkEnd w:id="385"/>
    </w:p>
    <w:p w14:paraId="3F615613">
      <w:pPr>
        <w:pageBreakBefore w:val="0"/>
        <w:tabs>
          <w:tab w:val="left" w:pos="360"/>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2.2.1分值构成</w:t>
      </w:r>
    </w:p>
    <w:p w14:paraId="60A58E8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评标价：见评标办法前附表。</w:t>
      </w:r>
    </w:p>
    <w:p w14:paraId="66140E8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2.2.2评标基准价计算</w:t>
      </w:r>
    </w:p>
    <w:p w14:paraId="06A8E1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评标基准价计算方法：见评标办法前附表。</w:t>
      </w:r>
    </w:p>
    <w:p w14:paraId="615293F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2.2.3评标价的偏差率计算</w:t>
      </w:r>
    </w:p>
    <w:p w14:paraId="64A1121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评标价的偏差率计算公式：见评标办法前附表。</w:t>
      </w:r>
    </w:p>
    <w:p w14:paraId="35AB12F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2.2.4评分标准</w:t>
      </w:r>
    </w:p>
    <w:p w14:paraId="1E084CDA">
      <w:pPr>
        <w:pageBreakBefore w:val="0"/>
        <w:kinsoku/>
        <w:wordWrap w:val="0"/>
        <w:bidi w:val="0"/>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评标价评分标准：见评标办法前附表。</w:t>
      </w:r>
    </w:p>
    <w:p w14:paraId="7131FEE4">
      <w:pPr>
        <w:pStyle w:val="5"/>
        <w:pageBreakBefore w:val="0"/>
        <w:kinsoku/>
        <w:wordWrap w:val="0"/>
        <w:bidi w:val="0"/>
        <w:spacing w:before="240" w:after="240" w:line="240" w:lineRule="atLeast"/>
        <w:jc w:val="both"/>
        <w:outlineLvl w:val="2"/>
        <w:rPr>
          <w:rFonts w:hint="default" w:ascii="Times New Roman" w:hAnsi="Times New Roman" w:eastAsia="黑体" w:cs="Times New Roman"/>
          <w:b w:val="0"/>
          <w:color w:val="auto"/>
          <w:sz w:val="28"/>
          <w:szCs w:val="28"/>
          <w:highlight w:val="none"/>
        </w:rPr>
      </w:pPr>
      <w:bookmarkStart w:id="386" w:name="_Toc234832937"/>
      <w:bookmarkStart w:id="387" w:name="_Toc26597"/>
      <w:bookmarkStart w:id="388" w:name="_Toc22097"/>
      <w:bookmarkStart w:id="389" w:name="_Toc24625"/>
      <w:bookmarkStart w:id="390" w:name="_Toc29729"/>
      <w:r>
        <w:rPr>
          <w:rFonts w:hint="default" w:ascii="Times New Roman" w:hAnsi="Times New Roman" w:eastAsia="黑体" w:cs="Times New Roman"/>
          <w:b w:val="0"/>
          <w:color w:val="auto"/>
          <w:sz w:val="28"/>
          <w:szCs w:val="28"/>
          <w:highlight w:val="none"/>
        </w:rPr>
        <w:t>3.评标程序</w:t>
      </w:r>
      <w:bookmarkEnd w:id="386"/>
      <w:bookmarkEnd w:id="387"/>
      <w:bookmarkEnd w:id="388"/>
      <w:bookmarkEnd w:id="389"/>
      <w:bookmarkEnd w:id="390"/>
    </w:p>
    <w:p w14:paraId="098FE157">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1" w:name="_Toc234832938"/>
      <w:bookmarkStart w:id="392" w:name="_Toc10579"/>
      <w:bookmarkStart w:id="393" w:name="_Toc12133"/>
      <w:r>
        <w:rPr>
          <w:rFonts w:hint="default" w:ascii="Times New Roman" w:hAnsi="Times New Roman" w:eastAsia="黑体" w:cs="Times New Roman"/>
          <w:b w:val="0"/>
          <w:color w:val="auto"/>
          <w:sz w:val="24"/>
          <w:szCs w:val="24"/>
          <w:highlight w:val="none"/>
        </w:rPr>
        <w:t>3.1第一个信封初步评审</w:t>
      </w:r>
      <w:bookmarkEnd w:id="391"/>
      <w:bookmarkEnd w:id="392"/>
      <w:bookmarkEnd w:id="393"/>
    </w:p>
    <w:p w14:paraId="62F41D3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3.1.1评标委员会依据本章第2.1款规定的评审标准对投标文件第一个信封（商务及技术文件）进行初步评审。有一项不符合评审标准的，评标委员会应否决其投标。</w:t>
      </w:r>
    </w:p>
    <w:p w14:paraId="1AB9E62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3.1.2投标文件的标的、质量标准、工期等实质性要求和条件不得出现（存在）不利于招标人的偏差，否则，评标委员会应否决其投标。</w:t>
      </w:r>
    </w:p>
    <w:p w14:paraId="2CB5B4D6">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3.1.3如果通过第一信封评审的有效投标不足3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p>
    <w:p w14:paraId="0D15A45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p>
    <w:p w14:paraId="32833197">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4" w:name="_Toc20429"/>
      <w:bookmarkStart w:id="395" w:name="_Toc13086"/>
      <w:r>
        <w:rPr>
          <w:rFonts w:hint="default" w:ascii="Times New Roman" w:hAnsi="Times New Roman" w:eastAsia="黑体" w:cs="Times New Roman"/>
          <w:b w:val="0"/>
          <w:color w:val="auto"/>
          <w:sz w:val="24"/>
          <w:szCs w:val="24"/>
          <w:highlight w:val="none"/>
        </w:rPr>
        <w:t>3.2第二个信封开标</w:t>
      </w:r>
      <w:bookmarkEnd w:id="394"/>
      <w:bookmarkEnd w:id="395"/>
    </w:p>
    <w:p w14:paraId="0B114EC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第一个信封（商务及技术文件）评审结束后，招标人将按照第二章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第5.1款规定的时间和地点对通过投标文件第一个信封（商务及技术文件）评审的投标文件第二个信封（报价文件）进行开标。</w:t>
      </w:r>
    </w:p>
    <w:p w14:paraId="36B94B34">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6" w:name="_Toc6484"/>
      <w:bookmarkStart w:id="397" w:name="_Toc25423"/>
      <w:r>
        <w:rPr>
          <w:rFonts w:hint="default" w:ascii="Times New Roman" w:hAnsi="Times New Roman" w:eastAsia="黑体" w:cs="Times New Roman"/>
          <w:b w:val="0"/>
          <w:color w:val="auto"/>
          <w:sz w:val="24"/>
          <w:szCs w:val="24"/>
          <w:highlight w:val="none"/>
        </w:rPr>
        <w:t>3.3第二个信封初步评审</w:t>
      </w:r>
      <w:bookmarkEnd w:id="396"/>
      <w:bookmarkEnd w:id="397"/>
    </w:p>
    <w:p w14:paraId="7D104BB8">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rPr>
        <w:t>评标委员会依据本章第2.1.1项、第2.1.3项规定的评审标准对投标文件第二个信封（报价文件）进行初步评审。有一项不符合评审标准的，评标委员会应否决其投标。</w:t>
      </w:r>
    </w:p>
    <w:p w14:paraId="5448887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3.3.2</w:t>
      </w:r>
      <w:r>
        <w:rPr>
          <w:rFonts w:hint="default" w:ascii="Times New Roman" w:hAnsi="Times New Roman" w:eastAsia="宋体" w:cs="Times New Roman"/>
          <w:color w:val="auto"/>
          <w:highlight w:val="none"/>
          <w:vertAlign w:val="superscript"/>
        </w:rPr>
        <w:footnoteReference w:id="29"/>
      </w:r>
      <w:r>
        <w:rPr>
          <w:rFonts w:hint="default" w:ascii="Times New Roman" w:hAnsi="Times New Roman" w:eastAsia="宋体" w:cs="Times New Roman"/>
          <w:color w:val="auto"/>
          <w:sz w:val="24"/>
          <w:highlight w:val="none"/>
        </w:rPr>
        <w:t>投标报价有算术错误的，评标委员会按以下原则对投标报价进行修正，修正的价格经投标人书面确认后具有约束力。投标人不接受修正价格的，评标委员会应否决其投标。</w:t>
      </w:r>
    </w:p>
    <w:p w14:paraId="70AD7C9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（1）投标文件中的大写金额与小写金额不一致的，以大写金额为准；</w:t>
      </w:r>
    </w:p>
    <w:p w14:paraId="31C2B0A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（2）总价金额与依据单价计算出的结果不一致的，以单价金额为准修正总价，但单价金额小数点有明显错误的除外；</w:t>
      </w:r>
    </w:p>
    <w:p w14:paraId="3B8F2B71">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（3）当单价与数量相乘不等于合价时，以单价计算为准，如果单价有明显的小数点位置差错，应以标出的合价为准，同时对单价予以修正；</w:t>
      </w:r>
    </w:p>
    <w:p w14:paraId="3B46CCF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（4）当各子目的合价累计不等于总价时，应以各子目合价累计数为准，修正总价。</w:t>
      </w:r>
    </w:p>
    <w:p w14:paraId="18D1E18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3.3.3工程量清单中的投标报价有其他错误的，评标委员会按以下原则对投标报价进行修正，修正的价格经投标人书面确认后具有约束力。投标人不接受修正价格的，评标委员会应否决其投标。</w:t>
      </w:r>
    </w:p>
    <w:p w14:paraId="5B178F8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AB3139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55EAA00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（3）当单价与数量的乘积与合价（金额）虽然一致，但投标人修改了该子目的工程数量，则其合价按招标人给定的工程数量乘以投标人所报单价予以修正。</w:t>
      </w:r>
    </w:p>
    <w:p w14:paraId="769B6AB6">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3.3.4修正后的最终投标报价若超过最高投标限价（如有），评标委员会应否决其投标。</w:t>
      </w:r>
    </w:p>
    <w:p w14:paraId="4F300F62">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3.3.5修正后的最终投标报价仅作为签订合同的一个依据，不参与评标价得分的计算。</w:t>
      </w:r>
    </w:p>
    <w:p w14:paraId="72C853CA">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8" w:name="_Toc605"/>
      <w:bookmarkStart w:id="399" w:name="_Toc234832939"/>
      <w:bookmarkStart w:id="400" w:name="_Toc32333"/>
      <w:r>
        <w:rPr>
          <w:rFonts w:hint="default" w:ascii="Times New Roman" w:hAnsi="Times New Roman" w:eastAsia="黑体" w:cs="Times New Roman"/>
          <w:b w:val="0"/>
          <w:color w:val="auto"/>
          <w:sz w:val="24"/>
          <w:szCs w:val="24"/>
          <w:highlight w:val="none"/>
        </w:rPr>
        <w:t>3.4第二个信封详细评审</w:t>
      </w:r>
      <w:bookmarkEnd w:id="398"/>
      <w:bookmarkEnd w:id="399"/>
      <w:bookmarkEnd w:id="400"/>
    </w:p>
    <w:p w14:paraId="2CA0CE2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3.4.1评标委员会按本章第2.2款规定的量化因素和分值进行打分，并计算出综合评估得分（即评标价得分）。</w:t>
      </w:r>
    </w:p>
    <w:p w14:paraId="1C8AE102">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3.4.2投标人得分分值计算保留小数点后两位，小数点后第三位</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四舍五入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w:t>
      </w:r>
    </w:p>
    <w:p w14:paraId="2E865C51">
      <w:pPr>
        <w:pageBreakBefore w:val="0"/>
        <w:kinsoku/>
        <w:wordWrap w:val="0"/>
        <w:bidi w:val="0"/>
        <w:spacing w:line="400" w:lineRule="atLeast"/>
        <w:ind w:firstLine="480" w:firstLineChars="200"/>
        <w:outlineLvl w:val="9"/>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3.4.3评标委员会发现投标人的报价明显低于其他投标报价，是有可能影响履约的异常低价，应按本章3.</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款的规定向投标人发出澄清，要求该投标人作出书面说明该报价的合理性并提供相应证明材料。当投标人不能合理说明并证明其报价的合理性的，评标委员会应以少数服从多数的原则否决其投标。</w:t>
      </w:r>
    </w:p>
    <w:p w14:paraId="4DC3085B">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401" w:name="_Toc20918"/>
      <w:bookmarkStart w:id="402" w:name="_Toc16625"/>
      <w:r>
        <w:rPr>
          <w:rFonts w:hint="default" w:ascii="Times New Roman" w:hAnsi="Times New Roman" w:eastAsia="黑体" w:cs="Times New Roman"/>
          <w:b w:val="0"/>
          <w:color w:val="auto"/>
          <w:sz w:val="24"/>
          <w:szCs w:val="24"/>
          <w:highlight w:val="none"/>
        </w:rPr>
        <w:t>3.5投标文件相关信息的核查</w:t>
      </w:r>
      <w:bookmarkEnd w:id="401"/>
      <w:bookmarkEnd w:id="402"/>
    </w:p>
    <w:p w14:paraId="12214F4B">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3.5.1在评标过程中，评标委员会应查询交通运输主管部门</w:t>
      </w:r>
      <w:r>
        <w:rPr>
          <w:rFonts w:hint="eastAsia" w:ascii="宋体" w:hAnsi="宋体" w:eastAsia="宋体" w:cs="宋体"/>
          <w:color w:val="auto"/>
          <w:sz w:val="24"/>
          <w:highlight w:val="none"/>
        </w:rPr>
        <w:t>“</w:t>
      </w:r>
      <w:r>
        <w:rPr>
          <w:rFonts w:hint="eastAsia" w:cs="Times New Roman"/>
          <w:color w:val="auto"/>
          <w:sz w:val="24"/>
          <w:highlight w:val="none"/>
          <w:lang w:eastAsia="zh-CN"/>
        </w:rPr>
        <w:t>全国公路建设市场监督管理系统</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，对投标人的资质、业绩、主要人员资历和目前在岗情况、信用等级等信息进行核实。若投标文件载明的信息与交通运输主管部门</w:t>
      </w:r>
      <w:r>
        <w:rPr>
          <w:rFonts w:hint="eastAsia" w:ascii="宋体" w:hAnsi="宋体" w:eastAsia="宋体" w:cs="宋体"/>
          <w:color w:val="auto"/>
          <w:sz w:val="24"/>
          <w:highlight w:val="none"/>
        </w:rPr>
        <w:t>“</w:t>
      </w:r>
      <w:r>
        <w:rPr>
          <w:rFonts w:hint="eastAsia" w:cs="Times New Roman"/>
          <w:color w:val="auto"/>
          <w:sz w:val="24"/>
          <w:highlight w:val="none"/>
          <w:lang w:eastAsia="zh-CN"/>
        </w:rPr>
        <w:t>全国公路建设市场监督管理系统</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发布的信息不符，使得投标人的资格条件不符合招标文件规定的，评标委员会应否决其投标。</w:t>
      </w:r>
    </w:p>
    <w:p w14:paraId="35F837A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3.5.2评标委员会应对在评标过程中发现的投标人与投标人之间、投标人与招标人之间存在的串通投标的情形进行评审和认定。投标人存在串通投标、弄虚作假、行贿等违法行为的，评标委员会应否决其投标。</w:t>
      </w:r>
    </w:p>
    <w:p w14:paraId="4F29E17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（1）有下列情形之一的，属于投标人相互串通投标：</w:t>
      </w:r>
    </w:p>
    <w:p w14:paraId="6F76E2D4">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a.投标人之间协商投标报价等投标文件的实质性内容；</w:t>
      </w:r>
    </w:p>
    <w:p w14:paraId="2ECCA4F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b.投标人之间约定中标人；</w:t>
      </w:r>
    </w:p>
    <w:p w14:paraId="339F3B7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c.投标人之间约定部分投标人放弃投标或中标；</w:t>
      </w:r>
    </w:p>
    <w:p w14:paraId="0C3C3501">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d.属于同一集团、协会、商会等组织成员的投标人按照该组织要求协同投标；</w:t>
      </w:r>
    </w:p>
    <w:p w14:paraId="7113970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e.投标人之间为谋取中标或排斥特定投标人而采取的其他联合行动。</w:t>
      </w:r>
    </w:p>
    <w:p w14:paraId="4BD710F8">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（2）有下列情形之一的，视为投标人相互串通投标：</w:t>
      </w:r>
    </w:p>
    <w:p w14:paraId="02297B7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a.不同投标人的投标文件由同一单位或个人编制；</w:t>
      </w:r>
    </w:p>
    <w:p w14:paraId="1B66164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b.不同投标人委托同一单位或个人办理投标事宜；</w:t>
      </w:r>
    </w:p>
    <w:p w14:paraId="0C9C4E11">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c.不同投标人的投标文件载明的项目管理成员为同一人；</w:t>
      </w:r>
    </w:p>
    <w:p w14:paraId="422F3C2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d.不同投标人的投标文件异常一致或投标报价呈规律性差异；</w:t>
      </w:r>
    </w:p>
    <w:p w14:paraId="72DF1DA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e.不同投标人的投标文件相互混装；</w:t>
      </w:r>
    </w:p>
    <w:p w14:paraId="1ACDAE4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f.不同投标人的投标保证金从同一单位或个人的账户转出。</w:t>
      </w:r>
    </w:p>
    <w:p w14:paraId="4CB96FA4">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（3）有下列情形之一的，属于招标人与投标人串通投标：</w:t>
      </w:r>
    </w:p>
    <w:p w14:paraId="06AA49A2">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a.招标人在开标前开启投标文件并将有关信息泄露给其他投标人</w:t>
      </w:r>
      <w:r>
        <w:rPr>
          <w:rFonts w:hint="eastAsia" w:cs="Times New Roman"/>
          <w:color w:val="auto"/>
          <w:sz w:val="24"/>
          <w:highlight w:val="none"/>
          <w:lang w:eastAsia="zh-CN"/>
        </w:rPr>
        <w:t>；</w:t>
      </w:r>
    </w:p>
    <w:p w14:paraId="093D7E59">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b.招标人直接或间接向投标人泄露标底、评标委员会成员等信息；</w:t>
      </w:r>
    </w:p>
    <w:p w14:paraId="0158E914">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c.招标人明示或暗示投标人压低或抬高投标报价；</w:t>
      </w:r>
    </w:p>
    <w:p w14:paraId="2773E630">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d.招标人授意投标人撤换、修改投标文件；</w:t>
      </w:r>
    </w:p>
    <w:p w14:paraId="4A3A747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e.招标人明示或暗示投标人为特定投标人中标提供方便；</w:t>
      </w:r>
    </w:p>
    <w:p w14:paraId="2734786A">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f.招标人与投标人为谋求特定投标人中标而采取的其他串通行为。</w:t>
      </w:r>
    </w:p>
    <w:p w14:paraId="33226F20">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（4）投标人有下列情形之一的，属于弄虚作假的行为：</w:t>
      </w:r>
    </w:p>
    <w:p w14:paraId="40A0BC6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a.使用通过受让或租借等方式获取的资格、资质证书投标；</w:t>
      </w:r>
    </w:p>
    <w:p w14:paraId="1A0ABD32">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b.使用伪造、变造的许可证件；</w:t>
      </w:r>
    </w:p>
    <w:p w14:paraId="098A1169">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c.提供虚假的财务状况或业绩；</w:t>
      </w:r>
    </w:p>
    <w:p w14:paraId="17E38B1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d.提供虚假的项目负责人或主要技术人员简历、劳动关系证明；</w:t>
      </w:r>
    </w:p>
    <w:p w14:paraId="5763A65B">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e.提供虚假的信用状况；</w:t>
      </w:r>
    </w:p>
    <w:p w14:paraId="1E2B773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f.其他弄虚作假的行为。</w:t>
      </w:r>
    </w:p>
    <w:p w14:paraId="5B589FAE">
      <w:pPr>
        <w:pageBreakBefore w:val="0"/>
        <w:kinsoku/>
        <w:wordWrap w:val="0"/>
        <w:bidi w:val="0"/>
        <w:spacing w:before="240" w:after="240" w:line="400" w:lineRule="atLeast"/>
        <w:outlineLvl w:val="9"/>
        <w:rPr>
          <w:rFonts w:hint="default" w:ascii="Times New Roman" w:hAnsi="Times New Roman" w:eastAsia="黑体" w:cs="Times New Roman"/>
          <w:b w:val="0"/>
          <w:color w:val="auto"/>
          <w:sz w:val="24"/>
          <w:szCs w:val="24"/>
          <w:highlight w:val="none"/>
        </w:rPr>
      </w:pPr>
      <w:bookmarkStart w:id="403" w:name="_Toc15234"/>
      <w:bookmarkStart w:id="404" w:name="_Toc29213"/>
      <w:bookmarkStart w:id="405" w:name="_Toc234832940"/>
      <w:r>
        <w:rPr>
          <w:rFonts w:hint="default" w:ascii="Times New Roman" w:hAnsi="Times New Roman" w:eastAsia="黑体" w:cs="Times New Roman"/>
          <w:b w:val="0"/>
          <w:color w:val="auto"/>
          <w:sz w:val="24"/>
          <w:szCs w:val="24"/>
          <w:highlight w:val="none"/>
        </w:rPr>
        <w:t>3.6投标文件的澄清和说明</w:t>
      </w:r>
      <w:bookmarkEnd w:id="403"/>
      <w:bookmarkEnd w:id="404"/>
    </w:p>
    <w:p w14:paraId="6BF1F52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1C62AA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3.6.2澄清和说明不得超出投标文件的范围或改变投标文件的实质性内容（算术性错误的修正除外）。投标人的书面澄清、说明属于投标文件的组成部分。</w:t>
      </w:r>
    </w:p>
    <w:p w14:paraId="106AB99B">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3.6.3评标委员会不得暗示或诱导投标人作出澄清、说明，对投标人提交的澄清、说明有疑问的，可以要求投标人进一步澄清或说明，直至满足评标委员会的要求。</w:t>
      </w:r>
      <w:bookmarkEnd w:id="405"/>
    </w:p>
    <w:p w14:paraId="399F71F7">
      <w:pPr>
        <w:pageBreakBefore w:val="0"/>
        <w:kinsoku/>
        <w:wordWrap w:val="0"/>
        <w:bidi w:val="0"/>
        <w:spacing w:line="400" w:lineRule="atLeast"/>
        <w:ind w:firstLine="480" w:firstLineChars="200"/>
        <w:outlineLvl w:val="9"/>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3.6.4凡超出招标文件规定的或给发包人带来未曾要求的利益的变化、偏差或其他因素在评标时不予考虑。</w:t>
      </w:r>
    </w:p>
    <w:p w14:paraId="4E64FD55">
      <w:pPr>
        <w:pageBreakBefore w:val="0"/>
        <w:kinsoku/>
        <w:wordWrap w:val="0"/>
        <w:bidi w:val="0"/>
        <w:spacing w:before="240" w:after="240" w:line="400" w:lineRule="atLeast"/>
        <w:outlineLvl w:val="9"/>
        <w:rPr>
          <w:rFonts w:hint="default" w:ascii="Times New Roman" w:hAnsi="Times New Roman" w:eastAsia="黑体" w:cs="Times New Roman"/>
          <w:b w:val="0"/>
          <w:color w:val="auto"/>
          <w:sz w:val="24"/>
          <w:szCs w:val="24"/>
          <w:highlight w:val="none"/>
        </w:rPr>
      </w:pPr>
      <w:bookmarkStart w:id="406" w:name="_Toc18964"/>
      <w:bookmarkStart w:id="407" w:name="_Toc7796"/>
      <w:r>
        <w:rPr>
          <w:rFonts w:hint="default" w:ascii="Times New Roman" w:hAnsi="Times New Roman" w:eastAsia="黑体" w:cs="Times New Roman"/>
          <w:b w:val="0"/>
          <w:color w:val="auto"/>
          <w:sz w:val="24"/>
          <w:szCs w:val="24"/>
          <w:highlight w:val="none"/>
        </w:rPr>
        <w:t>3</w:t>
      </w:r>
      <w:r>
        <w:rPr>
          <w:rFonts w:hint="default" w:ascii="Times New Roman" w:hAnsi="Times New Roman" w:eastAsia="黑体" w:cs="Times New Roman"/>
          <w:b w:val="0"/>
          <w:color w:val="auto"/>
          <w:sz w:val="24"/>
          <w:szCs w:val="24"/>
          <w:highlight w:val="none"/>
          <w:lang w:eastAsia="zh-CN"/>
        </w:rPr>
        <w:t>.</w:t>
      </w:r>
      <w:r>
        <w:rPr>
          <w:rFonts w:hint="default" w:ascii="Times New Roman" w:hAnsi="Times New Roman" w:eastAsia="黑体" w:cs="Times New Roman"/>
          <w:b w:val="0"/>
          <w:color w:val="auto"/>
          <w:sz w:val="24"/>
          <w:szCs w:val="24"/>
          <w:highlight w:val="none"/>
        </w:rPr>
        <w:t>7不得否决投标的情形</w:t>
      </w:r>
      <w:bookmarkEnd w:id="406"/>
      <w:bookmarkEnd w:id="407"/>
    </w:p>
    <w:p w14:paraId="7FD1F7B9">
      <w:pPr>
        <w:pageBreakBefore w:val="0"/>
        <w:kinsoku/>
        <w:wordWrap w:val="0"/>
        <w:bidi w:val="0"/>
        <w:spacing w:line="400" w:lineRule="atLeast"/>
        <w:ind w:firstLine="480" w:firstLineChars="200"/>
        <w:outlineLvl w:val="9"/>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投标文件存在第二章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第1.12.3项所列情形的，均视为细微偏差，评标委员会不得否决投标人的投标，应按照第二章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第1.12.4项规定的原则处理。</w:t>
      </w:r>
    </w:p>
    <w:p w14:paraId="3A02E208">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408" w:name="_Toc10539"/>
      <w:bookmarkStart w:id="409" w:name="_Toc234832941"/>
      <w:bookmarkStart w:id="410" w:name="_Toc28490"/>
      <w:r>
        <w:rPr>
          <w:rFonts w:hint="default" w:ascii="Times New Roman" w:hAnsi="Times New Roman" w:eastAsia="黑体" w:cs="Times New Roman"/>
          <w:b w:val="0"/>
          <w:color w:val="auto"/>
          <w:sz w:val="24"/>
          <w:szCs w:val="24"/>
          <w:highlight w:val="none"/>
        </w:rPr>
        <w:t>3.</w:t>
      </w:r>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评标结果</w:t>
      </w:r>
      <w:bookmarkEnd w:id="408"/>
      <w:bookmarkEnd w:id="409"/>
      <w:bookmarkEnd w:id="410"/>
    </w:p>
    <w:p w14:paraId="1C94EB1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3.8.1除第二章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前附表授权直接确定中标人外，评标委员会按照得分由高到低的顺序推荐中标候选人，并标明排序。</w:t>
      </w:r>
    </w:p>
    <w:p w14:paraId="404E9C2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3.8.2评标委员会完成评标后，应向招标人提交评标报告。</w:t>
      </w:r>
    </w:p>
    <w:p w14:paraId="09A203AC">
      <w:pPr>
        <w:pStyle w:val="24"/>
        <w:pageBreakBefore w:val="0"/>
        <w:kinsoku/>
        <w:wordWrap w:val="0"/>
        <w:bidi w:val="0"/>
        <w:spacing w:line="360" w:lineRule="atLeast"/>
        <w:ind w:firstLine="480"/>
        <w:outlineLvl w:val="9"/>
        <w:rPr>
          <w:rFonts w:hint="default" w:ascii="Times New Roman" w:hAnsi="Times New Roman" w:eastAsia="隶书" w:cs="Times New Roman"/>
          <w:color w:val="auto"/>
          <w:sz w:val="24"/>
          <w:szCs w:val="24"/>
          <w:highlight w:val="none"/>
        </w:rPr>
        <w:sectPr>
          <w:headerReference r:id="rId27" w:type="default"/>
          <w:footerReference r:id="rId28"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054208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E88A7C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A1332A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665EF9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704F7D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B80266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A2EA8A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CEA2F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124F8F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967485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A6D09D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0E0A307">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56"/>
          <w:szCs w:val="56"/>
          <w:highlight w:val="none"/>
        </w:rPr>
      </w:pPr>
      <w:bookmarkStart w:id="411" w:name="_Toc234832964"/>
      <w:bookmarkStart w:id="412" w:name="_Toc11119"/>
      <w:bookmarkStart w:id="413" w:name="_Toc27019"/>
      <w:bookmarkStart w:id="414" w:name="_Toc5239"/>
      <w:bookmarkStart w:id="415" w:name="_Toc22672"/>
      <w:r>
        <w:rPr>
          <w:rFonts w:hint="default" w:ascii="Times New Roman" w:hAnsi="Times New Roman" w:eastAsia="黑体" w:cs="Times New Roman"/>
          <w:color w:val="auto"/>
          <w:sz w:val="56"/>
          <w:szCs w:val="56"/>
          <w:highlight w:val="none"/>
        </w:rPr>
        <w:t>第四章</w:t>
      </w:r>
      <w:r>
        <w:rPr>
          <w:rFonts w:hint="eastAsia" w:ascii="Times New Roman" w:hAnsi="Times New Roman"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合同条款及格式</w:t>
      </w:r>
      <w:bookmarkEnd w:id="411"/>
      <w:bookmarkEnd w:id="412"/>
      <w:bookmarkEnd w:id="413"/>
      <w:r>
        <w:rPr>
          <w:rFonts w:hint="default" w:ascii="Times New Roman" w:hAnsi="Times New Roman" w:eastAsia="黑体" w:cs="Times New Roman"/>
          <w:color w:val="auto"/>
          <w:sz w:val="56"/>
          <w:szCs w:val="56"/>
          <w:highlight w:val="none"/>
          <w:vertAlign w:val="superscript"/>
        </w:rPr>
        <w:footnoteReference w:id="30"/>
      </w:r>
      <w:bookmarkEnd w:id="414"/>
      <w:bookmarkEnd w:id="415"/>
    </w:p>
    <w:p w14:paraId="4BEDB55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9B6B3F5">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A169AD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A0E94E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r>
        <w:rPr>
          <w:rFonts w:hint="default" w:ascii="Times New Roman" w:hAnsi="Times New Roman" w:cs="Times New Roman"/>
          <w:color w:val="auto"/>
          <w:sz w:val="20"/>
          <w:szCs w:val="20"/>
          <w:highlight w:val="none"/>
        </w:rPr>
        <w:br w:type="page"/>
      </w:r>
      <w:bookmarkStart w:id="416" w:name="_Toc234832965"/>
    </w:p>
    <w:p w14:paraId="0020234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543AA3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CC537E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F8F52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66B636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53A05B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1B56A2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80FE70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03352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D6B946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7600BA">
      <w:pPr>
        <w:pStyle w:val="5"/>
        <w:pageBreakBefore w:val="0"/>
        <w:kinsoku/>
        <w:wordWrap w:val="0"/>
        <w:bidi w:val="0"/>
        <w:spacing w:before="240" w:after="240" w:line="380" w:lineRule="atLeast"/>
        <w:jc w:val="center"/>
        <w:outlineLvl w:val="2"/>
        <w:rPr>
          <w:rFonts w:hint="default" w:ascii="Times New Roman" w:hAnsi="Times New Roman" w:eastAsia="黑体" w:cs="Times New Roman"/>
          <w:b w:val="0"/>
          <w:color w:val="auto"/>
          <w:sz w:val="42"/>
          <w:szCs w:val="42"/>
          <w:highlight w:val="none"/>
        </w:rPr>
      </w:pPr>
      <w:bookmarkStart w:id="417" w:name="_Toc3167"/>
      <w:bookmarkStart w:id="418" w:name="_Toc22989"/>
      <w:bookmarkStart w:id="419" w:name="_Toc8047"/>
      <w:bookmarkStart w:id="420" w:name="_Toc18651"/>
      <w:r>
        <w:rPr>
          <w:rFonts w:hint="default" w:ascii="Times New Roman" w:hAnsi="Times New Roman" w:eastAsia="黑体" w:cs="Times New Roman"/>
          <w:b w:val="0"/>
          <w:color w:val="auto"/>
          <w:sz w:val="42"/>
          <w:szCs w:val="42"/>
          <w:highlight w:val="none"/>
        </w:rPr>
        <w:t>第一节</w:t>
      </w:r>
      <w:r>
        <w:rPr>
          <w:rFonts w:hint="eastAsia" w:eastAsia="黑体" w:cs="Times New Roman"/>
          <w:b w:val="0"/>
          <w:color w:val="auto"/>
          <w:sz w:val="42"/>
          <w:szCs w:val="42"/>
          <w:highlight w:val="none"/>
          <w:lang w:val="en-US" w:eastAsia="zh-CN"/>
        </w:rPr>
        <w:t xml:space="preserve"> </w:t>
      </w:r>
      <w:r>
        <w:rPr>
          <w:rFonts w:hint="default" w:ascii="Times New Roman" w:hAnsi="Times New Roman" w:eastAsia="黑体" w:cs="Times New Roman"/>
          <w:b w:val="0"/>
          <w:color w:val="auto"/>
          <w:sz w:val="42"/>
          <w:szCs w:val="42"/>
          <w:highlight w:val="none"/>
        </w:rPr>
        <w:t>通用合同条款</w:t>
      </w:r>
      <w:bookmarkEnd w:id="416"/>
      <w:r>
        <w:rPr>
          <w:rStyle w:val="48"/>
          <w:rFonts w:hint="default" w:ascii="Times New Roman" w:hAnsi="Times New Roman" w:eastAsia="黑体" w:cs="Times New Roman"/>
          <w:b w:val="0"/>
          <w:color w:val="auto"/>
          <w:sz w:val="32"/>
          <w:szCs w:val="32"/>
          <w:highlight w:val="none"/>
        </w:rPr>
        <w:footnoteReference w:id="31"/>
      </w:r>
      <w:bookmarkEnd w:id="417"/>
      <w:bookmarkEnd w:id="418"/>
      <w:bookmarkEnd w:id="419"/>
      <w:bookmarkEnd w:id="420"/>
    </w:p>
    <w:p w14:paraId="5ADD53AB">
      <w:pPr>
        <w:pageBreakBefore w:val="0"/>
        <w:kinsoku/>
        <w:wordWrap w:val="0"/>
        <w:bidi w:val="0"/>
        <w:spacing w:before="240" w:after="240" w:line="380" w:lineRule="atLeast"/>
        <w:jc w:val="center"/>
        <w:outlineLvl w:val="9"/>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b w:val="0"/>
          <w:color w:val="auto"/>
          <w:sz w:val="32"/>
          <w:szCs w:val="32"/>
          <w:highlight w:val="none"/>
        </w:rPr>
        <w:br w:type="page"/>
      </w:r>
      <w:bookmarkStart w:id="421" w:name="_Toc32556"/>
      <w:bookmarkStart w:id="422" w:name="_Toc1065"/>
      <w:bookmarkStart w:id="423" w:name="_Toc234832966"/>
      <w:bookmarkStart w:id="424" w:name="_Toc14452"/>
      <w:r>
        <w:rPr>
          <w:rFonts w:hint="default" w:ascii="Times New Roman" w:hAnsi="Times New Roman" w:eastAsia="黑体" w:cs="Times New Roman"/>
          <w:b w:val="0"/>
          <w:color w:val="auto"/>
          <w:sz w:val="32"/>
          <w:szCs w:val="32"/>
          <w:highlight w:val="none"/>
        </w:rPr>
        <w:t>通用合同条款</w:t>
      </w:r>
      <w:bookmarkEnd w:id="421"/>
      <w:bookmarkEnd w:id="422"/>
      <w:bookmarkEnd w:id="423"/>
      <w:bookmarkEnd w:id="424"/>
    </w:p>
    <w:p w14:paraId="6AA6B8CB">
      <w:pPr>
        <w:pageBreakBefore w:val="0"/>
        <w:kinsoku/>
        <w:wordWrap w:val="0"/>
        <w:bidi w:val="0"/>
        <w:spacing w:before="360" w:after="240" w:line="380" w:lineRule="atLeast"/>
        <w:outlineLvl w:val="9"/>
        <w:rPr>
          <w:rFonts w:hint="default" w:ascii="Times New Roman" w:hAnsi="Times New Roman" w:eastAsia="黑体" w:cs="Times New Roman"/>
          <w:b w:val="0"/>
          <w:color w:val="auto"/>
          <w:sz w:val="28"/>
          <w:szCs w:val="28"/>
          <w:highlight w:val="none"/>
        </w:rPr>
      </w:pPr>
      <w:bookmarkStart w:id="425" w:name="_Toc234832967"/>
      <w:bookmarkStart w:id="426" w:name="_Toc24661"/>
      <w:bookmarkStart w:id="427" w:name="_Toc28721"/>
      <w:bookmarkStart w:id="428" w:name="_Toc30881"/>
      <w:r>
        <w:rPr>
          <w:rFonts w:hint="default" w:ascii="Times New Roman" w:hAnsi="Times New Roman" w:eastAsia="黑体" w:cs="Times New Roman"/>
          <w:b w:val="0"/>
          <w:color w:val="auto"/>
          <w:sz w:val="28"/>
          <w:szCs w:val="28"/>
          <w:highlight w:val="none"/>
        </w:rPr>
        <w:t>1.一般约定</w:t>
      </w:r>
      <w:bookmarkEnd w:id="425"/>
      <w:bookmarkEnd w:id="426"/>
      <w:bookmarkEnd w:id="427"/>
      <w:bookmarkEnd w:id="428"/>
      <w:r>
        <w:rPr>
          <w:rFonts w:hint="default" w:ascii="Times New Roman" w:hAnsi="Times New Roman" w:eastAsia="黑体" w:cs="Times New Roman"/>
          <w:b w:val="0"/>
          <w:color w:val="auto"/>
          <w:sz w:val="28"/>
          <w:szCs w:val="28"/>
          <w:highlight w:val="none"/>
        </w:rPr>
        <w:tab/>
      </w:r>
    </w:p>
    <w:p w14:paraId="1E4F540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29" w:name="_Toc234832968"/>
      <w:bookmarkStart w:id="430" w:name="_Toc10064"/>
      <w:bookmarkStart w:id="431" w:name="_Toc24826"/>
      <w:bookmarkStart w:id="432" w:name="_Toc5421"/>
      <w:r>
        <w:rPr>
          <w:rFonts w:hint="default" w:ascii="Times New Roman" w:hAnsi="Times New Roman" w:eastAsia="黑体" w:cs="Times New Roman"/>
          <w:b w:val="0"/>
          <w:color w:val="auto"/>
          <w:sz w:val="24"/>
          <w:szCs w:val="24"/>
          <w:highlight w:val="none"/>
        </w:rPr>
        <w:t>1.1</w:t>
      </w:r>
      <w:r>
        <w:rPr>
          <w:rFonts w:hint="default" w:ascii="Times New Roman" w:hAnsi="Times New Roman" w:eastAsia="黑体" w:cs="Times New Roman"/>
          <w:b w:val="0"/>
          <w:color w:val="auto"/>
          <w:sz w:val="24"/>
          <w:szCs w:val="24"/>
          <w:highlight w:val="none"/>
        </w:rPr>
        <w:tab/>
      </w:r>
      <w:r>
        <w:rPr>
          <w:rFonts w:hint="default" w:ascii="Times New Roman" w:hAnsi="Times New Roman" w:eastAsia="黑体" w:cs="Times New Roman"/>
          <w:b w:val="0"/>
          <w:color w:val="auto"/>
          <w:sz w:val="24"/>
          <w:szCs w:val="24"/>
          <w:highlight w:val="none"/>
        </w:rPr>
        <w:t>词语定义</w:t>
      </w:r>
      <w:bookmarkEnd w:id="429"/>
      <w:bookmarkEnd w:id="430"/>
      <w:bookmarkEnd w:id="431"/>
      <w:bookmarkEnd w:id="432"/>
    </w:p>
    <w:p w14:paraId="4AB4D233">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通用合同条款、专用合同条款中的下列词语应具有本款所赋予的含义。</w:t>
      </w:r>
    </w:p>
    <w:p w14:paraId="4E36DA85">
      <w:pPr>
        <w:pageBreakBefore w:val="0"/>
        <w:kinsoku/>
        <w:wordWrap w:val="0"/>
        <w:bidi w:val="0"/>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default" w:ascii="Times New Roman" w:hAnsi="Times New Roman" w:eastAsia="黑体" w:cs="Times New Roman"/>
          <w:color w:val="auto"/>
          <w:sz w:val="24"/>
          <w:highlight w:val="none"/>
        </w:rPr>
        <w:t>合同</w:t>
      </w:r>
    </w:p>
    <w:p w14:paraId="1507979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1.1.1.1合同文件（或称合同）：指合同协议书、中标通知书、投标函及投标函附录、专用合同条款、通用合同条款、技术标准和要求、图纸、已标价工程量清单，以及其他合同文件。</w:t>
      </w:r>
    </w:p>
    <w:p w14:paraId="714FCB8F">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1.1.1.2合同协议书：指第1.5款所指的合同协议书。</w:t>
      </w:r>
    </w:p>
    <w:p w14:paraId="74F76FE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1.1.1.3中标通知书：指发包人通知承包人中标的函件。</w:t>
      </w:r>
    </w:p>
    <w:p w14:paraId="55A5B6B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1.1.1.4投标函：指构成合同文件组成部分的由承包人填写并签署的投标函。</w:t>
      </w:r>
    </w:p>
    <w:p w14:paraId="01606A1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1.1.1.5投标函附录：指附在投标函后构成合同文件的投标函附录。</w:t>
      </w:r>
    </w:p>
    <w:p w14:paraId="43BC1FD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1.1.1.6技术标准和要求：指构成合同文件组成部分的名为技术标准和要求的文件，包括合同双方当事人约定对其所作的修改或补充。</w:t>
      </w:r>
    </w:p>
    <w:p w14:paraId="6364E11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1.1.1.7图纸：指包含在合同中的工程图纸，以及由发包人按合同约定提供的任何补充和修改的图纸，包括配套的说明。</w:t>
      </w:r>
    </w:p>
    <w:p w14:paraId="7C01300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1.1.1.8已标价工程量清单：指构成合同文件组成部分的由承包人按照规定的格式和要求填写并标明价格的工程量清单。</w:t>
      </w:r>
    </w:p>
    <w:p w14:paraId="1EB1B429">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1.1.1.9其他合同文件：指经合同双方当事人确认构成合同文件的其他文件。</w:t>
      </w:r>
    </w:p>
    <w:p w14:paraId="05353B57">
      <w:pPr>
        <w:pageBreakBefore w:val="0"/>
        <w:kinsoku/>
        <w:wordWrap w:val="0"/>
        <w:bidi w:val="0"/>
        <w:spacing w:line="400" w:lineRule="atLeast"/>
        <w:ind w:firstLine="480" w:firstLineChars="20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1.1.2</w:t>
      </w:r>
      <w:r>
        <w:rPr>
          <w:rFonts w:hint="default" w:ascii="Times New Roman" w:hAnsi="Times New Roman" w:eastAsia="黑体" w:cs="Times New Roman"/>
          <w:color w:val="auto"/>
          <w:sz w:val="24"/>
          <w:highlight w:val="none"/>
        </w:rPr>
        <w:t>合同当事人和人员</w:t>
      </w:r>
    </w:p>
    <w:p w14:paraId="541CD46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1.1.2.1合同当事人：指发包人和（或）承包人。</w:t>
      </w:r>
    </w:p>
    <w:p w14:paraId="125731F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1.1.2.2发包人：指专用合同条款中指明并与承包人在合同协议书中签字的当事人。</w:t>
      </w:r>
    </w:p>
    <w:p w14:paraId="72ADAD7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1.1.2.3承包人：指与发包人签订合同协议书的当事人。</w:t>
      </w:r>
    </w:p>
    <w:p w14:paraId="6A4F9F99">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1.1.2.4承包人项目经理：指承包人派驻施工场地的全权负责人。</w:t>
      </w:r>
    </w:p>
    <w:p w14:paraId="02F8042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1.1.2.5分包人：指从承包人处分包合同中某一部分工程，并与其签订分包合同的分包人。</w:t>
      </w:r>
    </w:p>
    <w:p w14:paraId="60BC9C5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1.1.2.6监理人：指在专用合同条款中指明的，受发包人委托对合同履行实施管理的法人或其他组织。</w:t>
      </w:r>
    </w:p>
    <w:p w14:paraId="7A20878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1.1.2.7总监理工程师（总监）：指由监理人委派常驻施工场地对合同履行实施管理的全权负责人。</w:t>
      </w:r>
    </w:p>
    <w:p w14:paraId="6434D3B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w:t>
      </w:r>
      <w:r>
        <w:rPr>
          <w:rFonts w:hint="default" w:ascii="Times New Roman" w:hAnsi="Times New Roman" w:eastAsia="黑体" w:cs="Times New Roman"/>
          <w:color w:val="auto"/>
          <w:sz w:val="24"/>
          <w:highlight w:val="none"/>
        </w:rPr>
        <w:t>工程和设备</w:t>
      </w:r>
    </w:p>
    <w:p w14:paraId="552D5B8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1.1.3.1工程：指永久工程和（或）临时工程。</w:t>
      </w:r>
    </w:p>
    <w:p w14:paraId="4A5BE04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1.1.3.2永久工程：指按合同约定建造并移交给发包人的工程，包括工程设备。</w:t>
      </w:r>
    </w:p>
    <w:p w14:paraId="5E0F6455">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1.1.3.3临时工程：指为完成合同约定的永久工程所修建的各类临时性工程，不包括施工设备。</w:t>
      </w:r>
    </w:p>
    <w:p w14:paraId="0805895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1.1.3.4单位工程：指专用合同条款中指明特定范围的永久工程。</w:t>
      </w:r>
    </w:p>
    <w:p w14:paraId="6DF0D15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1.1.3.5工程设备：指构成或计划构成永久工程一部分的机电设备、金属结构设备、仪器装置及其他类似的设备和装置。</w:t>
      </w:r>
    </w:p>
    <w:p w14:paraId="05A48750">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1.1.3.6施工设备：指为完成合同约定的各项工作所需的设备、器具和其他物品，不包括临时工程和材料。</w:t>
      </w:r>
    </w:p>
    <w:p w14:paraId="75619B80">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1.1.3.7临时设施：指为完成合同约定的各项工作所服务的临时性生产和生活设施。</w:t>
      </w:r>
    </w:p>
    <w:p w14:paraId="2F80E39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1.1.3.8承包人设备：指承包人自带的施工设备。</w:t>
      </w:r>
    </w:p>
    <w:p w14:paraId="2C82208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1.1.3.9施工场地（或称工地、现场）：指用于合同工程施工的场所，以及在合同中指定作为施工场地组成部分的其他场所，包括永久占地和临时占地。</w:t>
      </w:r>
    </w:p>
    <w:p w14:paraId="273CB94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1.1.3.10永久占地：指专用合同条款中指明为实施合同工程需永久占用的土地。</w:t>
      </w:r>
    </w:p>
    <w:p w14:paraId="30F0B0C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1.1.3.11临时占地：指专用合同条款中指明为实施合同工程需临时占用的土地。</w:t>
      </w:r>
    </w:p>
    <w:p w14:paraId="12B27DFC">
      <w:pPr>
        <w:pageBreakBefore w:val="0"/>
        <w:kinsoku/>
        <w:wordWrap w:val="0"/>
        <w:bidi w:val="0"/>
        <w:spacing w:line="400" w:lineRule="atLeast"/>
        <w:ind w:firstLine="480" w:firstLineChars="20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1.1.4</w:t>
      </w:r>
      <w:r>
        <w:rPr>
          <w:rFonts w:hint="default" w:ascii="Times New Roman" w:hAnsi="Times New Roman" w:eastAsia="黑体" w:cs="Times New Roman"/>
          <w:color w:val="auto"/>
          <w:sz w:val="24"/>
          <w:highlight w:val="none"/>
        </w:rPr>
        <w:t>日期</w:t>
      </w:r>
    </w:p>
    <w:p w14:paraId="632FF0C8">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1.1.4.1开工通知：指监理人按第11.1款通知承包人开工的函件。</w:t>
      </w:r>
    </w:p>
    <w:p w14:paraId="6620A418">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1.1.4.2开工日期：指监理人按第11.1款发出的开工通知中写明的开工日期。</w:t>
      </w:r>
    </w:p>
    <w:p w14:paraId="14F45D7F">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1.1.4.3工期：指承包人在投标函中承诺的完成合同工程所需的期限，包括按第11.3款、第11.4款和第11.6款约定所作的变更。</w:t>
      </w:r>
    </w:p>
    <w:p w14:paraId="349C8B6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1.1.4.4竣工日期：指第1.1.4.3目约定工期届满时的日期。实际竣工日期以工程接收证书中写明的日期为准。</w:t>
      </w:r>
    </w:p>
    <w:p w14:paraId="4D397683">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1.1.4.5缺陷责任期：指履行第19.2款约定的缺陷责任的期限，具体期限由专用合同条款约定，包括根据第19.3款约定所作的延长。</w:t>
      </w:r>
    </w:p>
    <w:p w14:paraId="4A3EC0C1">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1.1.4.6基准日期：指投标截止时间前28天的日期。</w:t>
      </w:r>
    </w:p>
    <w:p w14:paraId="4C97DE9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1.1.4.7天：除特别指明外，指日历天。合同中按天计算时间的，开始当天不计入，从次日开始计算。期限最后一天的截止时间为当天24:00。</w:t>
      </w:r>
    </w:p>
    <w:p w14:paraId="3912725A">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w:t>
      </w:r>
      <w:r>
        <w:rPr>
          <w:rFonts w:hint="default" w:ascii="Times New Roman" w:hAnsi="Times New Roman" w:eastAsia="黑体" w:cs="Times New Roman"/>
          <w:color w:val="auto"/>
          <w:sz w:val="24"/>
          <w:highlight w:val="none"/>
        </w:rPr>
        <w:t>合同价格和费用</w:t>
      </w:r>
    </w:p>
    <w:p w14:paraId="32321F1A">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1.1.5.1签约合同价：指签订合同时合同协议书中写明的，包括了暂列金额、暂估价的合同总金额。</w:t>
      </w:r>
    </w:p>
    <w:p w14:paraId="6C278165">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1.1.5.2合同价格：指承包人按合同约定完成了包括缺陷责任期内的全部承包工作后，发包人应付给承包人的金额，包括在履行合同过程中按合同约定进行的变更和调整。</w:t>
      </w:r>
    </w:p>
    <w:p w14:paraId="2E925B29">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1.1.5.3费用：指为履行合同所发生的或将要发生的所有合理开支，包括管理费和应分摊的其他费用，但不包括利润。</w:t>
      </w:r>
    </w:p>
    <w:p w14:paraId="1988638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1.1.5.4暂列金额：指已标价工程量清单中所列的暂列金额，用于在签订协议书时尚未确定或不可预见变更的施工及其所需材料、工程设备、服务等的金额，包括以计日工方式支付的金额。</w:t>
      </w:r>
    </w:p>
    <w:p w14:paraId="6507C33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1.1.5.5暂估价：指发包人在工程量清单中给定的用于支付必然发生但暂时不能确定价格的材料、工程设备以及专业工程的金额。</w:t>
      </w:r>
    </w:p>
    <w:p w14:paraId="5398EB38">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1.1.5.6计日工：指对零星工作采取的一种计价方式，按合同中的计日工子目及其单价计价付款。</w:t>
      </w:r>
    </w:p>
    <w:p w14:paraId="14330D1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1.1.5.7质量保证金（或称保留金）：指按第17.4.1项约定用于保证在缺陷责任期内履行缺陷修复义务的金额。</w:t>
      </w:r>
    </w:p>
    <w:p w14:paraId="6EFC036E">
      <w:pPr>
        <w:pageBreakBefore w:val="0"/>
        <w:kinsoku/>
        <w:wordWrap w:val="0"/>
        <w:bidi w:val="0"/>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w:t>
      </w:r>
      <w:r>
        <w:rPr>
          <w:rFonts w:hint="default" w:ascii="Times New Roman" w:hAnsi="Times New Roman" w:eastAsia="黑体" w:cs="Times New Roman"/>
          <w:color w:val="auto"/>
          <w:sz w:val="24"/>
          <w:highlight w:val="none"/>
        </w:rPr>
        <w:t>其他</w:t>
      </w:r>
    </w:p>
    <w:p w14:paraId="30DA39D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1.1.6.1书面形式：指合同文件、信函、电报、传真等可以有形地表现所载内容的形式。</w:t>
      </w:r>
    </w:p>
    <w:p w14:paraId="6A2C30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33" w:name="_Toc25135"/>
      <w:bookmarkStart w:id="434" w:name="_Toc234832969"/>
      <w:bookmarkStart w:id="435" w:name="_Toc27354"/>
      <w:bookmarkStart w:id="436" w:name="_Toc22350"/>
      <w:r>
        <w:rPr>
          <w:rFonts w:hint="default" w:ascii="Times New Roman" w:hAnsi="Times New Roman" w:eastAsia="黑体" w:cs="Times New Roman"/>
          <w:b w:val="0"/>
          <w:color w:val="auto"/>
          <w:sz w:val="24"/>
          <w:szCs w:val="24"/>
          <w:highlight w:val="none"/>
        </w:rPr>
        <w:t>1.2语言文字</w:t>
      </w:r>
      <w:bookmarkEnd w:id="433"/>
      <w:bookmarkEnd w:id="434"/>
      <w:bookmarkEnd w:id="435"/>
      <w:bookmarkEnd w:id="436"/>
    </w:p>
    <w:p w14:paraId="4BF196F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除专用术语外，合同使用的语言文字为中文。必要时专用术语应附有中文注释。</w:t>
      </w:r>
    </w:p>
    <w:p w14:paraId="3BEE524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37" w:name="_Toc234832970"/>
      <w:bookmarkStart w:id="438" w:name="_Toc8637"/>
      <w:bookmarkStart w:id="439" w:name="_Toc317"/>
      <w:bookmarkStart w:id="440" w:name="_Toc13856"/>
      <w:r>
        <w:rPr>
          <w:rFonts w:hint="default" w:ascii="Times New Roman" w:hAnsi="Times New Roman" w:eastAsia="黑体" w:cs="Times New Roman"/>
          <w:b w:val="0"/>
          <w:color w:val="auto"/>
          <w:sz w:val="24"/>
          <w:szCs w:val="24"/>
          <w:highlight w:val="none"/>
        </w:rPr>
        <w:t>1.3法律</w:t>
      </w:r>
      <w:bookmarkEnd w:id="437"/>
      <w:bookmarkEnd w:id="438"/>
      <w:bookmarkEnd w:id="439"/>
      <w:bookmarkEnd w:id="440"/>
    </w:p>
    <w:p w14:paraId="22852B62">
      <w:pPr>
        <w:pageBreakBefore w:val="0"/>
        <w:tabs>
          <w:tab w:val="left" w:pos="7020"/>
        </w:tabs>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适用于合同的法律包括中华人民共和国法律、行政法规、部门规章，以及工程所在地的地方法规、自治条例、单行条例和地方政府规章。</w:t>
      </w:r>
    </w:p>
    <w:p w14:paraId="0527A54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41" w:name="_Toc9336"/>
      <w:bookmarkStart w:id="442" w:name="_Toc8196"/>
      <w:bookmarkStart w:id="443" w:name="_Toc234832971"/>
      <w:bookmarkStart w:id="444" w:name="_Toc23484"/>
      <w:r>
        <w:rPr>
          <w:rFonts w:hint="default" w:ascii="Times New Roman" w:hAnsi="Times New Roman" w:eastAsia="黑体" w:cs="Times New Roman"/>
          <w:b w:val="0"/>
          <w:color w:val="auto"/>
          <w:sz w:val="24"/>
          <w:szCs w:val="24"/>
          <w:highlight w:val="none"/>
        </w:rPr>
        <w:t>1.4合同文件的优先顺序</w:t>
      </w:r>
      <w:bookmarkEnd w:id="441"/>
      <w:bookmarkEnd w:id="442"/>
      <w:bookmarkEnd w:id="443"/>
      <w:bookmarkEnd w:id="444"/>
    </w:p>
    <w:p w14:paraId="79B12600">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组成合同的各项文件应互相解释，互为说明。除专用合同条款另有约定外，解释合同文件的优先顺序如下：</w:t>
      </w:r>
    </w:p>
    <w:p w14:paraId="6686AEB4">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（1）合同协议书；</w:t>
      </w:r>
    </w:p>
    <w:p w14:paraId="295A703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（2）中标通知书；</w:t>
      </w:r>
    </w:p>
    <w:p w14:paraId="63F70AF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（3）投标函及投标函附录；</w:t>
      </w:r>
    </w:p>
    <w:p w14:paraId="2A97E10F">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（4）专用合同条款；</w:t>
      </w:r>
    </w:p>
    <w:p w14:paraId="02B907F0">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（5）通用合同条款；</w:t>
      </w:r>
    </w:p>
    <w:p w14:paraId="525C3E0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（6）技术标准和要求；</w:t>
      </w:r>
    </w:p>
    <w:p w14:paraId="1CF87D22">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（7）图纸；</w:t>
      </w:r>
    </w:p>
    <w:p w14:paraId="443D33F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（8）已标价工程量清单；</w:t>
      </w:r>
    </w:p>
    <w:p w14:paraId="5F51ABAA">
      <w:pPr>
        <w:pageBreakBefore w:val="0"/>
        <w:kinsoku/>
        <w:wordWrap w:val="0"/>
        <w:bidi w:val="0"/>
        <w:spacing w:line="400" w:lineRule="atLeast"/>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（9）其他合同文件。</w:t>
      </w:r>
    </w:p>
    <w:p w14:paraId="4921D5C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45" w:name="_Toc1591"/>
      <w:bookmarkStart w:id="446" w:name="_Toc7240"/>
      <w:bookmarkStart w:id="447" w:name="_Toc234832972"/>
      <w:bookmarkStart w:id="448" w:name="_Toc29563"/>
      <w:r>
        <w:rPr>
          <w:rFonts w:hint="default" w:ascii="Times New Roman" w:hAnsi="Times New Roman" w:eastAsia="黑体" w:cs="Times New Roman"/>
          <w:b w:val="0"/>
          <w:color w:val="auto"/>
          <w:sz w:val="24"/>
          <w:szCs w:val="24"/>
          <w:highlight w:val="none"/>
        </w:rPr>
        <w:t>1.5合同协议书</w:t>
      </w:r>
      <w:bookmarkEnd w:id="445"/>
      <w:bookmarkEnd w:id="446"/>
      <w:bookmarkEnd w:id="447"/>
      <w:bookmarkEnd w:id="448"/>
    </w:p>
    <w:p w14:paraId="2A40A1B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2A4E98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49" w:name="_Toc18684"/>
      <w:bookmarkStart w:id="450" w:name="_Toc30819"/>
      <w:bookmarkStart w:id="451" w:name="_Toc234832973"/>
      <w:bookmarkStart w:id="452" w:name="_Toc24591"/>
      <w:r>
        <w:rPr>
          <w:rFonts w:hint="default" w:ascii="Times New Roman" w:hAnsi="Times New Roman" w:eastAsia="黑体" w:cs="Times New Roman"/>
          <w:b w:val="0"/>
          <w:color w:val="auto"/>
          <w:sz w:val="24"/>
          <w:szCs w:val="24"/>
          <w:highlight w:val="none"/>
        </w:rPr>
        <w:t>1.6图纸和承包人文件</w:t>
      </w:r>
      <w:bookmarkEnd w:id="449"/>
      <w:bookmarkEnd w:id="450"/>
      <w:bookmarkEnd w:id="451"/>
      <w:bookmarkEnd w:id="452"/>
    </w:p>
    <w:p w14:paraId="595E47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w:t>
      </w:r>
      <w:r>
        <w:rPr>
          <w:rFonts w:hint="default" w:ascii="Times New Roman" w:hAnsi="Times New Roman" w:eastAsia="黑体" w:cs="Times New Roman"/>
          <w:color w:val="auto"/>
          <w:sz w:val="24"/>
          <w:highlight w:val="none"/>
        </w:rPr>
        <w:t>图纸的提供</w:t>
      </w:r>
    </w:p>
    <w:p w14:paraId="53D8B2A9">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除专用合同条款另有约定外，图纸应在合理的期限内按照合同约定的数量提供给承包人。由于发包人未按时提供图纸造成工期延误的，按第11.3款的约定办理。</w:t>
      </w:r>
    </w:p>
    <w:p w14:paraId="15E1C577">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1.6.2</w:t>
      </w:r>
      <w:r>
        <w:rPr>
          <w:rFonts w:hint="default" w:ascii="Times New Roman" w:hAnsi="Times New Roman" w:eastAsia="黑体" w:cs="Times New Roman"/>
          <w:color w:val="auto"/>
          <w:sz w:val="24"/>
          <w:highlight w:val="none"/>
        </w:rPr>
        <w:t>承包人提供的文件</w:t>
      </w:r>
    </w:p>
    <w:p w14:paraId="7D67D35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按专用合同条款约定由承包人提供的文件，包括部分工程的大样图、加工图等，承包人应按约定的数量和期限报送监理人。监理人应在专用合同条款约定的期限内批复。</w:t>
      </w:r>
    </w:p>
    <w:p w14:paraId="61BBD78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w:t>
      </w:r>
      <w:r>
        <w:rPr>
          <w:rFonts w:hint="default" w:ascii="Times New Roman" w:hAnsi="Times New Roman" w:eastAsia="黑体" w:cs="Times New Roman"/>
          <w:color w:val="auto"/>
          <w:sz w:val="24"/>
          <w:highlight w:val="none"/>
        </w:rPr>
        <w:t>图纸的修改</w:t>
      </w:r>
    </w:p>
    <w:p w14:paraId="06B1EC9B">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F916339">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w:t>
      </w:r>
      <w:r>
        <w:rPr>
          <w:rFonts w:hint="default" w:ascii="Times New Roman" w:hAnsi="Times New Roman" w:eastAsia="黑体" w:cs="Times New Roman"/>
          <w:color w:val="auto"/>
          <w:sz w:val="24"/>
          <w:highlight w:val="none"/>
        </w:rPr>
        <w:t>图纸的错误</w:t>
      </w:r>
    </w:p>
    <w:p w14:paraId="7DD26160">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承包人发现发包人提供的图纸存在明显错误或疏忽，应及时通知监理人。</w:t>
      </w:r>
    </w:p>
    <w:p w14:paraId="4A76F242">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1.6.5</w:t>
      </w:r>
      <w:r>
        <w:rPr>
          <w:rFonts w:hint="default" w:ascii="Times New Roman" w:hAnsi="Times New Roman" w:eastAsia="黑体" w:cs="Times New Roman"/>
          <w:color w:val="auto"/>
          <w:sz w:val="24"/>
          <w:highlight w:val="none"/>
        </w:rPr>
        <w:t>图纸和承包人文件的保管</w:t>
      </w:r>
    </w:p>
    <w:p w14:paraId="422F6EE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监理人和承包人均应在施工场地各保存一套完整的包含第1.6.1项、第1.6.2项、第1.6.3项约定内容的图纸和承包人文件。</w:t>
      </w:r>
    </w:p>
    <w:p w14:paraId="2B0690A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53" w:name="_Toc28959"/>
      <w:bookmarkStart w:id="454" w:name="_Toc3784"/>
      <w:bookmarkStart w:id="455" w:name="_Toc3785"/>
      <w:bookmarkStart w:id="456" w:name="_Toc234832974"/>
      <w:r>
        <w:rPr>
          <w:rFonts w:hint="default" w:ascii="Times New Roman" w:hAnsi="Times New Roman" w:eastAsia="黑体" w:cs="Times New Roman"/>
          <w:b w:val="0"/>
          <w:color w:val="auto"/>
          <w:sz w:val="24"/>
          <w:szCs w:val="24"/>
          <w:highlight w:val="none"/>
        </w:rPr>
        <w:t>1.7联络</w:t>
      </w:r>
      <w:bookmarkEnd w:id="453"/>
      <w:bookmarkEnd w:id="454"/>
      <w:bookmarkEnd w:id="455"/>
      <w:bookmarkEnd w:id="456"/>
    </w:p>
    <w:p w14:paraId="52118EC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1.7.1与合同有关的通知、批准、证明、证书、指示、要求、请求、同意、意见、确定和决定等，均应采用书面形式。</w:t>
      </w:r>
    </w:p>
    <w:p w14:paraId="43D3E69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1.7.2第1.7.1项中的通知、批准、证明、证书、指示、要求、请求、同意、意见、确定和决定等来往函件，均应在合同约定的期限内送达指定地点和接收人，并办理签收手续。</w:t>
      </w:r>
    </w:p>
    <w:p w14:paraId="12F4050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57" w:name="_Toc162"/>
      <w:bookmarkStart w:id="458" w:name="_Toc8917"/>
      <w:bookmarkStart w:id="459" w:name="_Toc13094"/>
      <w:bookmarkStart w:id="460" w:name="_Toc234832975"/>
      <w:r>
        <w:rPr>
          <w:rFonts w:hint="default" w:ascii="Times New Roman" w:hAnsi="Times New Roman" w:eastAsia="黑体" w:cs="Times New Roman"/>
          <w:b w:val="0"/>
          <w:color w:val="auto"/>
          <w:sz w:val="24"/>
          <w:szCs w:val="24"/>
          <w:highlight w:val="none"/>
        </w:rPr>
        <w:t>1.8转让</w:t>
      </w:r>
      <w:bookmarkEnd w:id="457"/>
      <w:bookmarkEnd w:id="458"/>
      <w:bookmarkEnd w:id="459"/>
      <w:bookmarkEnd w:id="460"/>
    </w:p>
    <w:p w14:paraId="5810E1F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除合同另有约定外，未经对方当事人同意，一方当事人不得将合同权利全部或部分转让给第三人，也不得全部或部分转移合同义务。</w:t>
      </w:r>
    </w:p>
    <w:p w14:paraId="03390F6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61" w:name="_Toc23791"/>
      <w:bookmarkStart w:id="462" w:name="_Toc6228"/>
      <w:bookmarkStart w:id="463" w:name="_Toc24262"/>
      <w:bookmarkStart w:id="464" w:name="_Toc234832976"/>
      <w:r>
        <w:rPr>
          <w:rFonts w:hint="default" w:ascii="Times New Roman" w:hAnsi="Times New Roman" w:eastAsia="黑体" w:cs="Times New Roman"/>
          <w:b w:val="0"/>
          <w:color w:val="auto"/>
          <w:sz w:val="24"/>
          <w:szCs w:val="24"/>
          <w:highlight w:val="none"/>
        </w:rPr>
        <w:t>1.9严禁贿赂</w:t>
      </w:r>
      <w:bookmarkEnd w:id="461"/>
      <w:bookmarkEnd w:id="462"/>
      <w:bookmarkEnd w:id="463"/>
      <w:bookmarkEnd w:id="464"/>
    </w:p>
    <w:p w14:paraId="50B5E60E">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合同双方当事人不得以贿赂或变相贿赂的方式，谋取不当利益或损害对方权益。因贿赂造成对方损失的，行为人应赔偿损失，并承担相应的法律责任。</w:t>
      </w:r>
    </w:p>
    <w:p w14:paraId="1F1A2E3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65" w:name="_Toc5924"/>
      <w:bookmarkStart w:id="466" w:name="_Toc28929"/>
      <w:bookmarkStart w:id="467" w:name="_Toc234832977"/>
      <w:bookmarkStart w:id="468" w:name="_Toc1823"/>
      <w:r>
        <w:rPr>
          <w:rFonts w:hint="default" w:ascii="Times New Roman" w:hAnsi="Times New Roman" w:eastAsia="黑体" w:cs="Times New Roman"/>
          <w:b w:val="0"/>
          <w:color w:val="auto"/>
          <w:sz w:val="24"/>
          <w:szCs w:val="24"/>
          <w:highlight w:val="none"/>
        </w:rPr>
        <w:t>1.10化石、文物</w:t>
      </w:r>
      <w:bookmarkEnd w:id="465"/>
      <w:bookmarkEnd w:id="466"/>
      <w:bookmarkEnd w:id="467"/>
      <w:bookmarkEnd w:id="468"/>
    </w:p>
    <w:p w14:paraId="1720EFB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1.10.1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1FC4A6D3">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1.10.2承包人发现文物后不及时报告或隐瞒不报，致使文物丢失或损坏的，应赔偿损失，并承担相应的法律责任。</w:t>
      </w:r>
    </w:p>
    <w:p w14:paraId="6856879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69" w:name="_Toc234832978"/>
      <w:bookmarkStart w:id="470" w:name="_Toc24599"/>
      <w:bookmarkStart w:id="471" w:name="_Toc7504"/>
      <w:bookmarkStart w:id="472" w:name="_Toc27784"/>
      <w:r>
        <w:rPr>
          <w:rFonts w:hint="default" w:ascii="Times New Roman" w:hAnsi="Times New Roman" w:eastAsia="黑体" w:cs="Times New Roman"/>
          <w:b w:val="0"/>
          <w:color w:val="auto"/>
          <w:sz w:val="24"/>
          <w:szCs w:val="24"/>
          <w:highlight w:val="none"/>
        </w:rPr>
        <w:t>1.11专利技术</w:t>
      </w:r>
      <w:bookmarkEnd w:id="469"/>
      <w:bookmarkEnd w:id="470"/>
      <w:bookmarkEnd w:id="471"/>
      <w:bookmarkEnd w:id="472"/>
    </w:p>
    <w:p w14:paraId="3A86707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1.11.1承包人在使用任何材料、承包人设备、工程设备或采用施工工艺时，因侵犯专利权或其他知识产权所引起的责任，由承包人承担，但由于遵照发包人提供的设计或技术标准和要求引起的除外。</w:t>
      </w:r>
    </w:p>
    <w:p w14:paraId="38ACE0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1.11.2承包人在投标文件中采用专利技术的，专利技术的使用费包含在投标报价内。</w:t>
      </w:r>
    </w:p>
    <w:p w14:paraId="2168DBD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1.11.3承包人的技术秘密和声明需要保密的资料和信息，发包人和监理人不得为合同以外的目的泄露给他人。</w:t>
      </w:r>
    </w:p>
    <w:p w14:paraId="78ACD53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73" w:name="_Toc2063"/>
      <w:bookmarkStart w:id="474" w:name="_Toc234832979"/>
      <w:bookmarkStart w:id="475" w:name="_Toc963"/>
      <w:bookmarkStart w:id="476" w:name="_Toc29843"/>
      <w:r>
        <w:rPr>
          <w:rFonts w:hint="default" w:ascii="Times New Roman" w:hAnsi="Times New Roman" w:eastAsia="黑体" w:cs="Times New Roman"/>
          <w:b w:val="0"/>
          <w:color w:val="auto"/>
          <w:sz w:val="24"/>
          <w:szCs w:val="24"/>
          <w:highlight w:val="none"/>
        </w:rPr>
        <w:t>1.12图纸和文件的保密</w:t>
      </w:r>
      <w:bookmarkEnd w:id="473"/>
      <w:bookmarkEnd w:id="474"/>
      <w:bookmarkEnd w:id="475"/>
      <w:bookmarkEnd w:id="476"/>
    </w:p>
    <w:p w14:paraId="6DECE5B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1.12.1发包人提供的图纸和文件，未经发包人同意，承包人不得为合同以外的目的泄露给他人或公开发表与引用。</w:t>
      </w:r>
    </w:p>
    <w:p w14:paraId="2E2B1A7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1.12.2承包人提供的文件，未经承包人同意，发包人和监理人不得为合同以外的目的泄露给他人或公开发表与引用。</w:t>
      </w:r>
    </w:p>
    <w:p w14:paraId="7626824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477" w:name="_Toc11044"/>
      <w:bookmarkStart w:id="478" w:name="_Toc234832980"/>
      <w:bookmarkStart w:id="479" w:name="_Toc2725"/>
      <w:bookmarkStart w:id="480" w:name="_Toc28964"/>
      <w:r>
        <w:rPr>
          <w:rFonts w:hint="default" w:ascii="Times New Roman" w:hAnsi="Times New Roman" w:eastAsia="黑体" w:cs="Times New Roman"/>
          <w:b w:val="0"/>
          <w:color w:val="auto"/>
          <w:sz w:val="28"/>
          <w:szCs w:val="28"/>
          <w:highlight w:val="none"/>
        </w:rPr>
        <w:t>2.发包人义务</w:t>
      </w:r>
      <w:bookmarkEnd w:id="477"/>
      <w:bookmarkEnd w:id="478"/>
      <w:bookmarkEnd w:id="479"/>
      <w:bookmarkEnd w:id="480"/>
    </w:p>
    <w:p w14:paraId="3BFEE29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81" w:name="_Toc5651"/>
      <w:bookmarkStart w:id="482" w:name="_Toc9101"/>
      <w:bookmarkStart w:id="483" w:name="_Toc234832981"/>
      <w:bookmarkStart w:id="484" w:name="_Toc25606"/>
      <w:r>
        <w:rPr>
          <w:rFonts w:hint="default" w:ascii="Times New Roman" w:hAnsi="Times New Roman" w:eastAsia="黑体" w:cs="Times New Roman"/>
          <w:b w:val="0"/>
          <w:color w:val="auto"/>
          <w:sz w:val="24"/>
          <w:szCs w:val="24"/>
          <w:highlight w:val="none"/>
        </w:rPr>
        <w:t>2.1遵守法律</w:t>
      </w:r>
      <w:bookmarkEnd w:id="481"/>
      <w:bookmarkEnd w:id="482"/>
      <w:bookmarkEnd w:id="483"/>
      <w:bookmarkEnd w:id="484"/>
    </w:p>
    <w:p w14:paraId="0466AB7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发包人在履行合同过程中应遵守法律，并保证承包人免于承担因发包人违反法律而引起的任何责任。</w:t>
      </w:r>
    </w:p>
    <w:p w14:paraId="3305A62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85" w:name="_Toc31024"/>
      <w:bookmarkStart w:id="486" w:name="_Toc31599"/>
      <w:bookmarkStart w:id="487" w:name="_Toc234832982"/>
      <w:bookmarkStart w:id="488" w:name="_Toc19902"/>
      <w:r>
        <w:rPr>
          <w:rFonts w:hint="default" w:ascii="Times New Roman" w:hAnsi="Times New Roman" w:eastAsia="黑体" w:cs="Times New Roman"/>
          <w:b w:val="0"/>
          <w:color w:val="auto"/>
          <w:sz w:val="24"/>
          <w:szCs w:val="24"/>
          <w:highlight w:val="none"/>
        </w:rPr>
        <w:t>2.2发出开工通知</w:t>
      </w:r>
      <w:bookmarkEnd w:id="485"/>
      <w:bookmarkEnd w:id="486"/>
      <w:bookmarkEnd w:id="487"/>
      <w:bookmarkEnd w:id="488"/>
    </w:p>
    <w:p w14:paraId="6D516D7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发包人应委托监理人按第11.1款的约定向承包人发出开工通知。</w:t>
      </w:r>
    </w:p>
    <w:p w14:paraId="1093D38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89" w:name="_Toc17104"/>
      <w:bookmarkStart w:id="490" w:name="_Toc234832983"/>
      <w:bookmarkStart w:id="491" w:name="_Toc12327"/>
      <w:bookmarkStart w:id="492" w:name="_Toc12076"/>
      <w:r>
        <w:rPr>
          <w:rFonts w:hint="default" w:ascii="Times New Roman" w:hAnsi="Times New Roman" w:eastAsia="黑体" w:cs="Times New Roman"/>
          <w:b w:val="0"/>
          <w:color w:val="auto"/>
          <w:sz w:val="24"/>
          <w:szCs w:val="24"/>
          <w:highlight w:val="none"/>
        </w:rPr>
        <w:t>2.3提供施工场地</w:t>
      </w:r>
      <w:bookmarkEnd w:id="489"/>
      <w:bookmarkEnd w:id="490"/>
      <w:bookmarkEnd w:id="491"/>
      <w:bookmarkEnd w:id="492"/>
    </w:p>
    <w:p w14:paraId="04300EF3">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发包人应按专用合同条款约定向承包人提供施工场地，以及施工场地内地下管线和地下设施等有关资料，并保证资料的真实、准确、完整。</w:t>
      </w:r>
    </w:p>
    <w:p w14:paraId="24262F4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93" w:name="_Toc12372"/>
      <w:bookmarkStart w:id="494" w:name="_Toc12536"/>
      <w:bookmarkStart w:id="495" w:name="_Toc15886"/>
      <w:bookmarkStart w:id="496" w:name="_Toc234832984"/>
      <w:r>
        <w:rPr>
          <w:rFonts w:hint="default" w:ascii="Times New Roman" w:hAnsi="Times New Roman" w:eastAsia="黑体" w:cs="Times New Roman"/>
          <w:b w:val="0"/>
          <w:color w:val="auto"/>
          <w:sz w:val="24"/>
          <w:szCs w:val="24"/>
          <w:highlight w:val="none"/>
        </w:rPr>
        <w:t>2.4协助承包人办理证件和批件</w:t>
      </w:r>
      <w:bookmarkEnd w:id="493"/>
      <w:bookmarkEnd w:id="494"/>
      <w:bookmarkEnd w:id="495"/>
      <w:bookmarkEnd w:id="496"/>
    </w:p>
    <w:p w14:paraId="2CF61F4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发包人应协助承包人办理法律规定的有关施工证件和批件。</w:t>
      </w:r>
    </w:p>
    <w:p w14:paraId="0DAD9F6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97" w:name="_Toc22937"/>
      <w:bookmarkStart w:id="498" w:name="_Toc6781"/>
      <w:bookmarkStart w:id="499" w:name="_Toc2840"/>
      <w:bookmarkStart w:id="500" w:name="_Toc234832985"/>
      <w:r>
        <w:rPr>
          <w:rFonts w:hint="default" w:ascii="Times New Roman" w:hAnsi="Times New Roman" w:eastAsia="黑体" w:cs="Times New Roman"/>
          <w:b w:val="0"/>
          <w:color w:val="auto"/>
          <w:sz w:val="24"/>
          <w:szCs w:val="24"/>
          <w:highlight w:val="none"/>
        </w:rPr>
        <w:t>2.5组织设计交底</w:t>
      </w:r>
      <w:bookmarkEnd w:id="497"/>
      <w:bookmarkEnd w:id="498"/>
      <w:bookmarkEnd w:id="499"/>
      <w:bookmarkEnd w:id="500"/>
    </w:p>
    <w:p w14:paraId="1264241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发包人应根据合同进度计划，组织设计单位向承包人进行设计交底。</w:t>
      </w:r>
    </w:p>
    <w:p w14:paraId="70C45C3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01" w:name="_Toc2788"/>
      <w:bookmarkStart w:id="502" w:name="_Toc18904"/>
      <w:bookmarkStart w:id="503" w:name="_Toc234832986"/>
      <w:bookmarkStart w:id="504" w:name="_Toc15709"/>
      <w:r>
        <w:rPr>
          <w:rFonts w:hint="default" w:ascii="Times New Roman" w:hAnsi="Times New Roman" w:eastAsia="黑体" w:cs="Times New Roman"/>
          <w:b w:val="0"/>
          <w:color w:val="auto"/>
          <w:sz w:val="24"/>
          <w:szCs w:val="24"/>
          <w:highlight w:val="none"/>
        </w:rPr>
        <w:t>2.6支付合同价款</w:t>
      </w:r>
      <w:bookmarkEnd w:id="501"/>
      <w:bookmarkEnd w:id="502"/>
      <w:bookmarkEnd w:id="503"/>
      <w:bookmarkEnd w:id="504"/>
    </w:p>
    <w:p w14:paraId="5AE08D1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发包人应按合同约定向承包人及时支付合同价款。</w:t>
      </w:r>
    </w:p>
    <w:p w14:paraId="03EB274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05" w:name="_Toc8246"/>
      <w:bookmarkStart w:id="506" w:name="_Toc234832987"/>
      <w:bookmarkStart w:id="507" w:name="_Toc12390"/>
      <w:bookmarkStart w:id="508" w:name="_Toc1813"/>
      <w:r>
        <w:rPr>
          <w:rFonts w:hint="default" w:ascii="Times New Roman" w:hAnsi="Times New Roman" w:eastAsia="黑体" w:cs="Times New Roman"/>
          <w:b w:val="0"/>
          <w:color w:val="auto"/>
          <w:sz w:val="24"/>
          <w:szCs w:val="24"/>
          <w:highlight w:val="none"/>
        </w:rPr>
        <w:t>2.7组织竣工验收</w:t>
      </w:r>
      <w:bookmarkEnd w:id="505"/>
      <w:bookmarkEnd w:id="506"/>
      <w:bookmarkEnd w:id="507"/>
      <w:bookmarkEnd w:id="508"/>
    </w:p>
    <w:p w14:paraId="69B32CE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发包人应按合同约定及时组织竣工验收。</w:t>
      </w:r>
    </w:p>
    <w:p w14:paraId="3DC950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09" w:name="_Toc234832988"/>
      <w:bookmarkStart w:id="510" w:name="_Toc4891"/>
      <w:bookmarkStart w:id="511" w:name="_Toc13771"/>
      <w:bookmarkStart w:id="512" w:name="_Toc16971"/>
      <w:r>
        <w:rPr>
          <w:rFonts w:hint="default" w:ascii="Times New Roman" w:hAnsi="Times New Roman" w:eastAsia="黑体" w:cs="Times New Roman"/>
          <w:b w:val="0"/>
          <w:color w:val="auto"/>
          <w:sz w:val="24"/>
          <w:szCs w:val="24"/>
          <w:highlight w:val="none"/>
        </w:rPr>
        <w:t>2.8其他义务</w:t>
      </w:r>
      <w:bookmarkEnd w:id="509"/>
      <w:bookmarkEnd w:id="510"/>
      <w:bookmarkEnd w:id="511"/>
      <w:bookmarkEnd w:id="512"/>
    </w:p>
    <w:p w14:paraId="112CE1BB">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发包人应履行合同约定的其他义务。</w:t>
      </w:r>
    </w:p>
    <w:p w14:paraId="6306B28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513" w:name="_Toc22971"/>
      <w:bookmarkStart w:id="514" w:name="_Toc7583"/>
      <w:bookmarkStart w:id="515" w:name="_Toc11915"/>
      <w:bookmarkStart w:id="516" w:name="_Toc234832989"/>
      <w:r>
        <w:rPr>
          <w:rFonts w:hint="default" w:ascii="Times New Roman" w:hAnsi="Times New Roman" w:eastAsia="黑体" w:cs="Times New Roman"/>
          <w:b w:val="0"/>
          <w:color w:val="auto"/>
          <w:sz w:val="28"/>
          <w:szCs w:val="28"/>
          <w:highlight w:val="none"/>
        </w:rPr>
        <w:t>3.监理人</w:t>
      </w:r>
      <w:bookmarkEnd w:id="513"/>
      <w:bookmarkEnd w:id="514"/>
      <w:bookmarkEnd w:id="515"/>
      <w:bookmarkEnd w:id="516"/>
    </w:p>
    <w:p w14:paraId="23342743">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517" w:name="_Toc16801"/>
      <w:bookmarkStart w:id="518" w:name="_Toc21643"/>
      <w:bookmarkStart w:id="519" w:name="_Toc234832990"/>
      <w:bookmarkStart w:id="520" w:name="_Toc6610"/>
      <w:r>
        <w:rPr>
          <w:rFonts w:hint="default" w:ascii="Times New Roman" w:hAnsi="Times New Roman" w:eastAsia="黑体" w:cs="Times New Roman"/>
          <w:b w:val="0"/>
          <w:color w:val="auto"/>
          <w:sz w:val="24"/>
          <w:szCs w:val="24"/>
          <w:highlight w:val="none"/>
        </w:rPr>
        <w:t>3.1监理人的职责和权力</w:t>
      </w:r>
      <w:bookmarkEnd w:id="517"/>
      <w:bookmarkEnd w:id="518"/>
      <w:bookmarkEnd w:id="519"/>
      <w:bookmarkEnd w:id="520"/>
    </w:p>
    <w:p w14:paraId="3BB5A3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3.1.1监理人受发包人委托，享有合同约定的权力。监理人在行使某项权力前需要经发包人事先批准而通用合同条款没有指明的，应在专用合同条款中指明。</w:t>
      </w:r>
    </w:p>
    <w:p w14:paraId="7F6373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3.1.2监理人发出的任何指示应视为已得到发包人的批准，但监理人无权免除或变更合同约定的发包人和承包人的权利、义务和责任。</w:t>
      </w:r>
    </w:p>
    <w:p w14:paraId="117C6CA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3.1.3合同约定应由承包人承担的义务和责任，不因监理人对承包人提交文件的审查或批准，对工程、材料和设备的检查和检验，以及为实施监理作出的指示等职务行为而减轻或解除。</w:t>
      </w:r>
    </w:p>
    <w:p w14:paraId="5ABC9F6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21" w:name="_Toc8512"/>
      <w:bookmarkStart w:id="522" w:name="_Toc4457"/>
      <w:bookmarkStart w:id="523" w:name="_Toc8960"/>
      <w:bookmarkStart w:id="524" w:name="_Toc234832991"/>
      <w:r>
        <w:rPr>
          <w:rFonts w:hint="default" w:ascii="Times New Roman" w:hAnsi="Times New Roman" w:eastAsia="黑体" w:cs="Times New Roman"/>
          <w:b w:val="0"/>
          <w:color w:val="auto"/>
          <w:sz w:val="24"/>
          <w:szCs w:val="24"/>
          <w:highlight w:val="none"/>
        </w:rPr>
        <w:t>3.2总监理工程师</w:t>
      </w:r>
      <w:bookmarkEnd w:id="521"/>
      <w:bookmarkEnd w:id="522"/>
      <w:bookmarkEnd w:id="523"/>
      <w:bookmarkEnd w:id="524"/>
    </w:p>
    <w:p w14:paraId="0AF1B38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3282010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25" w:name="_Toc234832992"/>
      <w:bookmarkStart w:id="526" w:name="_Toc2208"/>
      <w:bookmarkStart w:id="527" w:name="_Toc26577"/>
      <w:bookmarkStart w:id="528" w:name="_Toc28836"/>
      <w:r>
        <w:rPr>
          <w:rFonts w:hint="default" w:ascii="Times New Roman" w:hAnsi="Times New Roman" w:eastAsia="黑体" w:cs="Times New Roman"/>
          <w:b w:val="0"/>
          <w:color w:val="auto"/>
          <w:sz w:val="24"/>
          <w:szCs w:val="24"/>
          <w:highlight w:val="none"/>
        </w:rPr>
        <w:t>3.3监理人员</w:t>
      </w:r>
      <w:bookmarkEnd w:id="525"/>
      <w:bookmarkEnd w:id="526"/>
      <w:bookmarkEnd w:id="527"/>
      <w:bookmarkEnd w:id="528"/>
    </w:p>
    <w:p w14:paraId="03F316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902281E">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3.3.2监理人员对承包人的任何工作、工程或其采用的材料和工程设备未在约定的或合理的期限内提出否定意见的，视为已获批准，但不影响监理人在以后拒绝该项工作、工程、材料或工程设备的权利。</w:t>
      </w:r>
    </w:p>
    <w:p w14:paraId="6E9C3EC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3.3.3承包人对总监理工程师授权的监理人员发出的指示有疑问的，可向总监理工程师提出书面异议，总监理工程师应在48小时内对该指示予以确认、更改或撤销。</w:t>
      </w:r>
    </w:p>
    <w:p w14:paraId="1A3F7B9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3.3.4除专用合同条款另有约定外，总监理工程师不应将第3.5款约定应由总监理工程师作出确定的权力授权或委托给其他监理人员。</w:t>
      </w:r>
    </w:p>
    <w:p w14:paraId="4881757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29" w:name="_Toc1056"/>
      <w:bookmarkStart w:id="530" w:name="_Toc234832993"/>
      <w:bookmarkStart w:id="531" w:name="_Toc12482"/>
      <w:bookmarkStart w:id="532" w:name="_Toc31668"/>
      <w:r>
        <w:rPr>
          <w:rFonts w:hint="default" w:ascii="Times New Roman" w:hAnsi="Times New Roman" w:eastAsia="黑体" w:cs="Times New Roman"/>
          <w:b w:val="0"/>
          <w:color w:val="auto"/>
          <w:sz w:val="24"/>
          <w:szCs w:val="24"/>
          <w:highlight w:val="none"/>
        </w:rPr>
        <w:t>3.4监理人的指示</w:t>
      </w:r>
      <w:bookmarkEnd w:id="529"/>
      <w:bookmarkEnd w:id="530"/>
      <w:bookmarkEnd w:id="531"/>
      <w:bookmarkEnd w:id="532"/>
    </w:p>
    <w:p w14:paraId="79DA2DC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3.4.1监理人应按第3.1款的约定向承包人发出指示，监理人的指示应盖有监理人授权的施工场地机构章，并由总监理工程师或总监理工程师按第3.3.1项约定授权的监理人员签字。</w:t>
      </w:r>
    </w:p>
    <w:p w14:paraId="6FECE68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3.4.2承包人收到监理人按第3.4.1项作出的指示后应遵照执行。指示构成变更的，应按第15条处理。</w:t>
      </w:r>
    </w:p>
    <w:p w14:paraId="51A02C8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3.4.3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6F906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3.4.4除合同另有约定外，承包人只从总监理工程师或按第3.3.1项被授权的监理人员处取得指示。</w:t>
      </w:r>
    </w:p>
    <w:p w14:paraId="73CE1220">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3.4.5由于监理人未能按合同约定发出指示、指示延误或指示错误而导致承包人费用增加和（或）工期延误的，由发包人承担赔偿责任。</w:t>
      </w:r>
    </w:p>
    <w:p w14:paraId="6761E72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33" w:name="_Toc9828"/>
      <w:bookmarkStart w:id="534" w:name="_Toc7716"/>
      <w:bookmarkStart w:id="535" w:name="_Toc234832994"/>
      <w:bookmarkStart w:id="536" w:name="_Toc13069"/>
      <w:r>
        <w:rPr>
          <w:rFonts w:hint="default" w:ascii="Times New Roman" w:hAnsi="Times New Roman" w:eastAsia="黑体" w:cs="Times New Roman"/>
          <w:b w:val="0"/>
          <w:color w:val="auto"/>
          <w:sz w:val="24"/>
          <w:szCs w:val="24"/>
          <w:highlight w:val="none"/>
        </w:rPr>
        <w:t>3.5商定或确定</w:t>
      </w:r>
      <w:bookmarkEnd w:id="533"/>
      <w:bookmarkEnd w:id="534"/>
      <w:bookmarkEnd w:id="535"/>
      <w:bookmarkEnd w:id="536"/>
    </w:p>
    <w:p w14:paraId="74192CF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3.5.1合同约定总监理工程师应按照本款对任何事项进行商定或确定时，总监理工程师应与合同当事人协商，尽量达成一致。不能达成一致的，总监理工程师应认真研究后审慎确定。</w:t>
      </w:r>
    </w:p>
    <w:p w14:paraId="0FD722C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3.5.2总监理工程师应将商定或确定的事项通知合同当事人，并附详细依据。对总监理工程师的确定有异议的，</w:t>
      </w:r>
      <w:r>
        <w:rPr>
          <w:rFonts w:hint="default" w:ascii="Times New Roman" w:hAnsi="Times New Roman" w:cs="Times New Roman"/>
          <w:iCs/>
          <w:color w:val="auto"/>
          <w:sz w:val="24"/>
          <w:highlight w:val="none"/>
        </w:rPr>
        <w:t>构成争议，</w:t>
      </w:r>
      <w:r>
        <w:rPr>
          <w:rFonts w:hint="default" w:ascii="Times New Roman" w:hAnsi="Times New Roman" w:cs="Times New Roman"/>
          <w:color w:val="auto"/>
          <w:sz w:val="24"/>
          <w:highlight w:val="none"/>
        </w:rPr>
        <w:t>按照第24条的约定处理。在争议解决前，双方应暂按总监理工程师的确定执行，按照第24条的约定对总监理工程师的确定作出修改的，按修改后的结果执行。</w:t>
      </w:r>
    </w:p>
    <w:p w14:paraId="5855688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537" w:name="_Toc30028"/>
      <w:bookmarkStart w:id="538" w:name="_Toc1630"/>
      <w:bookmarkStart w:id="539" w:name="_Toc9721"/>
      <w:bookmarkStart w:id="540" w:name="_Toc234832995"/>
      <w:r>
        <w:rPr>
          <w:rFonts w:hint="default" w:ascii="Times New Roman" w:hAnsi="Times New Roman" w:eastAsia="黑体" w:cs="Times New Roman"/>
          <w:b w:val="0"/>
          <w:color w:val="auto"/>
          <w:sz w:val="28"/>
          <w:szCs w:val="28"/>
          <w:highlight w:val="none"/>
        </w:rPr>
        <w:t>4.承包人</w:t>
      </w:r>
      <w:bookmarkEnd w:id="537"/>
      <w:bookmarkEnd w:id="538"/>
      <w:bookmarkEnd w:id="539"/>
      <w:bookmarkEnd w:id="540"/>
    </w:p>
    <w:p w14:paraId="279110A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41" w:name="_Toc20434"/>
      <w:bookmarkStart w:id="542" w:name="_Toc25150"/>
      <w:bookmarkStart w:id="543" w:name="_Toc234832996"/>
      <w:bookmarkStart w:id="544" w:name="_Toc21919"/>
      <w:r>
        <w:rPr>
          <w:rFonts w:hint="default" w:ascii="Times New Roman" w:hAnsi="Times New Roman" w:eastAsia="黑体" w:cs="Times New Roman"/>
          <w:b w:val="0"/>
          <w:color w:val="auto"/>
          <w:sz w:val="24"/>
          <w:szCs w:val="24"/>
          <w:highlight w:val="none"/>
        </w:rPr>
        <w:t>4.1承包人的一般义务</w:t>
      </w:r>
      <w:bookmarkEnd w:id="541"/>
      <w:bookmarkEnd w:id="542"/>
      <w:bookmarkEnd w:id="543"/>
      <w:bookmarkEnd w:id="544"/>
    </w:p>
    <w:p w14:paraId="6F5EEE64">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w:t>
      </w:r>
      <w:r>
        <w:rPr>
          <w:rFonts w:hint="default" w:ascii="Times New Roman" w:hAnsi="Times New Roman" w:eastAsia="黑体" w:cs="Times New Roman"/>
          <w:color w:val="auto"/>
          <w:sz w:val="24"/>
          <w:highlight w:val="none"/>
        </w:rPr>
        <w:t>遵守法律</w:t>
      </w:r>
    </w:p>
    <w:p w14:paraId="58206EE1">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承包人在履行合同过程中应遵守法律，并保证发包人免于承担因承包人违反法律而引起的任何责任。</w:t>
      </w:r>
    </w:p>
    <w:p w14:paraId="0391DD50">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4.1.2</w:t>
      </w:r>
      <w:r>
        <w:rPr>
          <w:rFonts w:hint="default" w:ascii="Times New Roman" w:hAnsi="Times New Roman" w:eastAsia="黑体" w:cs="Times New Roman"/>
          <w:color w:val="auto"/>
          <w:sz w:val="24"/>
          <w:highlight w:val="none"/>
        </w:rPr>
        <w:t>依法纳税</w:t>
      </w:r>
    </w:p>
    <w:p w14:paraId="326E2FE9">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承包人应按有关法律规定纳税，应缴纳的税金包括在合同价格内。</w:t>
      </w:r>
    </w:p>
    <w:p w14:paraId="0A1762EB">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4.1.3</w:t>
      </w:r>
      <w:r>
        <w:rPr>
          <w:rFonts w:hint="default" w:ascii="Times New Roman" w:hAnsi="Times New Roman" w:eastAsia="黑体" w:cs="Times New Roman"/>
          <w:color w:val="auto"/>
          <w:sz w:val="24"/>
          <w:highlight w:val="none"/>
        </w:rPr>
        <w:t>完成各项承包工作</w:t>
      </w:r>
    </w:p>
    <w:p w14:paraId="6B5DBDC1">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5C5BAA9A">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4.1.4对施工作业和施工方法的完备性负责</w:t>
      </w:r>
    </w:p>
    <w:p w14:paraId="6C536C38">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承包人应按合同约定的工作内容和施工进度要求，编制施工组织设计和施工措施计划，并对所有施工作业和施工方法的完备性和安全可靠性负责。</w:t>
      </w:r>
    </w:p>
    <w:p w14:paraId="27A6BFF8">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4.1.5</w:t>
      </w:r>
      <w:r>
        <w:rPr>
          <w:rFonts w:hint="default" w:ascii="Times New Roman" w:hAnsi="Times New Roman" w:eastAsia="黑体" w:cs="Times New Roman"/>
          <w:color w:val="auto"/>
          <w:sz w:val="24"/>
          <w:highlight w:val="none"/>
        </w:rPr>
        <w:t>保证工程施工和人员的安全</w:t>
      </w:r>
    </w:p>
    <w:p w14:paraId="0F8BF416">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承包人应按第9.2款约定采取施工安全措施，确保工程及其人员、材料、设备和设施的安全，防止因工程施工造成的人身伤害和财产损失。</w:t>
      </w:r>
    </w:p>
    <w:p w14:paraId="6FF083E3">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4.1.6</w:t>
      </w:r>
      <w:r>
        <w:rPr>
          <w:rFonts w:hint="default" w:ascii="Times New Roman" w:hAnsi="Times New Roman" w:eastAsia="黑体" w:cs="Times New Roman"/>
          <w:color w:val="auto"/>
          <w:sz w:val="24"/>
          <w:highlight w:val="none"/>
        </w:rPr>
        <w:t>负责施工场地及其周边环境与生态的保护工作</w:t>
      </w:r>
    </w:p>
    <w:p w14:paraId="2EDFCA3F">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承包人应按照第9.4款约定负责施工场地及其周边环境与生态的保护工作。</w:t>
      </w:r>
    </w:p>
    <w:p w14:paraId="1027A143">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4.1.7</w:t>
      </w:r>
      <w:r>
        <w:rPr>
          <w:rFonts w:hint="default" w:ascii="Times New Roman" w:hAnsi="Times New Roman" w:eastAsia="黑体" w:cs="Times New Roman"/>
          <w:color w:val="auto"/>
          <w:sz w:val="24"/>
          <w:highlight w:val="none"/>
        </w:rPr>
        <w:t>避免施工对公众与他人的利益造成损害</w:t>
      </w:r>
    </w:p>
    <w:p w14:paraId="0806FF0A">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C87382F">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4.1.8</w:t>
      </w:r>
      <w:r>
        <w:rPr>
          <w:rFonts w:hint="default" w:ascii="Times New Roman" w:hAnsi="Times New Roman" w:eastAsia="黑体" w:cs="Times New Roman"/>
          <w:color w:val="auto"/>
          <w:sz w:val="24"/>
          <w:highlight w:val="none"/>
        </w:rPr>
        <w:t>为他人提供方便</w:t>
      </w:r>
    </w:p>
    <w:p w14:paraId="03F8280F">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0DC2C911">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4.1.9</w:t>
      </w:r>
      <w:r>
        <w:rPr>
          <w:rFonts w:hint="default" w:ascii="Times New Roman" w:hAnsi="Times New Roman" w:eastAsia="黑体" w:cs="Times New Roman"/>
          <w:color w:val="auto"/>
          <w:sz w:val="24"/>
          <w:highlight w:val="none"/>
        </w:rPr>
        <w:t>工程的维护和照管</w:t>
      </w:r>
    </w:p>
    <w:p w14:paraId="3FC8AE85">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726177C9">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4.1.10</w:t>
      </w:r>
      <w:r>
        <w:rPr>
          <w:rFonts w:hint="default" w:ascii="Times New Roman" w:hAnsi="Times New Roman" w:eastAsia="黑体" w:cs="Times New Roman"/>
          <w:color w:val="auto"/>
          <w:sz w:val="24"/>
          <w:highlight w:val="none"/>
        </w:rPr>
        <w:t>其他义务</w:t>
      </w:r>
    </w:p>
    <w:p w14:paraId="352C1447">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承包人应履行合同约定的其他义务。</w:t>
      </w:r>
    </w:p>
    <w:p w14:paraId="361EC2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45" w:name="_Toc234832997"/>
      <w:bookmarkStart w:id="546" w:name="_Toc3711"/>
      <w:bookmarkStart w:id="547" w:name="_Toc15934"/>
      <w:bookmarkStart w:id="548" w:name="_Toc30774"/>
      <w:r>
        <w:rPr>
          <w:rFonts w:hint="default" w:ascii="Times New Roman" w:hAnsi="Times New Roman" w:eastAsia="黑体" w:cs="Times New Roman"/>
          <w:b w:val="0"/>
          <w:color w:val="auto"/>
          <w:sz w:val="24"/>
          <w:szCs w:val="24"/>
          <w:highlight w:val="none"/>
        </w:rPr>
        <w:t>4.2履约担保</w:t>
      </w:r>
      <w:bookmarkEnd w:id="545"/>
      <w:bookmarkEnd w:id="546"/>
      <w:bookmarkEnd w:id="547"/>
      <w:bookmarkEnd w:id="548"/>
    </w:p>
    <w:p w14:paraId="34C613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承包人应保证其履约担保在发包人颁发工程接收证书前一直有效。发包人应在工程接收证书颁发后28天内把履约担保退还给承包人。</w:t>
      </w:r>
    </w:p>
    <w:p w14:paraId="68F231E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49" w:name="_Toc1459"/>
      <w:bookmarkStart w:id="550" w:name="_Toc234832998"/>
      <w:bookmarkStart w:id="551" w:name="_Toc24336"/>
      <w:bookmarkStart w:id="552" w:name="_Toc17914"/>
      <w:r>
        <w:rPr>
          <w:rFonts w:hint="default" w:ascii="Times New Roman" w:hAnsi="Times New Roman" w:eastAsia="黑体" w:cs="Times New Roman"/>
          <w:b w:val="0"/>
          <w:color w:val="auto"/>
          <w:sz w:val="24"/>
          <w:szCs w:val="24"/>
          <w:highlight w:val="none"/>
        </w:rPr>
        <w:t>4.3分包</w:t>
      </w:r>
      <w:bookmarkEnd w:id="549"/>
      <w:bookmarkEnd w:id="550"/>
      <w:bookmarkEnd w:id="551"/>
      <w:bookmarkEnd w:id="552"/>
    </w:p>
    <w:p w14:paraId="14B33B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4.3.1承包人不得将其承包的全部工程转包给第三人，或将其承包的全部工程肢解后以分包的名义转包给第三人。</w:t>
      </w:r>
    </w:p>
    <w:p w14:paraId="27071CF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4.3.2承包人不得将工程主体、关键性工作分包给第三人。除专用合同条款另有约定外，未经发包人同意，承包人不得将工程的其他部分或工作分包给第三人。</w:t>
      </w:r>
    </w:p>
    <w:p w14:paraId="0740145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4.3.3分包人的资格能力应与其分包工程的标准和规模相适应。</w:t>
      </w:r>
    </w:p>
    <w:p w14:paraId="13FA64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4.3.4按投标函附录约定分包工程的，承包人应向发包人和监理人提交分包合同副本。</w:t>
      </w:r>
    </w:p>
    <w:p w14:paraId="4160CD4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4.3.5承包人应与分包人就分包工程向发包人承担连带责任。</w:t>
      </w:r>
    </w:p>
    <w:p w14:paraId="10C7191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53" w:name="_Toc3204"/>
      <w:bookmarkStart w:id="554" w:name="_Toc4870"/>
      <w:bookmarkStart w:id="555" w:name="_Toc234832999"/>
      <w:bookmarkStart w:id="556" w:name="_Toc32164"/>
      <w:r>
        <w:rPr>
          <w:rFonts w:hint="default" w:ascii="Times New Roman" w:hAnsi="Times New Roman" w:eastAsia="黑体" w:cs="Times New Roman"/>
          <w:b w:val="0"/>
          <w:color w:val="auto"/>
          <w:sz w:val="24"/>
          <w:szCs w:val="24"/>
          <w:highlight w:val="none"/>
        </w:rPr>
        <w:t>4.4联合体</w:t>
      </w:r>
      <w:bookmarkEnd w:id="553"/>
      <w:bookmarkEnd w:id="554"/>
      <w:bookmarkEnd w:id="555"/>
      <w:bookmarkEnd w:id="556"/>
    </w:p>
    <w:p w14:paraId="0BA3B45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4.4.1联合体各方应共同与发包人签订合同协议书。联合体各方应为履行合同承担连带责任。</w:t>
      </w:r>
    </w:p>
    <w:p w14:paraId="63AD91D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4.4.2</w:t>
      </w:r>
      <w:r>
        <w:rPr>
          <w:rFonts w:hint="default" w:ascii="Times New Roman" w:hAnsi="Times New Roman" w:cs="Times New Roman"/>
          <w:iCs/>
          <w:color w:val="auto"/>
          <w:sz w:val="24"/>
          <w:highlight w:val="none"/>
        </w:rPr>
        <w:t>联合体协议经发包人确认后作为合同附件。</w:t>
      </w:r>
      <w:r>
        <w:rPr>
          <w:rFonts w:hint="default" w:ascii="Times New Roman" w:hAnsi="Times New Roman" w:cs="Times New Roman"/>
          <w:color w:val="auto"/>
          <w:sz w:val="24"/>
          <w:highlight w:val="none"/>
        </w:rPr>
        <w:t>在履行合同过程中，未经发包人同意，不得修改联合体协议。</w:t>
      </w:r>
    </w:p>
    <w:p w14:paraId="4709DAD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4.4.3联合体牵头人负责与发包人和监理人联系，并接受指示，负责组织联合体各成员全面履行合同。</w:t>
      </w:r>
    </w:p>
    <w:p w14:paraId="1555858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57" w:name="_Toc25555"/>
      <w:bookmarkStart w:id="558" w:name="_Toc29702"/>
      <w:bookmarkStart w:id="559" w:name="_Toc234833000"/>
      <w:bookmarkStart w:id="560" w:name="_Toc19688"/>
      <w:r>
        <w:rPr>
          <w:rFonts w:hint="default" w:ascii="Times New Roman" w:hAnsi="Times New Roman" w:eastAsia="黑体" w:cs="Times New Roman"/>
          <w:b w:val="0"/>
          <w:color w:val="auto"/>
          <w:sz w:val="24"/>
          <w:szCs w:val="24"/>
          <w:highlight w:val="none"/>
        </w:rPr>
        <w:t>4.5承包人项目经理</w:t>
      </w:r>
      <w:bookmarkEnd w:id="557"/>
      <w:bookmarkEnd w:id="558"/>
      <w:bookmarkEnd w:id="559"/>
      <w:bookmarkEnd w:id="560"/>
    </w:p>
    <w:p w14:paraId="2A878DF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45FED71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4.5.2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30D55D0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4.5.3承包人为履行合同发出的一切函件均应盖有承包人授权的施工场地管理机构章，并由承包人项目经理或其授权代表签字。</w:t>
      </w:r>
    </w:p>
    <w:p w14:paraId="1F1E586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4.5.4承包人项目经理可以授权其下属人员履行其某项职责，但事先应将这些人员的姓名和授权范围通知监理人。</w:t>
      </w:r>
    </w:p>
    <w:p w14:paraId="68168DE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61" w:name="_Toc32486"/>
      <w:bookmarkStart w:id="562" w:name="_Toc23442"/>
      <w:bookmarkStart w:id="563" w:name="_Toc234833001"/>
      <w:bookmarkStart w:id="564" w:name="_Toc30705"/>
      <w:r>
        <w:rPr>
          <w:rFonts w:hint="default" w:ascii="Times New Roman" w:hAnsi="Times New Roman" w:eastAsia="黑体" w:cs="Times New Roman"/>
          <w:b w:val="0"/>
          <w:color w:val="auto"/>
          <w:sz w:val="24"/>
          <w:szCs w:val="24"/>
          <w:highlight w:val="none"/>
        </w:rPr>
        <w:t>4.6承包人人员的管理</w:t>
      </w:r>
      <w:bookmarkEnd w:id="561"/>
      <w:bookmarkEnd w:id="562"/>
      <w:bookmarkEnd w:id="563"/>
      <w:bookmarkEnd w:id="564"/>
    </w:p>
    <w:p w14:paraId="525D864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E72982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4.6.2为完成合同约定的各项工作，承包人应向施工场地派遣或雇佣足够数量的下列人员：</w:t>
      </w:r>
    </w:p>
    <w:p w14:paraId="2BFE1019">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（1）具有相应资格的专业技工和合格的普工；</w:t>
      </w:r>
    </w:p>
    <w:p w14:paraId="21D1942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（2）具有相应施工经验的技术人员；</w:t>
      </w:r>
    </w:p>
    <w:p w14:paraId="1F13151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（3）具有相应岗位资格的各级管理人员。</w:t>
      </w:r>
    </w:p>
    <w:p w14:paraId="0E4BB68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4.6.3承包人安排在施工场地的主要管理人员和技术骨干应相对稳定。承包人更换主要管理人员和技术骨干时，应取得监理人的同意。</w:t>
      </w:r>
    </w:p>
    <w:p w14:paraId="1819CA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4.6.4特殊岗位的工作人员均应持有相应的资格证明，监理人有权随时检查。监理人认为有必要时，可进行现场考核。</w:t>
      </w:r>
    </w:p>
    <w:p w14:paraId="7FFA3B5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65" w:name="_Toc29162"/>
      <w:bookmarkStart w:id="566" w:name="_Toc234833002"/>
      <w:bookmarkStart w:id="567" w:name="_Toc16860"/>
      <w:bookmarkStart w:id="568" w:name="_Toc25941"/>
      <w:r>
        <w:rPr>
          <w:rFonts w:hint="default" w:ascii="Times New Roman" w:hAnsi="Times New Roman" w:eastAsia="黑体" w:cs="Times New Roman"/>
          <w:b w:val="0"/>
          <w:color w:val="auto"/>
          <w:sz w:val="24"/>
          <w:szCs w:val="24"/>
          <w:highlight w:val="none"/>
        </w:rPr>
        <w:t>4.7撤换承包人项目经理和其他人员</w:t>
      </w:r>
      <w:bookmarkEnd w:id="565"/>
      <w:bookmarkEnd w:id="566"/>
      <w:bookmarkEnd w:id="567"/>
      <w:bookmarkEnd w:id="568"/>
    </w:p>
    <w:p w14:paraId="6892B5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承包人应对其项目经理和其他人员进行有效管理。监理人要求撤换不能胜任本职工作、行为不端或玩忽职守的承包人项目经理和其他人员的，承包人应予以撤换。</w:t>
      </w:r>
    </w:p>
    <w:p w14:paraId="539D5C7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69" w:name="_Toc514"/>
      <w:bookmarkStart w:id="570" w:name="_Toc234833003"/>
      <w:bookmarkStart w:id="571" w:name="_Toc5844"/>
      <w:bookmarkStart w:id="572" w:name="_Toc9913"/>
      <w:r>
        <w:rPr>
          <w:rFonts w:hint="default" w:ascii="Times New Roman" w:hAnsi="Times New Roman" w:eastAsia="黑体" w:cs="Times New Roman"/>
          <w:b w:val="0"/>
          <w:color w:val="auto"/>
          <w:sz w:val="24"/>
          <w:szCs w:val="24"/>
          <w:highlight w:val="none"/>
        </w:rPr>
        <w:t>4.8保障承包人人员的合法权益</w:t>
      </w:r>
      <w:bookmarkEnd w:id="569"/>
      <w:bookmarkEnd w:id="570"/>
      <w:bookmarkEnd w:id="571"/>
      <w:bookmarkEnd w:id="572"/>
    </w:p>
    <w:p w14:paraId="2B67AB9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4.8.1承包人应与其雇佣的人员签订劳动合同，并按时发放工资。</w:t>
      </w:r>
    </w:p>
    <w:p w14:paraId="1C9F9D5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4.8.2承包人应按劳动法的规定安排工作时间，保证其雇佣人员享有休息和休假的权利。因工程施工的特殊需要占用休假日或延长工作时间的，应不超过法律规定的限度，并按法律规定给予补休或付酬。</w:t>
      </w:r>
    </w:p>
    <w:p w14:paraId="40F2F7F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4.8.3承包人应为其雇佣人员提供必要的食宿条件，以及符合环境保护和卫生要求的生活环境，在远离城镇的施工场地，还应配备必要的伤病防治和急救的医务人员与医疗设施。</w:t>
      </w:r>
    </w:p>
    <w:p w14:paraId="65101AF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4.8.4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9E1FA1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4.8.5承包人应按有关法律规定和合同约定，为其雇佣人员办理保险。</w:t>
      </w:r>
    </w:p>
    <w:p w14:paraId="36AC4F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4.8.6承包人应负责处理其雇佣人员因工伤亡事故的善后事宜。</w:t>
      </w:r>
    </w:p>
    <w:p w14:paraId="2F89EB5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73" w:name="_Toc1107"/>
      <w:bookmarkStart w:id="574" w:name="_Toc27171"/>
      <w:bookmarkStart w:id="575" w:name="_Toc234833004"/>
      <w:bookmarkStart w:id="576" w:name="_Toc29044"/>
      <w:r>
        <w:rPr>
          <w:rFonts w:hint="default" w:ascii="Times New Roman" w:hAnsi="Times New Roman" w:eastAsia="黑体" w:cs="Times New Roman"/>
          <w:b w:val="0"/>
          <w:color w:val="auto"/>
          <w:sz w:val="24"/>
          <w:szCs w:val="24"/>
          <w:highlight w:val="none"/>
        </w:rPr>
        <w:t>4.9工程价款应专款专用</w:t>
      </w:r>
      <w:bookmarkEnd w:id="573"/>
      <w:bookmarkEnd w:id="574"/>
      <w:bookmarkEnd w:id="575"/>
      <w:bookmarkEnd w:id="576"/>
    </w:p>
    <w:p w14:paraId="4AA3043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发包人按合同约定支付给承包人的各项价款应专用于合同工程。</w:t>
      </w:r>
    </w:p>
    <w:p w14:paraId="78591753">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577" w:name="_Toc234833005"/>
      <w:bookmarkStart w:id="578" w:name="_Toc9152"/>
      <w:bookmarkStart w:id="579" w:name="_Toc25811"/>
      <w:bookmarkStart w:id="580" w:name="_Toc28976"/>
      <w:r>
        <w:rPr>
          <w:rFonts w:hint="default" w:ascii="Times New Roman" w:hAnsi="Times New Roman" w:eastAsia="黑体" w:cs="Times New Roman"/>
          <w:b w:val="0"/>
          <w:color w:val="auto"/>
          <w:sz w:val="24"/>
          <w:szCs w:val="24"/>
          <w:highlight w:val="none"/>
        </w:rPr>
        <w:t>4.10承包人现场查勘</w:t>
      </w:r>
      <w:bookmarkEnd w:id="577"/>
      <w:bookmarkEnd w:id="578"/>
      <w:bookmarkEnd w:id="579"/>
      <w:bookmarkEnd w:id="580"/>
    </w:p>
    <w:p w14:paraId="0AA26E3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4.10.1发包人应将其持有的现场地质勘探资料、水文气象资料提供给承包人，并对其准确性负责。但承包人应对其阅读上述有关资料后所作出的解释和推断负责。</w:t>
      </w:r>
    </w:p>
    <w:p w14:paraId="568C85F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39F966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81" w:name="_Toc17320"/>
      <w:bookmarkStart w:id="582" w:name="_Toc22483"/>
      <w:bookmarkStart w:id="583" w:name="_Toc9021"/>
      <w:bookmarkStart w:id="584" w:name="_Toc234833006"/>
      <w:r>
        <w:rPr>
          <w:rFonts w:hint="default" w:ascii="Times New Roman" w:hAnsi="Times New Roman" w:eastAsia="黑体" w:cs="Times New Roman"/>
          <w:b w:val="0"/>
          <w:color w:val="auto"/>
          <w:sz w:val="24"/>
          <w:szCs w:val="24"/>
          <w:highlight w:val="none"/>
        </w:rPr>
        <w:t>4.11不利物质条件</w:t>
      </w:r>
      <w:bookmarkEnd w:id="581"/>
      <w:bookmarkEnd w:id="582"/>
      <w:bookmarkEnd w:id="583"/>
      <w:bookmarkEnd w:id="584"/>
    </w:p>
    <w:p w14:paraId="555EC2EA">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4.11.1不利物质条件，除专用合同条款另有约定外，是指承包人在施工场地遇到的不可预见的自然物质条件、非自然的物质障碍和污染物，包括地下和水文条件，但不包括气候条件。</w:t>
      </w:r>
    </w:p>
    <w:p w14:paraId="5D1EAFA9">
      <w:pPr>
        <w:pageBreakBefore w:val="0"/>
        <w:kinsoku/>
        <w:wordWrap w:val="0"/>
        <w:bidi w:val="0"/>
        <w:spacing w:line="400" w:lineRule="atLeast"/>
        <w:ind w:firstLine="420"/>
        <w:outlineLvl w:val="9"/>
        <w:rPr>
          <w:rFonts w:hint="default" w:ascii="Times New Roman" w:hAnsi="Times New Roman" w:cs="Times New Roman"/>
          <w:iCs/>
          <w:color w:val="auto"/>
          <w:sz w:val="24"/>
          <w:highlight w:val="none"/>
        </w:rPr>
      </w:pPr>
      <w:r>
        <w:rPr>
          <w:rFonts w:hint="default" w:ascii="Times New Roman" w:hAnsi="Times New Roman" w:cs="Times New Roman"/>
          <w:iCs/>
          <w:color w:val="auto"/>
          <w:sz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427EF0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585" w:name="_Toc234833007"/>
      <w:bookmarkStart w:id="586" w:name="_Toc25496"/>
      <w:bookmarkStart w:id="587" w:name="_Toc17106"/>
      <w:bookmarkStart w:id="588" w:name="_Toc4965"/>
      <w:r>
        <w:rPr>
          <w:rFonts w:hint="default" w:ascii="Times New Roman" w:hAnsi="Times New Roman" w:eastAsia="黑体" w:cs="Times New Roman"/>
          <w:b w:val="0"/>
          <w:color w:val="auto"/>
          <w:sz w:val="28"/>
          <w:szCs w:val="28"/>
          <w:highlight w:val="none"/>
        </w:rPr>
        <w:t>5.材料和工程设备</w:t>
      </w:r>
      <w:bookmarkEnd w:id="585"/>
      <w:bookmarkEnd w:id="586"/>
      <w:bookmarkEnd w:id="587"/>
      <w:bookmarkEnd w:id="588"/>
    </w:p>
    <w:p w14:paraId="2694970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89" w:name="_Toc20835"/>
      <w:bookmarkStart w:id="590" w:name="_Toc28474"/>
      <w:bookmarkStart w:id="591" w:name="_Toc234833008"/>
      <w:bookmarkStart w:id="592" w:name="_Toc4914"/>
      <w:r>
        <w:rPr>
          <w:rFonts w:hint="default" w:ascii="Times New Roman" w:hAnsi="Times New Roman" w:eastAsia="黑体" w:cs="Times New Roman"/>
          <w:b w:val="0"/>
          <w:color w:val="auto"/>
          <w:sz w:val="24"/>
          <w:szCs w:val="24"/>
          <w:highlight w:val="none"/>
        </w:rPr>
        <w:t>5.1承包人提供的材料和工程设备</w:t>
      </w:r>
      <w:bookmarkEnd w:id="589"/>
      <w:bookmarkEnd w:id="590"/>
      <w:bookmarkEnd w:id="591"/>
      <w:bookmarkEnd w:id="592"/>
    </w:p>
    <w:p w14:paraId="120313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5.1.1除专用合同条款另有约定外，承包人提供的材料和工程设备均由承包人负责采购、运输和保管。承包人应对其采购的材料和工程设备负责。</w:t>
      </w:r>
    </w:p>
    <w:p w14:paraId="141BC93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5.1.2承包人应按专用合同条款的约定，将各项材料和工程设备的供货人及品种、规格、数量和供货时间等报送监理人审批。承包人应向监理</w:t>
      </w:r>
      <w:r>
        <w:rPr>
          <w:rFonts w:hint="default" w:ascii="Times New Roman" w:hAnsi="Times New Roman" w:cs="Times New Roman"/>
          <w:iCs/>
          <w:color w:val="auto"/>
          <w:sz w:val="24"/>
          <w:highlight w:val="none"/>
        </w:rPr>
        <w:t>人</w:t>
      </w:r>
      <w:r>
        <w:rPr>
          <w:rFonts w:hint="default" w:ascii="Times New Roman" w:hAnsi="Times New Roman" w:cs="Times New Roman"/>
          <w:color w:val="auto"/>
          <w:sz w:val="24"/>
          <w:highlight w:val="none"/>
        </w:rPr>
        <w:t>提交其负责提供的材料和工程设备的质量证明文件，并满足合同约定的质量标准。</w:t>
      </w:r>
    </w:p>
    <w:p w14:paraId="3E3EFB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C60718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93" w:name="_Toc1587"/>
      <w:bookmarkStart w:id="594" w:name="_Toc11854"/>
      <w:bookmarkStart w:id="595" w:name="_Toc5584"/>
      <w:bookmarkStart w:id="596" w:name="_Toc234833009"/>
      <w:r>
        <w:rPr>
          <w:rFonts w:hint="default" w:ascii="Times New Roman" w:hAnsi="Times New Roman" w:eastAsia="黑体" w:cs="Times New Roman"/>
          <w:b w:val="0"/>
          <w:color w:val="auto"/>
          <w:sz w:val="24"/>
          <w:szCs w:val="24"/>
          <w:highlight w:val="none"/>
        </w:rPr>
        <w:t>5.2发包人提供的材料和工程设备</w:t>
      </w:r>
      <w:bookmarkEnd w:id="593"/>
      <w:bookmarkEnd w:id="594"/>
      <w:bookmarkEnd w:id="595"/>
      <w:bookmarkEnd w:id="596"/>
    </w:p>
    <w:p w14:paraId="13B79FE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5.2.1发包人提供的材料和工程设备，应在专用合同条款中写明材料和工程设备的名称、规格、数量、价格、交货方式、交货地点和计划交货日期等。</w:t>
      </w:r>
    </w:p>
    <w:p w14:paraId="486429E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5.2.2承包人应根据合同进度计划的安排，向监理人报送要求发包人交货的日期计划。发包人应按照监理人与合同双方当事人</w:t>
      </w:r>
      <w:r>
        <w:rPr>
          <w:rFonts w:hint="default" w:ascii="Times New Roman" w:hAnsi="Times New Roman" w:cs="Times New Roman"/>
          <w:iCs/>
          <w:color w:val="auto"/>
          <w:sz w:val="24"/>
          <w:highlight w:val="none"/>
        </w:rPr>
        <w:t>商定</w:t>
      </w:r>
      <w:r>
        <w:rPr>
          <w:rFonts w:hint="default" w:ascii="Times New Roman" w:hAnsi="Times New Roman" w:cs="Times New Roman"/>
          <w:color w:val="auto"/>
          <w:sz w:val="24"/>
          <w:highlight w:val="none"/>
        </w:rPr>
        <w:t>的交货日期，向承包人提交材料和工程设备。</w:t>
      </w:r>
    </w:p>
    <w:p w14:paraId="340670E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5.2.3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29F363D6">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5.2.4发包人要求向承包人提前交货的，承包人不得拒绝，但发包人应承担承包人由此增加的费用。</w:t>
      </w:r>
    </w:p>
    <w:p w14:paraId="02DA2348">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5.2.5承包人要求更改交货日期或地点的，应事先报请监理人批准。由于承包人要求更改交货时间或地点所增加的费用和（或）工期延误由承包人承担。</w:t>
      </w:r>
    </w:p>
    <w:p w14:paraId="66D968B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5.2.6发包人提供的材料和工程设备的规格、数量或质量不符合合同要求，或由于发包人原因发生交货日期延误及交货地点变更等情况的，发包人应承担由此增加的费用和（或）工期延误，并向承包人支付合理利润。</w:t>
      </w:r>
    </w:p>
    <w:p w14:paraId="037959B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97" w:name="_Toc16074"/>
      <w:bookmarkStart w:id="598" w:name="_Toc3308"/>
      <w:bookmarkStart w:id="599" w:name="_Toc23205"/>
      <w:bookmarkStart w:id="600" w:name="_Toc234833010"/>
      <w:r>
        <w:rPr>
          <w:rFonts w:hint="default" w:ascii="Times New Roman" w:hAnsi="Times New Roman" w:eastAsia="黑体" w:cs="Times New Roman"/>
          <w:b w:val="0"/>
          <w:color w:val="auto"/>
          <w:sz w:val="24"/>
          <w:szCs w:val="24"/>
          <w:highlight w:val="none"/>
        </w:rPr>
        <w:t>5.3材料和工程设备专用于合同工程</w:t>
      </w:r>
      <w:bookmarkEnd w:id="597"/>
      <w:bookmarkEnd w:id="598"/>
      <w:bookmarkEnd w:id="599"/>
      <w:bookmarkEnd w:id="600"/>
    </w:p>
    <w:p w14:paraId="3323F9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5.3.1运入施工场地的材料、工程设备，包括备品备件、安装专用工器具与随机资料，必须专用于合同工程，未经监理人同意，承包人不得运出施工场地或挪作他用。</w:t>
      </w:r>
    </w:p>
    <w:p w14:paraId="5D93379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5.3.2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3B9A919">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601" w:name="_Toc30003"/>
      <w:bookmarkStart w:id="602" w:name="_Toc234833011"/>
      <w:bookmarkStart w:id="603" w:name="_Toc25420"/>
      <w:bookmarkStart w:id="604" w:name="_Toc5084"/>
      <w:r>
        <w:rPr>
          <w:rFonts w:hint="default" w:ascii="Times New Roman" w:hAnsi="Times New Roman" w:eastAsia="黑体" w:cs="Times New Roman"/>
          <w:b w:val="0"/>
          <w:color w:val="auto"/>
          <w:sz w:val="24"/>
          <w:szCs w:val="24"/>
          <w:highlight w:val="none"/>
        </w:rPr>
        <w:t>5.4禁止使用不合格的材料和工程设备</w:t>
      </w:r>
      <w:bookmarkEnd w:id="601"/>
      <w:bookmarkEnd w:id="602"/>
      <w:bookmarkEnd w:id="603"/>
      <w:bookmarkEnd w:id="604"/>
    </w:p>
    <w:p w14:paraId="2C100C4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5.4.1监理人有权拒绝承包人提供的不合格材料或工程设备，并要求承包人立即进行更换。监理人应在更换后再次进行检查和检验，由此增加的费用和（或）工期延误由承包人承担。</w:t>
      </w:r>
    </w:p>
    <w:p w14:paraId="6A7BBD6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5.4.2监理人发现承包人使用了不合格的材料和工程设备，应即时发出指示要求承包人立即改正，并禁止在工程中继续使用不合格的材料和工程设备。</w:t>
      </w:r>
    </w:p>
    <w:p w14:paraId="1CD9C71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5.4.3发包人提供的材料或工程设备不符合合同要求的，承包人有权拒绝，并可要求发包人更换，由此增加的费用和（或）工期延误由发包人承担。</w:t>
      </w:r>
    </w:p>
    <w:p w14:paraId="05B890CF">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605" w:name="_Toc17211"/>
      <w:bookmarkStart w:id="606" w:name="_Toc234833012"/>
      <w:bookmarkStart w:id="607" w:name="_Toc19538"/>
      <w:bookmarkStart w:id="608" w:name="_Toc29185"/>
      <w:r>
        <w:rPr>
          <w:rFonts w:hint="default" w:ascii="Times New Roman" w:hAnsi="Times New Roman" w:eastAsia="黑体" w:cs="Times New Roman"/>
          <w:b w:val="0"/>
          <w:color w:val="auto"/>
          <w:sz w:val="28"/>
          <w:szCs w:val="28"/>
          <w:highlight w:val="none"/>
        </w:rPr>
        <w:t>6.施工设备和临时设施</w:t>
      </w:r>
      <w:bookmarkEnd w:id="605"/>
      <w:bookmarkEnd w:id="606"/>
      <w:bookmarkEnd w:id="607"/>
      <w:bookmarkEnd w:id="608"/>
    </w:p>
    <w:p w14:paraId="76D7846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09" w:name="_Toc4093"/>
      <w:bookmarkStart w:id="610" w:name="_Toc234833013"/>
      <w:bookmarkStart w:id="611" w:name="_Toc12035"/>
      <w:bookmarkStart w:id="612" w:name="_Toc11446"/>
      <w:r>
        <w:rPr>
          <w:rFonts w:hint="default" w:ascii="Times New Roman" w:hAnsi="Times New Roman" w:eastAsia="黑体" w:cs="Times New Roman"/>
          <w:b w:val="0"/>
          <w:color w:val="auto"/>
          <w:sz w:val="24"/>
          <w:szCs w:val="24"/>
          <w:highlight w:val="none"/>
        </w:rPr>
        <w:t>6.1承包人提供的施工设备和临时设施</w:t>
      </w:r>
      <w:bookmarkEnd w:id="609"/>
      <w:bookmarkEnd w:id="610"/>
      <w:bookmarkEnd w:id="611"/>
      <w:bookmarkEnd w:id="612"/>
    </w:p>
    <w:p w14:paraId="4B600E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6.1.1承包人应按合同进度计划的要求，及时配置施工设备和修建临时设施。进入施工场地的承包人设备需经监理人核查后才能投入使用。承包人更换合同约定的承包人设备的，应报监理人批准。</w:t>
      </w:r>
    </w:p>
    <w:p w14:paraId="18012A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6.1.2除专用合同条款另有约定外，承包人应自行承担修建临时设施的费用，需要临时占地的，应由发包人办理申请手续并承担相应费用。</w:t>
      </w:r>
    </w:p>
    <w:p w14:paraId="5A1A860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13" w:name="_Toc25302"/>
      <w:bookmarkStart w:id="614" w:name="_Toc234833014"/>
      <w:bookmarkStart w:id="615" w:name="_Toc31129"/>
      <w:bookmarkStart w:id="616" w:name="_Toc30109"/>
      <w:r>
        <w:rPr>
          <w:rFonts w:hint="default" w:ascii="Times New Roman" w:hAnsi="Times New Roman" w:eastAsia="黑体" w:cs="Times New Roman"/>
          <w:b w:val="0"/>
          <w:color w:val="auto"/>
          <w:sz w:val="24"/>
          <w:szCs w:val="24"/>
          <w:highlight w:val="none"/>
        </w:rPr>
        <w:t>6.2发包人提供的施工设备和临时设施</w:t>
      </w:r>
      <w:bookmarkEnd w:id="613"/>
      <w:bookmarkEnd w:id="614"/>
      <w:bookmarkEnd w:id="615"/>
      <w:bookmarkEnd w:id="616"/>
    </w:p>
    <w:p w14:paraId="245D03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发包人提供的施工设备或临时设施在专用合同条款中约定。</w:t>
      </w:r>
    </w:p>
    <w:p w14:paraId="7A0F7DF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17" w:name="_Toc7691"/>
      <w:bookmarkStart w:id="618" w:name="_Toc26083"/>
      <w:bookmarkStart w:id="619" w:name="_Toc234833015"/>
      <w:bookmarkStart w:id="620" w:name="_Toc1669"/>
      <w:r>
        <w:rPr>
          <w:rFonts w:hint="default" w:ascii="Times New Roman" w:hAnsi="Times New Roman" w:eastAsia="黑体" w:cs="Times New Roman"/>
          <w:b w:val="0"/>
          <w:color w:val="auto"/>
          <w:sz w:val="24"/>
          <w:szCs w:val="24"/>
          <w:highlight w:val="none"/>
        </w:rPr>
        <w:t>6.3要求承包人增加或更换施工设备</w:t>
      </w:r>
      <w:bookmarkEnd w:id="617"/>
      <w:bookmarkEnd w:id="618"/>
      <w:bookmarkEnd w:id="619"/>
      <w:bookmarkEnd w:id="620"/>
    </w:p>
    <w:p w14:paraId="3174FC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57A89B0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21" w:name="_Toc20359"/>
      <w:bookmarkStart w:id="622" w:name="_Toc234833016"/>
      <w:bookmarkStart w:id="623" w:name="_Toc19683"/>
      <w:bookmarkStart w:id="624" w:name="_Toc13599"/>
      <w:r>
        <w:rPr>
          <w:rFonts w:hint="default" w:ascii="Times New Roman" w:hAnsi="Times New Roman" w:eastAsia="黑体" w:cs="Times New Roman"/>
          <w:b w:val="0"/>
          <w:color w:val="auto"/>
          <w:sz w:val="24"/>
          <w:szCs w:val="24"/>
          <w:highlight w:val="none"/>
        </w:rPr>
        <w:t>6.4施工设备和临时设施专用于合同工程</w:t>
      </w:r>
      <w:bookmarkEnd w:id="621"/>
      <w:bookmarkEnd w:id="622"/>
      <w:bookmarkEnd w:id="623"/>
      <w:bookmarkEnd w:id="624"/>
    </w:p>
    <w:p w14:paraId="4AF4938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96BFB6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6.4.2经监理人同意，承包人可根据合同进度计划撤走闲置的施工设备。</w:t>
      </w:r>
    </w:p>
    <w:p w14:paraId="3460F8E1">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625" w:name="_Toc16465"/>
      <w:bookmarkStart w:id="626" w:name="_Toc7239"/>
      <w:bookmarkStart w:id="627" w:name="_Toc7342"/>
      <w:bookmarkStart w:id="628" w:name="_Toc234833017"/>
      <w:r>
        <w:rPr>
          <w:rFonts w:hint="default" w:ascii="Times New Roman" w:hAnsi="Times New Roman" w:eastAsia="黑体" w:cs="Times New Roman"/>
          <w:b w:val="0"/>
          <w:color w:val="auto"/>
          <w:sz w:val="28"/>
          <w:szCs w:val="28"/>
          <w:highlight w:val="none"/>
        </w:rPr>
        <w:t>7.交通运输</w:t>
      </w:r>
      <w:bookmarkEnd w:id="625"/>
      <w:bookmarkEnd w:id="626"/>
      <w:bookmarkEnd w:id="627"/>
      <w:bookmarkEnd w:id="628"/>
    </w:p>
    <w:p w14:paraId="6F5C8E5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29" w:name="_Toc234833018"/>
      <w:bookmarkStart w:id="630" w:name="_Toc2798"/>
      <w:bookmarkStart w:id="631" w:name="_Toc6489"/>
      <w:bookmarkStart w:id="632" w:name="_Toc26715"/>
      <w:r>
        <w:rPr>
          <w:rFonts w:hint="default" w:ascii="Times New Roman" w:hAnsi="Times New Roman" w:eastAsia="黑体" w:cs="Times New Roman"/>
          <w:b w:val="0"/>
          <w:color w:val="auto"/>
          <w:sz w:val="24"/>
          <w:szCs w:val="24"/>
          <w:highlight w:val="none"/>
        </w:rPr>
        <w:t>7.1道路通行权和场外设施</w:t>
      </w:r>
      <w:bookmarkEnd w:id="629"/>
      <w:bookmarkEnd w:id="630"/>
      <w:bookmarkEnd w:id="631"/>
      <w:bookmarkEnd w:id="632"/>
    </w:p>
    <w:p w14:paraId="42C8A552">
      <w:pPr>
        <w:pageBreakBefore w:val="0"/>
        <w:kinsoku/>
        <w:wordWrap w:val="0"/>
        <w:bidi w:val="0"/>
        <w:spacing w:line="400" w:lineRule="atLeast"/>
        <w:ind w:firstLine="420"/>
        <w:outlineLvl w:val="9"/>
        <w:rPr>
          <w:rFonts w:hint="default" w:ascii="Times New Roman" w:hAnsi="Times New Roman" w:cs="Times New Roman"/>
          <w:i/>
          <w:color w:val="auto"/>
          <w:sz w:val="24"/>
          <w:highlight w:val="none"/>
        </w:rPr>
      </w:pPr>
      <w:r>
        <w:rPr>
          <w:rFonts w:hint="default" w:ascii="Times New Roman" w:hAnsi="Times New Roman" w:cs="Times New Roman"/>
          <w:color w:val="auto"/>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8E8B09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33" w:name="_Toc9049"/>
      <w:bookmarkStart w:id="634" w:name="_Toc9056"/>
      <w:bookmarkStart w:id="635" w:name="_Toc18679"/>
      <w:bookmarkStart w:id="636" w:name="_Toc234833019"/>
      <w:r>
        <w:rPr>
          <w:rFonts w:hint="default" w:ascii="Times New Roman" w:hAnsi="Times New Roman" w:eastAsia="黑体" w:cs="Times New Roman"/>
          <w:b w:val="0"/>
          <w:color w:val="auto"/>
          <w:sz w:val="24"/>
          <w:szCs w:val="24"/>
          <w:highlight w:val="none"/>
        </w:rPr>
        <w:t>7.2场内施工道路</w:t>
      </w:r>
      <w:bookmarkEnd w:id="633"/>
      <w:bookmarkEnd w:id="634"/>
      <w:bookmarkEnd w:id="635"/>
      <w:bookmarkEnd w:id="636"/>
    </w:p>
    <w:p w14:paraId="51C43E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7.2.1除专用合同条款另有约定外，承包人应负责修建、维修、养护和管理施工所需的临时道路和交通设施，包括维修、养护和管理发包人提供的道路和交通设施，并承担相应费用。</w:t>
      </w:r>
    </w:p>
    <w:p w14:paraId="460C43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7.2.2除专用合同条款另有约定外，承包人修建的临时道路和交通设施应免费提供发包人和监理人使用。</w:t>
      </w:r>
    </w:p>
    <w:p w14:paraId="5AB8FD3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37" w:name="_Toc19305"/>
      <w:bookmarkStart w:id="638" w:name="_Toc31425"/>
      <w:bookmarkStart w:id="639" w:name="_Toc234833020"/>
      <w:bookmarkStart w:id="640" w:name="_Toc16389"/>
      <w:r>
        <w:rPr>
          <w:rFonts w:hint="default" w:ascii="Times New Roman" w:hAnsi="Times New Roman" w:eastAsia="黑体" w:cs="Times New Roman"/>
          <w:b w:val="0"/>
          <w:color w:val="auto"/>
          <w:sz w:val="24"/>
          <w:szCs w:val="24"/>
          <w:highlight w:val="none"/>
        </w:rPr>
        <w:t>7.3场外交通</w:t>
      </w:r>
      <w:bookmarkEnd w:id="637"/>
      <w:bookmarkEnd w:id="638"/>
      <w:bookmarkEnd w:id="639"/>
      <w:bookmarkEnd w:id="640"/>
    </w:p>
    <w:p w14:paraId="15559C1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7.3.1承包人车辆外出行驶所需的场外公共道路的通行费、养路费和税款等由承包人承担。</w:t>
      </w:r>
    </w:p>
    <w:p w14:paraId="4E02100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7.3.2承包人应遵守有关交通法规，严格按照道路和桥梁的限制荷重安全行驶，并服从交通管理部门的检查和监督。</w:t>
      </w:r>
    </w:p>
    <w:p w14:paraId="259277B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41" w:name="_Toc3057"/>
      <w:bookmarkStart w:id="642" w:name="_Toc234833021"/>
      <w:bookmarkStart w:id="643" w:name="_Toc16025"/>
      <w:bookmarkStart w:id="644" w:name="_Toc29695"/>
      <w:r>
        <w:rPr>
          <w:rFonts w:hint="default" w:ascii="Times New Roman" w:hAnsi="Times New Roman" w:eastAsia="黑体" w:cs="Times New Roman"/>
          <w:b w:val="0"/>
          <w:color w:val="auto"/>
          <w:sz w:val="24"/>
          <w:szCs w:val="24"/>
          <w:highlight w:val="none"/>
        </w:rPr>
        <w:t>7.4超大件和超重件的运输</w:t>
      </w:r>
      <w:bookmarkEnd w:id="641"/>
      <w:bookmarkEnd w:id="642"/>
      <w:bookmarkEnd w:id="643"/>
      <w:bookmarkEnd w:id="644"/>
    </w:p>
    <w:p w14:paraId="0A709C8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FAA6870">
      <w:pPr>
        <w:pageBreakBefore w:val="0"/>
        <w:kinsoku/>
        <w:wordWrap w:val="0"/>
        <w:bidi w:val="0"/>
        <w:spacing w:line="400" w:lineRule="atLeast"/>
        <w:outlineLvl w:val="9"/>
        <w:rPr>
          <w:rFonts w:hint="default" w:ascii="Times New Roman" w:hAnsi="Times New Roman" w:cs="Times New Roman"/>
          <w:color w:val="auto"/>
          <w:sz w:val="24"/>
          <w:highlight w:val="none"/>
        </w:rPr>
      </w:pPr>
    </w:p>
    <w:p w14:paraId="32245CF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45" w:name="_Toc234833022"/>
      <w:bookmarkStart w:id="646" w:name="_Toc30531"/>
      <w:bookmarkStart w:id="647" w:name="_Toc5290"/>
      <w:bookmarkStart w:id="648" w:name="_Toc9627"/>
      <w:r>
        <w:rPr>
          <w:rFonts w:hint="default" w:ascii="Times New Roman" w:hAnsi="Times New Roman" w:eastAsia="黑体" w:cs="Times New Roman"/>
          <w:b w:val="0"/>
          <w:color w:val="auto"/>
          <w:sz w:val="24"/>
          <w:szCs w:val="24"/>
          <w:highlight w:val="none"/>
        </w:rPr>
        <w:t>7.5道路和桥梁的损坏责任</w:t>
      </w:r>
      <w:bookmarkEnd w:id="645"/>
      <w:bookmarkEnd w:id="646"/>
      <w:bookmarkEnd w:id="647"/>
      <w:bookmarkEnd w:id="648"/>
    </w:p>
    <w:p w14:paraId="3978CDF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因承包人运输造成施工场地内外公共道路和桥梁损坏的，由承包人承担修复损坏的全部费用和可能引起的赔偿。</w:t>
      </w:r>
    </w:p>
    <w:p w14:paraId="35F2D16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49" w:name="_Toc30141"/>
      <w:bookmarkStart w:id="650" w:name="_Toc9650"/>
      <w:bookmarkStart w:id="651" w:name="_Toc234833023"/>
      <w:bookmarkStart w:id="652" w:name="_Toc23109"/>
      <w:r>
        <w:rPr>
          <w:rFonts w:hint="default" w:ascii="Times New Roman" w:hAnsi="Times New Roman" w:eastAsia="黑体" w:cs="Times New Roman"/>
          <w:b w:val="0"/>
          <w:color w:val="auto"/>
          <w:sz w:val="24"/>
          <w:szCs w:val="24"/>
          <w:highlight w:val="none"/>
        </w:rPr>
        <w:t>7.6水路和航空运输</w:t>
      </w:r>
      <w:bookmarkEnd w:id="649"/>
      <w:bookmarkEnd w:id="650"/>
      <w:bookmarkEnd w:id="651"/>
      <w:bookmarkEnd w:id="652"/>
    </w:p>
    <w:p w14:paraId="39E4E0D6">
      <w:pPr>
        <w:pageBreakBefore w:val="0"/>
        <w:kinsoku/>
        <w:wordWrap w:val="0"/>
        <w:bidi w:val="0"/>
        <w:spacing w:line="400" w:lineRule="atLeast"/>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本条上述各款的内容适用于水路运输和航空运输，其中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道路</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一词的涵义包括河道、航线、船闸、机场、码头、堤防以及水路或航空运输中其他相似结构物；</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车辆</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一词的涵义包括船舶和飞机等。</w:t>
      </w:r>
    </w:p>
    <w:p w14:paraId="1047FB54">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653" w:name="_Toc234833024"/>
      <w:bookmarkStart w:id="654" w:name="_Toc19372"/>
      <w:bookmarkStart w:id="655" w:name="_Toc24534"/>
      <w:bookmarkStart w:id="656" w:name="_Toc4669"/>
      <w:r>
        <w:rPr>
          <w:rFonts w:hint="default" w:ascii="Times New Roman" w:hAnsi="Times New Roman" w:eastAsia="黑体" w:cs="Times New Roman"/>
          <w:b w:val="0"/>
          <w:color w:val="auto"/>
          <w:sz w:val="28"/>
          <w:szCs w:val="28"/>
          <w:highlight w:val="none"/>
        </w:rPr>
        <w:t>8.测量放线</w:t>
      </w:r>
      <w:bookmarkEnd w:id="653"/>
      <w:bookmarkEnd w:id="654"/>
      <w:bookmarkEnd w:id="655"/>
      <w:bookmarkEnd w:id="656"/>
    </w:p>
    <w:p w14:paraId="4A8BF67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57" w:name="_Toc22172"/>
      <w:bookmarkStart w:id="658" w:name="_Toc10567"/>
      <w:bookmarkStart w:id="659" w:name="_Toc234833025"/>
      <w:bookmarkStart w:id="660" w:name="_Toc9189"/>
      <w:r>
        <w:rPr>
          <w:rFonts w:hint="default" w:ascii="Times New Roman" w:hAnsi="Times New Roman" w:eastAsia="黑体" w:cs="Times New Roman"/>
          <w:b w:val="0"/>
          <w:color w:val="auto"/>
          <w:sz w:val="24"/>
          <w:szCs w:val="24"/>
          <w:highlight w:val="none"/>
        </w:rPr>
        <w:t>8.1施工控制网</w:t>
      </w:r>
      <w:bookmarkEnd w:id="657"/>
      <w:bookmarkEnd w:id="658"/>
      <w:bookmarkEnd w:id="659"/>
      <w:bookmarkEnd w:id="660"/>
    </w:p>
    <w:p w14:paraId="1BE5AE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65BD8E42">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8.1.2承包人应负责管理施工控制网点。施工控制网点丢失或损坏的，承包人应及时修复。承包人应承担施工控制网点的管理与修复费用，并在工程竣工后将施工控制网点移交发包人。</w:t>
      </w:r>
    </w:p>
    <w:p w14:paraId="336BB64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61" w:name="_Toc234833026"/>
      <w:bookmarkStart w:id="662" w:name="_Toc17769"/>
      <w:bookmarkStart w:id="663" w:name="_Toc25309"/>
      <w:bookmarkStart w:id="664" w:name="_Toc23418"/>
      <w:r>
        <w:rPr>
          <w:rFonts w:hint="default" w:ascii="Times New Roman" w:hAnsi="Times New Roman" w:eastAsia="黑体" w:cs="Times New Roman"/>
          <w:b w:val="0"/>
          <w:color w:val="auto"/>
          <w:sz w:val="24"/>
          <w:szCs w:val="24"/>
          <w:highlight w:val="none"/>
        </w:rPr>
        <w:t>8.2施工测量</w:t>
      </w:r>
      <w:bookmarkEnd w:id="661"/>
      <w:bookmarkEnd w:id="662"/>
      <w:bookmarkEnd w:id="663"/>
      <w:bookmarkEnd w:id="664"/>
    </w:p>
    <w:p w14:paraId="2ECB024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8.2.1承包人应负责施工过程中的全部施工测量放线工作，并配置合格的人员、仪器、设备和其他物品。</w:t>
      </w:r>
    </w:p>
    <w:p w14:paraId="5354215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8.2.2监理人可以指示承包人进行抽样复测，当复测中发现错误或出现超过合同约定的误差时，承包人应按监理人指示进行修正或补测，并承担相应的复测费用。</w:t>
      </w:r>
    </w:p>
    <w:p w14:paraId="0F5CD1F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65" w:name="_Toc30617"/>
      <w:bookmarkStart w:id="666" w:name="_Toc26654"/>
      <w:bookmarkStart w:id="667" w:name="_Toc234833027"/>
      <w:bookmarkStart w:id="668" w:name="_Toc10297"/>
      <w:r>
        <w:rPr>
          <w:rFonts w:hint="default" w:ascii="Times New Roman" w:hAnsi="Times New Roman" w:eastAsia="黑体" w:cs="Times New Roman"/>
          <w:b w:val="0"/>
          <w:color w:val="auto"/>
          <w:sz w:val="24"/>
          <w:szCs w:val="24"/>
          <w:highlight w:val="none"/>
        </w:rPr>
        <w:t>8.3基准资料错误的责任</w:t>
      </w:r>
      <w:bookmarkEnd w:id="665"/>
      <w:bookmarkEnd w:id="666"/>
      <w:bookmarkEnd w:id="667"/>
      <w:bookmarkEnd w:id="668"/>
    </w:p>
    <w:p w14:paraId="6954389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94E1F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69" w:name="_Toc15727"/>
      <w:bookmarkStart w:id="670" w:name="_Toc31976"/>
      <w:bookmarkStart w:id="671" w:name="_Toc234833028"/>
      <w:bookmarkStart w:id="672" w:name="_Toc1487"/>
      <w:r>
        <w:rPr>
          <w:rFonts w:hint="default" w:ascii="Times New Roman" w:hAnsi="Times New Roman" w:eastAsia="黑体" w:cs="Times New Roman"/>
          <w:b w:val="0"/>
          <w:color w:val="auto"/>
          <w:sz w:val="24"/>
          <w:szCs w:val="24"/>
          <w:highlight w:val="none"/>
        </w:rPr>
        <w:t>8.4监理人使用施工控制网</w:t>
      </w:r>
      <w:bookmarkEnd w:id="669"/>
      <w:bookmarkEnd w:id="670"/>
      <w:bookmarkEnd w:id="671"/>
      <w:bookmarkEnd w:id="672"/>
    </w:p>
    <w:p w14:paraId="182405F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监理人需要使用施工控制网的，承包人应提供必要的协助，发包人不再为此支付费用。</w:t>
      </w:r>
    </w:p>
    <w:p w14:paraId="2748BE83">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673" w:name="_Toc3624"/>
      <w:bookmarkStart w:id="674" w:name="_Toc234833029"/>
      <w:bookmarkStart w:id="675" w:name="_Toc1730"/>
      <w:bookmarkStart w:id="676" w:name="_Toc24858"/>
      <w:r>
        <w:rPr>
          <w:rFonts w:hint="default" w:ascii="Times New Roman" w:hAnsi="Times New Roman" w:eastAsia="黑体" w:cs="Times New Roman"/>
          <w:b w:val="0"/>
          <w:color w:val="auto"/>
          <w:sz w:val="28"/>
          <w:szCs w:val="28"/>
          <w:highlight w:val="none"/>
        </w:rPr>
        <w:t>9.施工安全、治安保卫和环境保护</w:t>
      </w:r>
      <w:bookmarkEnd w:id="673"/>
      <w:bookmarkEnd w:id="674"/>
      <w:bookmarkEnd w:id="675"/>
      <w:bookmarkEnd w:id="676"/>
    </w:p>
    <w:p w14:paraId="417DB60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77" w:name="_Toc3769"/>
      <w:bookmarkStart w:id="678" w:name="_Toc20223"/>
      <w:bookmarkStart w:id="679" w:name="_Toc5314"/>
      <w:bookmarkStart w:id="680" w:name="_Toc234833030"/>
      <w:r>
        <w:rPr>
          <w:rFonts w:hint="default" w:ascii="Times New Roman" w:hAnsi="Times New Roman" w:eastAsia="黑体" w:cs="Times New Roman"/>
          <w:b w:val="0"/>
          <w:color w:val="auto"/>
          <w:sz w:val="24"/>
          <w:szCs w:val="24"/>
          <w:highlight w:val="none"/>
        </w:rPr>
        <w:t>9.1发包人的施工安全责任</w:t>
      </w:r>
      <w:bookmarkEnd w:id="677"/>
      <w:bookmarkEnd w:id="678"/>
      <w:bookmarkEnd w:id="679"/>
      <w:bookmarkEnd w:id="680"/>
    </w:p>
    <w:p w14:paraId="00DD29E9">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9.1.1发包人应按合同约定履行安全职责，授权监理人按合同约定的安全工作内容监督、检查承包人安全工作的实施，组织承包人和有关单位进行安全检查。</w:t>
      </w:r>
    </w:p>
    <w:p w14:paraId="42D9B4B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9.1.2发包人应对其现场机构雇佣的全部人员的工伤事故承担责任，但由于承包人原因造成发包人人员工伤的，应由承包人承担责任。</w:t>
      </w:r>
    </w:p>
    <w:p w14:paraId="1C5D6EB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9.1.3发包人应负责赔偿以下各种情况造成的第三者人身伤亡和财产损失：</w:t>
      </w:r>
    </w:p>
    <w:p w14:paraId="5DBFCB4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（1）工程或工程的任何部分对土地的占用所造成的第三者财产损失；</w:t>
      </w:r>
    </w:p>
    <w:p w14:paraId="60EDF158">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（2）由于发包人原因在施工场地及其毗邻地带造成的第三者人身伤亡和财产损失。</w:t>
      </w:r>
    </w:p>
    <w:p w14:paraId="263CEF1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81" w:name="_Toc3730"/>
      <w:bookmarkStart w:id="682" w:name="_Toc234833031"/>
      <w:bookmarkStart w:id="683" w:name="_Toc26218"/>
      <w:bookmarkStart w:id="684" w:name="_Toc16709"/>
      <w:r>
        <w:rPr>
          <w:rFonts w:hint="default" w:ascii="Times New Roman" w:hAnsi="Times New Roman" w:eastAsia="黑体" w:cs="Times New Roman"/>
          <w:b w:val="0"/>
          <w:color w:val="auto"/>
          <w:sz w:val="24"/>
          <w:szCs w:val="24"/>
          <w:highlight w:val="none"/>
        </w:rPr>
        <w:t>9.2承包人的施工安全责任</w:t>
      </w:r>
      <w:bookmarkEnd w:id="681"/>
      <w:bookmarkEnd w:id="682"/>
      <w:bookmarkEnd w:id="683"/>
      <w:bookmarkEnd w:id="684"/>
    </w:p>
    <w:p w14:paraId="229DA92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9.2.1承包人应按合同约定履行安全职责,执行监理人有关安全工作的指示,并在专用合同条款约定的期限内，按合同约定的安全工作内容，编制施工安全措施计划报送监理人审批。</w:t>
      </w:r>
    </w:p>
    <w:p w14:paraId="606DE27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9.2.2承包人应加强施工作业安全管理，特别应加强易燃、易爆材料、火工器材、有毒与腐蚀性材料和其他危险品的管理，以及对爆破作业和地下工程施工等危险作业的管理。</w:t>
      </w:r>
    </w:p>
    <w:p w14:paraId="6C10161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9.2.3承包人应严格按照国家安全标准制定施工安全操作规程，配备必要的安全生产和劳动保护设施，加强对承包人人员的安全教育，并发放安全工作手册和劳动保护用具。</w:t>
      </w:r>
    </w:p>
    <w:p w14:paraId="3C27EF7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9.2.4承包人应按监理人的指示制定应对灾害的紧急预案，报送监理人审批。承包人还应按预案做好安全检查，配置必要的救助物资和器材，切实保护好有关人员的人身和财产安全。</w:t>
      </w:r>
    </w:p>
    <w:p w14:paraId="1F5A1E0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9.2.5合同约定的安全作业环境及安全施工措施所需费用应遵守有关规定，并包括在相关工作的合同价格中。因采取合同未约定的安全作业环境及安全施工措施增加的费用，由监理人按第3.5款商定或确定。</w:t>
      </w:r>
    </w:p>
    <w:p w14:paraId="3E35AA6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9.2.6承包人应对其履行合同所雇佣的全部人员，包括分包人人员的工伤事故承担责任，但由于发包人原因造成承包人人员工伤事故的，应由发包人承担责任。</w:t>
      </w:r>
    </w:p>
    <w:p w14:paraId="64549F4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9.2.7由于承包人原因在施工场地内及其毗邻地带造成的第三者人员伤亡和财产损失，由承包人负责赔偿。</w:t>
      </w:r>
    </w:p>
    <w:p w14:paraId="235F075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85" w:name="_Toc31111"/>
      <w:bookmarkStart w:id="686" w:name="_Toc27835"/>
      <w:bookmarkStart w:id="687" w:name="_Toc234833032"/>
      <w:bookmarkStart w:id="688" w:name="_Toc24377"/>
      <w:r>
        <w:rPr>
          <w:rFonts w:hint="default" w:ascii="Times New Roman" w:hAnsi="Times New Roman" w:eastAsia="黑体" w:cs="Times New Roman"/>
          <w:b w:val="0"/>
          <w:color w:val="auto"/>
          <w:sz w:val="24"/>
          <w:szCs w:val="24"/>
          <w:highlight w:val="none"/>
        </w:rPr>
        <w:t>9.3治安保卫</w:t>
      </w:r>
      <w:bookmarkEnd w:id="685"/>
      <w:bookmarkEnd w:id="686"/>
      <w:bookmarkEnd w:id="687"/>
      <w:bookmarkEnd w:id="688"/>
    </w:p>
    <w:p w14:paraId="619A707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9.3.1除合同另有约定外，发包人应与当地公安部门协商，在现场建立治安管理机构或联防组织，统一管理施工场地的治安保卫事项，履行合同工程的治安保卫职责。</w:t>
      </w:r>
    </w:p>
    <w:p w14:paraId="4C93F64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9.3.2发包人和承包人除应协助现场治安管理机构或联防组织维护施工场地的社会治安外，还应做好包括生活区在内的各自管辖区的治安保卫工作。</w:t>
      </w:r>
    </w:p>
    <w:p w14:paraId="184153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C1CE46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89" w:name="_Toc269"/>
      <w:bookmarkStart w:id="690" w:name="_Toc30300"/>
      <w:bookmarkStart w:id="691" w:name="_Toc234833033"/>
      <w:bookmarkStart w:id="692" w:name="_Toc16001"/>
      <w:r>
        <w:rPr>
          <w:rFonts w:hint="default" w:ascii="Times New Roman" w:hAnsi="Times New Roman" w:eastAsia="黑体" w:cs="Times New Roman"/>
          <w:b w:val="0"/>
          <w:color w:val="auto"/>
          <w:sz w:val="24"/>
          <w:szCs w:val="24"/>
          <w:highlight w:val="none"/>
        </w:rPr>
        <w:t>9.4环境保护</w:t>
      </w:r>
      <w:bookmarkEnd w:id="689"/>
      <w:bookmarkEnd w:id="690"/>
      <w:bookmarkEnd w:id="691"/>
      <w:bookmarkEnd w:id="692"/>
    </w:p>
    <w:p w14:paraId="545C87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9.4.1承包人在施工过程中，应遵守有关环境保护的法律，履行合同约定的环境保护义务，并对违反法律和合同约定义务所造成的环境破坏、人身伤害和财产损失负责。</w:t>
      </w:r>
    </w:p>
    <w:p w14:paraId="146FCF0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9.4.2承包人应按合同约定的环保工作内容，编制施工环保措施计划，报送监理人审批。</w:t>
      </w:r>
    </w:p>
    <w:p w14:paraId="76377A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E9BE2F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9.4.4承包人应按合同约定采取有效措施，对施工开挖的边坡及时进行支护,维护排水设施，并进行水土保护，避免因施工造成的地质灾害。</w:t>
      </w:r>
    </w:p>
    <w:p w14:paraId="062E26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9.4.5承包人应按国家饮用水管理标准定期对饮用水源进行监测，防止施工活动污染饮用水源。</w:t>
      </w:r>
    </w:p>
    <w:p w14:paraId="29271A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9.4.6承包人应按合同约定，加强对噪声、粉尘、废气、废水和废油的控制，努力降低噪声，控制粉尘和废气浓度，做好废水和废油的治理和排放。</w:t>
      </w:r>
    </w:p>
    <w:p w14:paraId="7BBF9C3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93" w:name="_Toc26780"/>
      <w:bookmarkStart w:id="694" w:name="_Toc17129"/>
      <w:bookmarkStart w:id="695" w:name="_Toc234833034"/>
      <w:bookmarkStart w:id="696" w:name="_Toc5457"/>
      <w:r>
        <w:rPr>
          <w:rFonts w:hint="default" w:ascii="Times New Roman" w:hAnsi="Times New Roman" w:eastAsia="黑体" w:cs="Times New Roman"/>
          <w:b w:val="0"/>
          <w:color w:val="auto"/>
          <w:sz w:val="24"/>
          <w:szCs w:val="24"/>
          <w:highlight w:val="none"/>
        </w:rPr>
        <w:t>9.5事故处理</w:t>
      </w:r>
      <w:bookmarkEnd w:id="693"/>
      <w:bookmarkEnd w:id="694"/>
      <w:bookmarkEnd w:id="695"/>
      <w:bookmarkEnd w:id="696"/>
    </w:p>
    <w:p w14:paraId="1FF503F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8B50426">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697" w:name="_Toc32151"/>
      <w:bookmarkStart w:id="698" w:name="_Toc12821"/>
      <w:bookmarkStart w:id="699" w:name="_Toc30729"/>
      <w:bookmarkStart w:id="700" w:name="_Toc234833035"/>
      <w:r>
        <w:rPr>
          <w:rFonts w:hint="default" w:ascii="Times New Roman" w:hAnsi="Times New Roman" w:eastAsia="黑体" w:cs="Times New Roman"/>
          <w:b w:val="0"/>
          <w:color w:val="auto"/>
          <w:sz w:val="28"/>
          <w:szCs w:val="28"/>
          <w:highlight w:val="none"/>
        </w:rPr>
        <w:t>10.进度计划</w:t>
      </w:r>
      <w:bookmarkEnd w:id="697"/>
      <w:bookmarkEnd w:id="698"/>
      <w:bookmarkEnd w:id="699"/>
      <w:bookmarkEnd w:id="700"/>
    </w:p>
    <w:p w14:paraId="6EDB38A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01" w:name="_Toc17150"/>
      <w:bookmarkStart w:id="702" w:name="_Toc24434"/>
      <w:bookmarkStart w:id="703" w:name="_Toc9432"/>
      <w:bookmarkStart w:id="704" w:name="_Toc234833036"/>
      <w:r>
        <w:rPr>
          <w:rFonts w:hint="default" w:ascii="Times New Roman" w:hAnsi="Times New Roman" w:eastAsia="黑体" w:cs="Times New Roman"/>
          <w:b w:val="0"/>
          <w:color w:val="auto"/>
          <w:sz w:val="24"/>
          <w:szCs w:val="24"/>
          <w:highlight w:val="none"/>
        </w:rPr>
        <w:t>10.1合同进度计划</w:t>
      </w:r>
      <w:bookmarkEnd w:id="701"/>
      <w:bookmarkEnd w:id="702"/>
      <w:bookmarkEnd w:id="703"/>
      <w:bookmarkEnd w:id="704"/>
    </w:p>
    <w:p w14:paraId="70FF881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4242638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05" w:name="_Toc21458"/>
      <w:bookmarkStart w:id="706" w:name="_Toc234833037"/>
      <w:bookmarkStart w:id="707" w:name="_Toc15025"/>
      <w:bookmarkStart w:id="708" w:name="_Toc23622"/>
      <w:r>
        <w:rPr>
          <w:rFonts w:hint="default" w:ascii="Times New Roman" w:hAnsi="Times New Roman" w:eastAsia="黑体" w:cs="Times New Roman"/>
          <w:b w:val="0"/>
          <w:color w:val="auto"/>
          <w:sz w:val="24"/>
          <w:szCs w:val="24"/>
          <w:highlight w:val="none"/>
        </w:rPr>
        <w:t>10.2合同进度计划的修订</w:t>
      </w:r>
      <w:bookmarkEnd w:id="705"/>
      <w:bookmarkEnd w:id="706"/>
      <w:bookmarkEnd w:id="707"/>
      <w:bookmarkEnd w:id="708"/>
    </w:p>
    <w:p w14:paraId="717C7D5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233704BF">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09" w:name="_Toc1558"/>
      <w:bookmarkStart w:id="710" w:name="_Toc15582"/>
      <w:bookmarkStart w:id="711" w:name="_Toc31278"/>
      <w:bookmarkStart w:id="712" w:name="_Toc234833038"/>
      <w:r>
        <w:rPr>
          <w:rFonts w:hint="default" w:ascii="Times New Roman" w:hAnsi="Times New Roman" w:eastAsia="黑体" w:cs="Times New Roman"/>
          <w:b w:val="0"/>
          <w:color w:val="auto"/>
          <w:sz w:val="28"/>
          <w:szCs w:val="28"/>
          <w:highlight w:val="none"/>
        </w:rPr>
        <w:t>11.开工和竣工</w:t>
      </w:r>
      <w:bookmarkEnd w:id="709"/>
      <w:bookmarkEnd w:id="710"/>
      <w:bookmarkEnd w:id="711"/>
      <w:bookmarkEnd w:id="712"/>
    </w:p>
    <w:p w14:paraId="4AC0B3A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13" w:name="_Toc196"/>
      <w:bookmarkStart w:id="714" w:name="_Toc12994"/>
      <w:bookmarkStart w:id="715" w:name="_Toc20810"/>
      <w:bookmarkStart w:id="716" w:name="_Toc234833039"/>
      <w:r>
        <w:rPr>
          <w:rFonts w:hint="default" w:ascii="Times New Roman" w:hAnsi="Times New Roman" w:eastAsia="黑体" w:cs="Times New Roman"/>
          <w:b w:val="0"/>
          <w:color w:val="auto"/>
          <w:sz w:val="24"/>
          <w:szCs w:val="24"/>
          <w:highlight w:val="none"/>
        </w:rPr>
        <w:t>11.1开工</w:t>
      </w:r>
      <w:bookmarkEnd w:id="713"/>
      <w:bookmarkEnd w:id="714"/>
      <w:bookmarkEnd w:id="715"/>
      <w:bookmarkEnd w:id="716"/>
    </w:p>
    <w:p w14:paraId="2D335B5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11.1.1监理人应在开工日期7天前向承包人发出开工通知。监理人在发出开工通知前应获得发包人同意。工期自监理人发出的开工通知中载明的开工日期起计算。承包人应在开工日期后尽快施工。</w:t>
      </w:r>
    </w:p>
    <w:p w14:paraId="2D8947C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11.1.2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E5A9BE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17" w:name="_Toc234833040"/>
      <w:bookmarkStart w:id="718" w:name="_Toc830"/>
      <w:bookmarkStart w:id="719" w:name="_Toc9084"/>
      <w:bookmarkStart w:id="720" w:name="_Toc10996"/>
      <w:r>
        <w:rPr>
          <w:rFonts w:hint="default" w:ascii="Times New Roman" w:hAnsi="Times New Roman" w:eastAsia="黑体" w:cs="Times New Roman"/>
          <w:b w:val="0"/>
          <w:color w:val="auto"/>
          <w:sz w:val="24"/>
          <w:szCs w:val="24"/>
          <w:highlight w:val="none"/>
        </w:rPr>
        <w:t>11.2竣工</w:t>
      </w:r>
      <w:bookmarkEnd w:id="717"/>
      <w:bookmarkEnd w:id="718"/>
      <w:bookmarkEnd w:id="719"/>
      <w:bookmarkEnd w:id="720"/>
    </w:p>
    <w:p w14:paraId="6699331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承包人应在第1.1.4.3目约定的期限内完成合同工程。实际竣工日期在接收证书中写明。</w:t>
      </w:r>
    </w:p>
    <w:p w14:paraId="55C9B25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21" w:name="_Toc234833041"/>
      <w:bookmarkStart w:id="722" w:name="_Toc27035"/>
      <w:bookmarkStart w:id="723" w:name="_Toc18689"/>
      <w:bookmarkStart w:id="724" w:name="_Toc27799"/>
      <w:r>
        <w:rPr>
          <w:rFonts w:hint="default" w:ascii="Times New Roman" w:hAnsi="Times New Roman" w:eastAsia="黑体" w:cs="Times New Roman"/>
          <w:b w:val="0"/>
          <w:color w:val="auto"/>
          <w:sz w:val="24"/>
          <w:szCs w:val="24"/>
          <w:highlight w:val="none"/>
        </w:rPr>
        <w:t>11.3发包人的工期延误</w:t>
      </w:r>
      <w:bookmarkEnd w:id="721"/>
      <w:bookmarkEnd w:id="722"/>
      <w:bookmarkEnd w:id="723"/>
      <w:bookmarkEnd w:id="724"/>
    </w:p>
    <w:p w14:paraId="1B238DA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在履行合同过程中，由于发包人的下列原因造成工期延误的，承包人有权要求发包人延长工期和（或）增加费用，并支付合理利润。需要修订合同进度计划的，按照第10.2款的约定办理。</w:t>
      </w:r>
    </w:p>
    <w:p w14:paraId="5D19ED51">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（1）增加合同工作内容;</w:t>
      </w:r>
    </w:p>
    <w:p w14:paraId="1C67A1C5">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（2）改变合同中任何一项工作的质量要求或其他特性；</w:t>
      </w:r>
    </w:p>
    <w:p w14:paraId="7A06084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（3）发包人迟延提供材料、工程设备或变更交货地点的；</w:t>
      </w:r>
    </w:p>
    <w:p w14:paraId="7E63DD8D">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（4）因发包人原因导致的暂停施工；</w:t>
      </w:r>
    </w:p>
    <w:p w14:paraId="252938A4">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（5）提供图纸延误；</w:t>
      </w:r>
    </w:p>
    <w:p w14:paraId="455992D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（6）未按合同约定及时支付预付款、进度款；</w:t>
      </w:r>
    </w:p>
    <w:p w14:paraId="184EF823">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（7）发包人造成工期延误的其他原因。</w:t>
      </w:r>
    </w:p>
    <w:p w14:paraId="18FE62D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25" w:name="_Toc234833042"/>
      <w:bookmarkStart w:id="726" w:name="_Toc10516"/>
      <w:bookmarkStart w:id="727" w:name="_Toc22343"/>
      <w:bookmarkStart w:id="728" w:name="_Toc31357"/>
      <w:r>
        <w:rPr>
          <w:rFonts w:hint="default" w:ascii="Times New Roman" w:hAnsi="Times New Roman" w:eastAsia="黑体" w:cs="Times New Roman"/>
          <w:b w:val="0"/>
          <w:color w:val="auto"/>
          <w:sz w:val="24"/>
          <w:szCs w:val="24"/>
          <w:highlight w:val="none"/>
        </w:rPr>
        <w:t>11.4异常恶劣的气候条件</w:t>
      </w:r>
      <w:bookmarkEnd w:id="725"/>
      <w:bookmarkEnd w:id="726"/>
      <w:bookmarkEnd w:id="727"/>
      <w:bookmarkEnd w:id="728"/>
    </w:p>
    <w:p w14:paraId="3CC8741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由于出现专用合同条款约定的异常恶劣气候的条件导致工期延误的，承包人有权要求发包人延长工期。</w:t>
      </w:r>
    </w:p>
    <w:p w14:paraId="6ADF96D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29" w:name="_Toc23628"/>
      <w:bookmarkStart w:id="730" w:name="_Toc27127"/>
      <w:bookmarkStart w:id="731" w:name="_Toc29531"/>
      <w:bookmarkStart w:id="732" w:name="_Toc234833043"/>
      <w:r>
        <w:rPr>
          <w:rFonts w:hint="default" w:ascii="Times New Roman" w:hAnsi="Times New Roman" w:eastAsia="黑体" w:cs="Times New Roman"/>
          <w:b w:val="0"/>
          <w:color w:val="auto"/>
          <w:sz w:val="24"/>
          <w:szCs w:val="24"/>
          <w:highlight w:val="none"/>
        </w:rPr>
        <w:t>11.5承包人的工期延误</w:t>
      </w:r>
      <w:bookmarkEnd w:id="729"/>
      <w:bookmarkEnd w:id="730"/>
      <w:bookmarkEnd w:id="731"/>
      <w:bookmarkEnd w:id="732"/>
    </w:p>
    <w:p w14:paraId="2D7232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569829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33" w:name="_Toc234833044"/>
      <w:bookmarkStart w:id="734" w:name="_Toc25703"/>
      <w:bookmarkStart w:id="735" w:name="_Toc16451"/>
      <w:bookmarkStart w:id="736" w:name="_Toc18576"/>
      <w:r>
        <w:rPr>
          <w:rFonts w:hint="default" w:ascii="Times New Roman" w:hAnsi="Times New Roman" w:eastAsia="黑体" w:cs="Times New Roman"/>
          <w:b w:val="0"/>
          <w:color w:val="auto"/>
          <w:sz w:val="24"/>
          <w:szCs w:val="24"/>
          <w:highlight w:val="none"/>
        </w:rPr>
        <w:t>11.6工期提前</w:t>
      </w:r>
      <w:bookmarkEnd w:id="733"/>
      <w:bookmarkEnd w:id="734"/>
      <w:bookmarkEnd w:id="735"/>
      <w:bookmarkEnd w:id="736"/>
    </w:p>
    <w:p w14:paraId="7865CBD1">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0775BA8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37" w:name="_Toc234833045"/>
      <w:bookmarkStart w:id="738" w:name="_Toc23679"/>
      <w:bookmarkStart w:id="739" w:name="_Toc29212"/>
      <w:bookmarkStart w:id="740" w:name="_Toc17617"/>
      <w:r>
        <w:rPr>
          <w:rFonts w:hint="default" w:ascii="Times New Roman" w:hAnsi="Times New Roman" w:eastAsia="黑体" w:cs="Times New Roman"/>
          <w:b w:val="0"/>
          <w:color w:val="auto"/>
          <w:sz w:val="28"/>
          <w:szCs w:val="28"/>
          <w:highlight w:val="none"/>
        </w:rPr>
        <w:t>12.暂停施工</w:t>
      </w:r>
      <w:bookmarkEnd w:id="737"/>
      <w:bookmarkEnd w:id="738"/>
      <w:bookmarkEnd w:id="739"/>
      <w:bookmarkEnd w:id="740"/>
    </w:p>
    <w:p w14:paraId="3B254CC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41" w:name="_Toc8685"/>
      <w:bookmarkStart w:id="742" w:name="_Toc27"/>
      <w:bookmarkStart w:id="743" w:name="_Toc18760"/>
      <w:bookmarkStart w:id="744" w:name="_Toc234833046"/>
      <w:r>
        <w:rPr>
          <w:rFonts w:hint="default" w:ascii="Times New Roman" w:hAnsi="Times New Roman" w:eastAsia="黑体" w:cs="Times New Roman"/>
          <w:b w:val="0"/>
          <w:color w:val="auto"/>
          <w:sz w:val="24"/>
          <w:szCs w:val="24"/>
          <w:highlight w:val="none"/>
        </w:rPr>
        <w:t>12.1承包人暂停施工的责任</w:t>
      </w:r>
      <w:bookmarkEnd w:id="741"/>
      <w:bookmarkEnd w:id="742"/>
      <w:bookmarkEnd w:id="743"/>
      <w:bookmarkEnd w:id="744"/>
    </w:p>
    <w:p w14:paraId="6D9E7C8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因下列暂停施工增加的费用和（或）工期延误由承包人承担：</w:t>
      </w:r>
    </w:p>
    <w:p w14:paraId="37796B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（1）承包人违约引起的暂停施工；</w:t>
      </w:r>
    </w:p>
    <w:p w14:paraId="251865C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（2）由于承包人原因为工程合理施工和安全保障所必需的暂停施工；</w:t>
      </w:r>
    </w:p>
    <w:p w14:paraId="39AB778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（3）承包人擅自暂停施工；</w:t>
      </w:r>
    </w:p>
    <w:p w14:paraId="1AD3CE0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（4）承包人其他原因引起的暂停施工；</w:t>
      </w:r>
    </w:p>
    <w:p w14:paraId="3C6A85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（5）专用合同条款约定由承包人承担的其他暂停施工。</w:t>
      </w:r>
    </w:p>
    <w:p w14:paraId="4FA1AAD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45" w:name="_Toc18857"/>
      <w:bookmarkStart w:id="746" w:name="_Toc29989"/>
      <w:bookmarkStart w:id="747" w:name="_Toc23726"/>
      <w:bookmarkStart w:id="748" w:name="_Toc234833047"/>
      <w:r>
        <w:rPr>
          <w:rFonts w:hint="default" w:ascii="Times New Roman" w:hAnsi="Times New Roman" w:eastAsia="黑体" w:cs="Times New Roman"/>
          <w:b w:val="0"/>
          <w:color w:val="auto"/>
          <w:sz w:val="24"/>
          <w:szCs w:val="24"/>
          <w:highlight w:val="none"/>
        </w:rPr>
        <w:t>12.2发包人暂停施工的责任</w:t>
      </w:r>
      <w:bookmarkEnd w:id="745"/>
      <w:bookmarkEnd w:id="746"/>
      <w:bookmarkEnd w:id="747"/>
      <w:bookmarkEnd w:id="748"/>
    </w:p>
    <w:p w14:paraId="5E7D27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由于发包人原因引起的暂停施工造成工期延误的，承包人有权要求发包人延长工期和（或）增加费用，并支付合理利润。</w:t>
      </w:r>
    </w:p>
    <w:p w14:paraId="5489B2B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49" w:name="_Toc3772"/>
      <w:bookmarkStart w:id="750" w:name="_Toc15395"/>
      <w:bookmarkStart w:id="751" w:name="_Toc234833048"/>
      <w:bookmarkStart w:id="752" w:name="_Toc4773"/>
      <w:r>
        <w:rPr>
          <w:rFonts w:hint="default" w:ascii="Times New Roman" w:hAnsi="Times New Roman" w:eastAsia="黑体" w:cs="Times New Roman"/>
          <w:b w:val="0"/>
          <w:color w:val="auto"/>
          <w:sz w:val="24"/>
          <w:szCs w:val="24"/>
          <w:highlight w:val="none"/>
        </w:rPr>
        <w:t>12.3监理人暂停施工指示</w:t>
      </w:r>
      <w:bookmarkEnd w:id="749"/>
      <w:bookmarkEnd w:id="750"/>
      <w:bookmarkEnd w:id="751"/>
      <w:bookmarkEnd w:id="752"/>
    </w:p>
    <w:p w14:paraId="299708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12.3.1监理人认为有必要时，可向承包人作出暂停施工的指示，承包人应按监理人指示暂停施工。不论由于何种原因引起的暂停施工，暂停施工期间承包人应负责妥善保护工程并提供安全保障。</w:t>
      </w:r>
    </w:p>
    <w:p w14:paraId="27087C3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12.3.2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F818E5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53" w:name="_Toc11081"/>
      <w:bookmarkStart w:id="754" w:name="_Toc1869"/>
      <w:bookmarkStart w:id="755" w:name="_Toc234833049"/>
      <w:bookmarkStart w:id="756" w:name="_Toc16137"/>
      <w:r>
        <w:rPr>
          <w:rFonts w:hint="default" w:ascii="Times New Roman" w:hAnsi="Times New Roman" w:eastAsia="黑体" w:cs="Times New Roman"/>
          <w:b w:val="0"/>
          <w:color w:val="auto"/>
          <w:sz w:val="24"/>
          <w:szCs w:val="24"/>
          <w:highlight w:val="none"/>
        </w:rPr>
        <w:t>12.4暂停施工后的复工</w:t>
      </w:r>
      <w:bookmarkEnd w:id="753"/>
      <w:bookmarkEnd w:id="754"/>
      <w:bookmarkEnd w:id="755"/>
      <w:bookmarkEnd w:id="756"/>
    </w:p>
    <w:p w14:paraId="7650E21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78E8EF6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12.4.2承包人无故拖延和拒绝复工的，由此增加的费用和工期延误由承包人承担；因发包人原因无法按时复工的，承包人有权要求发包人延长工期和（或）增加费用，并支付合理利润。</w:t>
      </w:r>
    </w:p>
    <w:p w14:paraId="4E83983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57" w:name="_Toc234833050"/>
      <w:bookmarkStart w:id="758" w:name="_Toc12999"/>
      <w:bookmarkStart w:id="759" w:name="_Toc4186"/>
      <w:bookmarkStart w:id="760" w:name="_Toc11816"/>
      <w:r>
        <w:rPr>
          <w:rFonts w:hint="default" w:ascii="Times New Roman" w:hAnsi="Times New Roman" w:eastAsia="黑体" w:cs="Times New Roman"/>
          <w:b w:val="0"/>
          <w:color w:val="auto"/>
          <w:sz w:val="24"/>
          <w:szCs w:val="24"/>
          <w:highlight w:val="none"/>
        </w:rPr>
        <w:t>12.5暂停施工持续56天以上</w:t>
      </w:r>
      <w:bookmarkEnd w:id="757"/>
      <w:bookmarkEnd w:id="758"/>
      <w:bookmarkEnd w:id="759"/>
      <w:bookmarkEnd w:id="760"/>
    </w:p>
    <w:p w14:paraId="6265A8A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52A54E2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12.5.2由于承包人责任引起的暂停施工，如承包人在收到监理人暂停施工指示后56天内不认真采取有效的复工措施，造成工期延误，可视为承包人违约，应按第22.1款的约定办理。</w:t>
      </w:r>
    </w:p>
    <w:p w14:paraId="67DC23D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61" w:name="_Toc38"/>
      <w:bookmarkStart w:id="762" w:name="_Toc32763"/>
      <w:bookmarkStart w:id="763" w:name="_Toc7813"/>
      <w:bookmarkStart w:id="764" w:name="_Toc234833051"/>
      <w:r>
        <w:rPr>
          <w:rFonts w:hint="default" w:ascii="Times New Roman" w:hAnsi="Times New Roman" w:eastAsia="黑体" w:cs="Times New Roman"/>
          <w:b w:val="0"/>
          <w:color w:val="auto"/>
          <w:sz w:val="28"/>
          <w:szCs w:val="28"/>
          <w:highlight w:val="none"/>
        </w:rPr>
        <w:t>13.工程质量</w:t>
      </w:r>
      <w:bookmarkEnd w:id="761"/>
      <w:bookmarkEnd w:id="762"/>
      <w:bookmarkEnd w:id="763"/>
      <w:bookmarkEnd w:id="764"/>
    </w:p>
    <w:p w14:paraId="046958F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65" w:name="_Toc9602"/>
      <w:bookmarkStart w:id="766" w:name="_Toc234833052"/>
      <w:bookmarkStart w:id="767" w:name="_Toc9818"/>
      <w:bookmarkStart w:id="768" w:name="_Toc25776"/>
      <w:r>
        <w:rPr>
          <w:rFonts w:hint="default" w:ascii="Times New Roman" w:hAnsi="Times New Roman" w:eastAsia="黑体" w:cs="Times New Roman"/>
          <w:b w:val="0"/>
          <w:color w:val="auto"/>
          <w:sz w:val="24"/>
          <w:szCs w:val="24"/>
          <w:highlight w:val="none"/>
        </w:rPr>
        <w:t>13.1工程质量要求</w:t>
      </w:r>
      <w:bookmarkEnd w:id="765"/>
      <w:bookmarkEnd w:id="766"/>
      <w:bookmarkEnd w:id="767"/>
      <w:bookmarkEnd w:id="768"/>
    </w:p>
    <w:p w14:paraId="50DC21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13.1.1工程质量验收按合同约定验收标准执行。</w:t>
      </w:r>
    </w:p>
    <w:p w14:paraId="3209616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13.1.2因承包人原因造成工程质量达不到合同约定验收标准的，监理人有权要求承包人返工直至符合合同要求为止，由此造成的费用增加和（或）工期延误由承包人承担。</w:t>
      </w:r>
    </w:p>
    <w:p w14:paraId="3091E75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13.1.3因发包人原因造成工程质量达不到合同约定验收标准的，发包人应承担由于承包人返工造成的费用增加和（或）工期延误，并支付承包人合理利润。</w:t>
      </w:r>
    </w:p>
    <w:p w14:paraId="4C5E20F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69" w:name="_Toc234833053"/>
      <w:bookmarkStart w:id="770" w:name="_Toc1504"/>
      <w:bookmarkStart w:id="771" w:name="_Toc14900"/>
      <w:bookmarkStart w:id="772" w:name="_Toc20391"/>
      <w:r>
        <w:rPr>
          <w:rFonts w:hint="default" w:ascii="Times New Roman" w:hAnsi="Times New Roman" w:eastAsia="黑体" w:cs="Times New Roman"/>
          <w:b w:val="0"/>
          <w:color w:val="auto"/>
          <w:sz w:val="24"/>
          <w:szCs w:val="24"/>
          <w:highlight w:val="none"/>
        </w:rPr>
        <w:t>13.2承包人的质量管理</w:t>
      </w:r>
      <w:bookmarkEnd w:id="769"/>
      <w:bookmarkEnd w:id="770"/>
      <w:bookmarkEnd w:id="771"/>
      <w:bookmarkEnd w:id="772"/>
    </w:p>
    <w:p w14:paraId="0E9203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13.2.1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369D6C9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13.2.2承包人应加强对施工人员的质量教育和技术培训，定期考核施工人员的劳动技能，严格执行规范和操作规程。</w:t>
      </w:r>
    </w:p>
    <w:p w14:paraId="1BD7D85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73" w:name="_Toc234833054"/>
      <w:bookmarkStart w:id="774" w:name="_Toc18930"/>
      <w:bookmarkStart w:id="775" w:name="_Toc23276"/>
      <w:bookmarkStart w:id="776" w:name="_Toc9790"/>
      <w:r>
        <w:rPr>
          <w:rFonts w:hint="default" w:ascii="Times New Roman" w:hAnsi="Times New Roman" w:eastAsia="黑体" w:cs="Times New Roman"/>
          <w:b w:val="0"/>
          <w:color w:val="auto"/>
          <w:sz w:val="24"/>
          <w:szCs w:val="24"/>
          <w:highlight w:val="none"/>
        </w:rPr>
        <w:t>13.3承包人的质量检查</w:t>
      </w:r>
      <w:bookmarkEnd w:id="773"/>
      <w:bookmarkEnd w:id="774"/>
      <w:bookmarkEnd w:id="775"/>
      <w:bookmarkEnd w:id="776"/>
    </w:p>
    <w:p w14:paraId="368DADD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承包人应按合同约定对材料、工程设备以及工程的所有部位及其施工工艺进行全过程的质量检查和检验，并作详细记录，编制工程质量报表，报送监理人审查。</w:t>
      </w:r>
    </w:p>
    <w:p w14:paraId="23041F1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77" w:name="_Toc14050"/>
      <w:bookmarkStart w:id="778" w:name="_Toc234833055"/>
      <w:bookmarkStart w:id="779" w:name="_Toc30195"/>
      <w:bookmarkStart w:id="780" w:name="_Toc23210"/>
      <w:r>
        <w:rPr>
          <w:rFonts w:hint="default" w:ascii="Times New Roman" w:hAnsi="Times New Roman" w:eastAsia="黑体" w:cs="Times New Roman"/>
          <w:b w:val="0"/>
          <w:color w:val="auto"/>
          <w:sz w:val="24"/>
          <w:szCs w:val="24"/>
          <w:highlight w:val="none"/>
        </w:rPr>
        <w:t>13.4监理人的质量检查</w:t>
      </w:r>
      <w:bookmarkEnd w:id="777"/>
      <w:bookmarkEnd w:id="778"/>
      <w:bookmarkEnd w:id="779"/>
      <w:bookmarkEnd w:id="780"/>
    </w:p>
    <w:p w14:paraId="2C7A85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24002E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81" w:name="_Toc234833056"/>
      <w:bookmarkStart w:id="782" w:name="_Toc21706"/>
      <w:bookmarkStart w:id="783" w:name="_Toc17119"/>
      <w:bookmarkStart w:id="784" w:name="_Toc17194"/>
      <w:r>
        <w:rPr>
          <w:rFonts w:hint="default" w:ascii="Times New Roman" w:hAnsi="Times New Roman" w:eastAsia="黑体" w:cs="Times New Roman"/>
          <w:b w:val="0"/>
          <w:color w:val="auto"/>
          <w:sz w:val="24"/>
          <w:szCs w:val="24"/>
          <w:highlight w:val="none"/>
        </w:rPr>
        <w:t>13.5工程隐蔽部位覆盖前的检查</w:t>
      </w:r>
      <w:bookmarkEnd w:id="781"/>
      <w:bookmarkEnd w:id="782"/>
      <w:bookmarkEnd w:id="783"/>
      <w:bookmarkEnd w:id="784"/>
    </w:p>
    <w:p w14:paraId="2987CF3D">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13.5.1</w:t>
      </w:r>
      <w:r>
        <w:rPr>
          <w:rFonts w:hint="default" w:ascii="Times New Roman" w:hAnsi="Times New Roman" w:eastAsia="黑体" w:cs="Times New Roman"/>
          <w:color w:val="auto"/>
          <w:sz w:val="24"/>
          <w:highlight w:val="none"/>
        </w:rPr>
        <w:t>通知监理人检查</w:t>
      </w:r>
    </w:p>
    <w:p w14:paraId="6FBCBC6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29771F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13.5.2</w:t>
      </w:r>
      <w:r>
        <w:rPr>
          <w:rFonts w:hint="default" w:ascii="Times New Roman" w:hAnsi="Times New Roman" w:eastAsia="黑体" w:cs="Times New Roman"/>
          <w:color w:val="auto"/>
          <w:sz w:val="24"/>
          <w:highlight w:val="none"/>
        </w:rPr>
        <w:t>监理人未到场检查</w:t>
      </w:r>
    </w:p>
    <w:p w14:paraId="4C7F07E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675D978B">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13.5.3</w:t>
      </w:r>
      <w:r>
        <w:rPr>
          <w:rFonts w:hint="default" w:ascii="Times New Roman" w:hAnsi="Times New Roman" w:eastAsia="黑体" w:cs="Times New Roman"/>
          <w:color w:val="auto"/>
          <w:sz w:val="24"/>
          <w:highlight w:val="none"/>
        </w:rPr>
        <w:t>监理人重新检查</w:t>
      </w:r>
    </w:p>
    <w:p w14:paraId="3C76028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88B2462">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13.5.4</w:t>
      </w:r>
      <w:r>
        <w:rPr>
          <w:rFonts w:hint="default" w:ascii="Times New Roman" w:hAnsi="Times New Roman" w:eastAsia="黑体" w:cs="Times New Roman"/>
          <w:color w:val="auto"/>
          <w:sz w:val="24"/>
          <w:highlight w:val="none"/>
        </w:rPr>
        <w:t>承包人私自覆盖</w:t>
      </w:r>
    </w:p>
    <w:p w14:paraId="0FAEC38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承包人未通知监理人到场检查，私自将工程隐蔽部位覆盖的，监理人有权指示承包人钻孔探测或揭开检查，由此增加的费用和（或）工期延误由承包人承担。</w:t>
      </w:r>
    </w:p>
    <w:p w14:paraId="7E1154D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85" w:name="_Toc27575"/>
      <w:bookmarkStart w:id="786" w:name="_Toc29205"/>
      <w:bookmarkStart w:id="787" w:name="_Toc11615"/>
      <w:bookmarkStart w:id="788" w:name="_Toc234833057"/>
      <w:r>
        <w:rPr>
          <w:rFonts w:hint="default" w:ascii="Times New Roman" w:hAnsi="Times New Roman" w:eastAsia="黑体" w:cs="Times New Roman"/>
          <w:b w:val="0"/>
          <w:color w:val="auto"/>
          <w:sz w:val="24"/>
          <w:szCs w:val="24"/>
          <w:highlight w:val="none"/>
        </w:rPr>
        <w:t>13.6清除不合格工程</w:t>
      </w:r>
      <w:bookmarkEnd w:id="785"/>
      <w:bookmarkEnd w:id="786"/>
      <w:bookmarkEnd w:id="787"/>
      <w:bookmarkEnd w:id="788"/>
    </w:p>
    <w:p w14:paraId="78DC7E3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9D489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13.6.2由于发包人提供的材料或工程设备不合格造成的工程不合格，需要承包人采取措施补救的，发包人应承担由此增加的费用和（或）工期延误，并支付承包人合理利润。</w:t>
      </w:r>
    </w:p>
    <w:p w14:paraId="30D743D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89" w:name="_Toc234833058"/>
      <w:bookmarkStart w:id="790" w:name="_Toc17780"/>
      <w:bookmarkStart w:id="791" w:name="_Toc16816"/>
      <w:bookmarkStart w:id="792" w:name="_Toc26772"/>
      <w:r>
        <w:rPr>
          <w:rFonts w:hint="default" w:ascii="Times New Roman" w:hAnsi="Times New Roman" w:eastAsia="黑体" w:cs="Times New Roman"/>
          <w:b w:val="0"/>
          <w:color w:val="auto"/>
          <w:sz w:val="28"/>
          <w:szCs w:val="28"/>
          <w:highlight w:val="none"/>
        </w:rPr>
        <w:t>14.试验和检验</w:t>
      </w:r>
      <w:bookmarkEnd w:id="789"/>
      <w:bookmarkEnd w:id="790"/>
      <w:bookmarkEnd w:id="791"/>
      <w:bookmarkEnd w:id="792"/>
    </w:p>
    <w:p w14:paraId="079BEB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93" w:name="_Toc23212"/>
      <w:bookmarkStart w:id="794" w:name="_Toc234833059"/>
      <w:bookmarkStart w:id="795" w:name="_Toc7572"/>
      <w:bookmarkStart w:id="796" w:name="_Toc19299"/>
      <w:r>
        <w:rPr>
          <w:rFonts w:hint="default" w:ascii="Times New Roman" w:hAnsi="Times New Roman" w:eastAsia="黑体" w:cs="Times New Roman"/>
          <w:b w:val="0"/>
          <w:color w:val="auto"/>
          <w:sz w:val="24"/>
          <w:szCs w:val="24"/>
          <w:highlight w:val="none"/>
        </w:rPr>
        <w:t>14.1材料、工程设备和工程的试验和检验</w:t>
      </w:r>
      <w:bookmarkEnd w:id="793"/>
      <w:bookmarkEnd w:id="794"/>
      <w:bookmarkEnd w:id="795"/>
      <w:bookmarkEnd w:id="796"/>
    </w:p>
    <w:p w14:paraId="641737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81352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14.1.2监理人未按合同约定派员参加试验和检验的，除监理人另有指示外，承包人可自行试验和检验，并应立即将试验和检验结果报送监理人，监理人应签字确认。</w:t>
      </w:r>
    </w:p>
    <w:p w14:paraId="3083407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F040AD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97" w:name="_Toc9789"/>
      <w:bookmarkStart w:id="798" w:name="_Toc9643"/>
      <w:bookmarkStart w:id="799" w:name="_Toc234833060"/>
      <w:bookmarkStart w:id="800" w:name="_Toc4179"/>
      <w:r>
        <w:rPr>
          <w:rFonts w:hint="default" w:ascii="Times New Roman" w:hAnsi="Times New Roman" w:eastAsia="黑体" w:cs="Times New Roman"/>
          <w:b w:val="0"/>
          <w:color w:val="auto"/>
          <w:sz w:val="24"/>
          <w:szCs w:val="24"/>
          <w:highlight w:val="none"/>
        </w:rPr>
        <w:t>14.2现场材料试验</w:t>
      </w:r>
      <w:bookmarkEnd w:id="797"/>
      <w:bookmarkEnd w:id="798"/>
      <w:bookmarkEnd w:id="799"/>
      <w:bookmarkEnd w:id="800"/>
    </w:p>
    <w:p w14:paraId="5457342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14.2.1承包人根据合同约定或监理人指示进行的现场材料试验，应由承包人提供试验场所、试验人员、试验设备器材以及其他必要的试验条件。</w:t>
      </w:r>
    </w:p>
    <w:p w14:paraId="074110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14.2.2监理人在必要时可以使用承包人的试验场所、试验设备器材以及其他试验条件，进行以工程质量检查为目的的复核性材料试验，承包人应予以协助。</w:t>
      </w:r>
    </w:p>
    <w:p w14:paraId="54F513D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01" w:name="_Toc31625"/>
      <w:bookmarkStart w:id="802" w:name="_Toc505"/>
      <w:bookmarkStart w:id="803" w:name="_Toc234833061"/>
      <w:bookmarkStart w:id="804" w:name="_Toc19643"/>
      <w:r>
        <w:rPr>
          <w:rFonts w:hint="default" w:ascii="Times New Roman" w:hAnsi="Times New Roman" w:eastAsia="黑体" w:cs="Times New Roman"/>
          <w:b w:val="0"/>
          <w:color w:val="auto"/>
          <w:sz w:val="24"/>
          <w:szCs w:val="24"/>
          <w:highlight w:val="none"/>
        </w:rPr>
        <w:t>14.3现场工艺试验</w:t>
      </w:r>
      <w:bookmarkEnd w:id="801"/>
      <w:bookmarkEnd w:id="802"/>
      <w:bookmarkEnd w:id="803"/>
      <w:bookmarkEnd w:id="804"/>
    </w:p>
    <w:p w14:paraId="01C6BD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0D0FB83F">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805" w:name="_Toc1929"/>
      <w:bookmarkStart w:id="806" w:name="_Toc17742"/>
      <w:bookmarkStart w:id="807" w:name="_Toc28048"/>
      <w:bookmarkStart w:id="808" w:name="_Toc234833062"/>
      <w:r>
        <w:rPr>
          <w:rFonts w:hint="default" w:ascii="Times New Roman" w:hAnsi="Times New Roman" w:eastAsia="黑体" w:cs="Times New Roman"/>
          <w:b w:val="0"/>
          <w:color w:val="auto"/>
          <w:sz w:val="28"/>
          <w:szCs w:val="28"/>
          <w:highlight w:val="none"/>
        </w:rPr>
        <w:t>15.变更</w:t>
      </w:r>
      <w:bookmarkEnd w:id="805"/>
      <w:bookmarkEnd w:id="806"/>
      <w:bookmarkEnd w:id="807"/>
      <w:bookmarkEnd w:id="808"/>
    </w:p>
    <w:p w14:paraId="4EB9337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09" w:name="_Toc20123"/>
      <w:bookmarkStart w:id="810" w:name="_Toc234833063"/>
      <w:bookmarkStart w:id="811" w:name="_Toc4605"/>
      <w:bookmarkStart w:id="812" w:name="_Toc30228"/>
      <w:r>
        <w:rPr>
          <w:rFonts w:hint="default" w:ascii="Times New Roman" w:hAnsi="Times New Roman" w:eastAsia="黑体" w:cs="Times New Roman"/>
          <w:b w:val="0"/>
          <w:color w:val="auto"/>
          <w:sz w:val="24"/>
          <w:szCs w:val="24"/>
          <w:highlight w:val="none"/>
        </w:rPr>
        <w:t>15.1变更的范围和内容</w:t>
      </w:r>
      <w:bookmarkEnd w:id="809"/>
      <w:bookmarkEnd w:id="810"/>
      <w:bookmarkEnd w:id="811"/>
      <w:bookmarkEnd w:id="812"/>
    </w:p>
    <w:p w14:paraId="72CBB6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除专用合同条款另有约定外，在履行合同中发生以下情形之一，应按照本条规定进行变更。</w:t>
      </w:r>
    </w:p>
    <w:p w14:paraId="41C0FD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（1）取消合同中任何一项工作，但被取消的工作不能转由发包人或其他人实施；</w:t>
      </w:r>
    </w:p>
    <w:p w14:paraId="6333C6A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（2）改变合同中任何一项工作的质量或其他特性；</w:t>
      </w:r>
    </w:p>
    <w:p w14:paraId="780E2F4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（3）改变合同工程的基线、标高、位置或尺寸；</w:t>
      </w:r>
    </w:p>
    <w:p w14:paraId="0C07179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（4）改变合同中任何一项工作的施工时间或改变已批准的施工工艺或顺序；</w:t>
      </w:r>
    </w:p>
    <w:p w14:paraId="590431A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（5）为完成工程需要追加的额外工作。</w:t>
      </w:r>
    </w:p>
    <w:p w14:paraId="65F27BA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13" w:name="_Toc8053"/>
      <w:bookmarkStart w:id="814" w:name="_Toc24888"/>
      <w:bookmarkStart w:id="815" w:name="_Toc234833064"/>
      <w:bookmarkStart w:id="816" w:name="_Toc10482"/>
      <w:r>
        <w:rPr>
          <w:rFonts w:hint="default" w:ascii="Times New Roman" w:hAnsi="Times New Roman" w:eastAsia="黑体" w:cs="Times New Roman"/>
          <w:b w:val="0"/>
          <w:color w:val="auto"/>
          <w:sz w:val="24"/>
          <w:szCs w:val="24"/>
          <w:highlight w:val="none"/>
        </w:rPr>
        <w:t>15.2变更权</w:t>
      </w:r>
      <w:bookmarkEnd w:id="813"/>
      <w:bookmarkEnd w:id="814"/>
      <w:bookmarkEnd w:id="815"/>
      <w:bookmarkEnd w:id="816"/>
    </w:p>
    <w:p w14:paraId="12E04B7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在履行合同过程中，经发包人同意，监理人可按第15.3款约定的变更程序向承包人作出变更指示，承包人应遵照执行。没有监理人的变更指示，承包人不得擅自变更。</w:t>
      </w:r>
    </w:p>
    <w:p w14:paraId="3ABA7E9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17" w:name="_Toc234833065"/>
      <w:bookmarkStart w:id="818" w:name="_Toc12919"/>
      <w:bookmarkStart w:id="819" w:name="_Toc29346"/>
      <w:bookmarkStart w:id="820" w:name="_Toc2613"/>
      <w:r>
        <w:rPr>
          <w:rFonts w:hint="default" w:ascii="Times New Roman" w:hAnsi="Times New Roman" w:eastAsia="黑体" w:cs="Times New Roman"/>
          <w:b w:val="0"/>
          <w:color w:val="auto"/>
          <w:sz w:val="24"/>
          <w:szCs w:val="24"/>
          <w:highlight w:val="none"/>
        </w:rPr>
        <w:t>15.3变更程序</w:t>
      </w:r>
      <w:bookmarkEnd w:id="817"/>
      <w:bookmarkEnd w:id="818"/>
      <w:bookmarkEnd w:id="819"/>
      <w:bookmarkEnd w:id="820"/>
    </w:p>
    <w:p w14:paraId="63AF3751">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15.3.1</w:t>
      </w:r>
      <w:r>
        <w:rPr>
          <w:rFonts w:hint="default" w:ascii="Times New Roman" w:hAnsi="Times New Roman" w:eastAsia="黑体" w:cs="Times New Roman"/>
          <w:color w:val="auto"/>
          <w:sz w:val="24"/>
          <w:highlight w:val="none"/>
        </w:rPr>
        <w:t>变更的提出</w:t>
      </w:r>
    </w:p>
    <w:p w14:paraId="74F720C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2DEEC37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（2）在合同履行过程中，发生第15.1款约定情形的，监理人应按照第15.3.3项约定向承包人发出变更指示。</w:t>
      </w:r>
    </w:p>
    <w:p w14:paraId="3656BAA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21959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0587EAE3">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15.3.2</w:t>
      </w:r>
      <w:r>
        <w:rPr>
          <w:rFonts w:hint="default" w:ascii="Times New Roman" w:hAnsi="Times New Roman" w:eastAsia="黑体" w:cs="Times New Roman"/>
          <w:color w:val="auto"/>
          <w:sz w:val="24"/>
          <w:highlight w:val="none"/>
        </w:rPr>
        <w:t>变更估价</w:t>
      </w:r>
    </w:p>
    <w:p w14:paraId="7AED45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5D3B3A2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（2）变更工作影响工期的，承包人应提出调整工期的具体细节。监理人认为有必要时，可要求承包人提交要求提前或延长工期的施工进度计划及相应施工措施等详细资料。</w:t>
      </w:r>
    </w:p>
    <w:p w14:paraId="1EBA5FB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（3）除专用合同条款对期限另有约定外，监理人收到承包人变更报价书后的14天内，根据第15.4款约定的估价原则，按照第3.5款商定或确定变更价格。</w:t>
      </w:r>
    </w:p>
    <w:p w14:paraId="2E47263A">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15.3.3</w:t>
      </w:r>
      <w:r>
        <w:rPr>
          <w:rFonts w:hint="default" w:ascii="Times New Roman" w:hAnsi="Times New Roman" w:eastAsia="黑体" w:cs="Times New Roman"/>
          <w:color w:val="auto"/>
          <w:sz w:val="24"/>
          <w:highlight w:val="none"/>
        </w:rPr>
        <w:t>变更指示</w:t>
      </w:r>
    </w:p>
    <w:p w14:paraId="201B11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（1）变更指示只能由监理人发出。</w:t>
      </w:r>
    </w:p>
    <w:p w14:paraId="2D695F6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（2）变更指示应说明变更的目的、范围、变更内容以及变更的工程量及其进度和技术要求，并附有关图纸和文件。承包人收到变更指示后，应按变更指示进行变更工作。</w:t>
      </w:r>
    </w:p>
    <w:p w14:paraId="4F5CD9DD">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821" w:name="_Toc234833066"/>
      <w:bookmarkStart w:id="822" w:name="_Toc25571"/>
      <w:bookmarkStart w:id="823" w:name="_Toc734"/>
      <w:bookmarkStart w:id="824" w:name="_Toc21464"/>
      <w:r>
        <w:rPr>
          <w:rFonts w:hint="default" w:ascii="Times New Roman" w:hAnsi="Times New Roman" w:eastAsia="黑体" w:cs="Times New Roman"/>
          <w:b w:val="0"/>
          <w:color w:val="auto"/>
          <w:sz w:val="24"/>
          <w:szCs w:val="24"/>
          <w:highlight w:val="none"/>
        </w:rPr>
        <w:t>15.4变更的估价原则</w:t>
      </w:r>
      <w:bookmarkEnd w:id="821"/>
      <w:bookmarkEnd w:id="822"/>
      <w:bookmarkEnd w:id="823"/>
      <w:bookmarkEnd w:id="824"/>
    </w:p>
    <w:p w14:paraId="5B96D3AA">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除专用合同条款另有约定外，因变更引起的价格调整按照本款约定处理。</w:t>
      </w:r>
    </w:p>
    <w:p w14:paraId="75D073E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15.4.1已标价工程量清单中有适用于变更工作的子目的，采用该子目的单价。</w:t>
      </w:r>
    </w:p>
    <w:p w14:paraId="7CE416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15.4.2已标价工程量清单中无适用于变更工作的子目，但有类似子目的，可在合理范围内参照类似子目的单价，由监理人按第3.5款商定或确定变更工作的单价。</w:t>
      </w:r>
    </w:p>
    <w:p w14:paraId="72FBB14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15.4.3已标价工程量清单中无适用或类似子目的单价，可按照成本加利润的原则，由监理人按第3.5款商定或确定变更工作的单价。</w:t>
      </w:r>
    </w:p>
    <w:p w14:paraId="71DD059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25" w:name="_Toc20188"/>
      <w:bookmarkStart w:id="826" w:name="_Toc25619"/>
      <w:bookmarkStart w:id="827" w:name="_Toc5615"/>
      <w:bookmarkStart w:id="828" w:name="_Toc234833067"/>
      <w:r>
        <w:rPr>
          <w:rFonts w:hint="default" w:ascii="Times New Roman" w:hAnsi="Times New Roman" w:eastAsia="黑体" w:cs="Times New Roman"/>
          <w:b w:val="0"/>
          <w:color w:val="auto"/>
          <w:sz w:val="24"/>
          <w:szCs w:val="24"/>
          <w:highlight w:val="none"/>
        </w:rPr>
        <w:t>15.5承包人的合理化建议</w:t>
      </w:r>
      <w:bookmarkEnd w:id="825"/>
      <w:bookmarkEnd w:id="826"/>
      <w:bookmarkEnd w:id="827"/>
      <w:bookmarkEnd w:id="828"/>
    </w:p>
    <w:p w14:paraId="7CA9AC0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15.5.1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C15649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15.5.2承包人提出的合理化建议降低了合同价格、缩短了工期或者提高了工程经济效益的，发包人可按国家有关规定在专用合同条款中约定给予奖励。</w:t>
      </w:r>
    </w:p>
    <w:p w14:paraId="7FE7C82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29" w:name="_Toc234833068"/>
      <w:bookmarkStart w:id="830" w:name="_Toc32232"/>
      <w:bookmarkStart w:id="831" w:name="_Toc15655"/>
      <w:bookmarkStart w:id="832" w:name="_Toc1051"/>
      <w:r>
        <w:rPr>
          <w:rFonts w:hint="default" w:ascii="Times New Roman" w:hAnsi="Times New Roman" w:eastAsia="黑体" w:cs="Times New Roman"/>
          <w:b w:val="0"/>
          <w:color w:val="auto"/>
          <w:sz w:val="24"/>
          <w:szCs w:val="24"/>
          <w:highlight w:val="none"/>
        </w:rPr>
        <w:t>15.6暂列金额</w:t>
      </w:r>
      <w:bookmarkEnd w:id="829"/>
      <w:bookmarkEnd w:id="830"/>
      <w:bookmarkEnd w:id="831"/>
      <w:bookmarkEnd w:id="832"/>
    </w:p>
    <w:p w14:paraId="47AE6EFD">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暂列金额只能按照监理人的指示使用，并对合同价格进行相应调整。</w:t>
      </w:r>
    </w:p>
    <w:p w14:paraId="1CED6E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33" w:name="_Toc4406"/>
      <w:bookmarkStart w:id="834" w:name="_Toc234833069"/>
      <w:bookmarkStart w:id="835" w:name="_Toc25732"/>
      <w:bookmarkStart w:id="836" w:name="_Toc10060"/>
      <w:r>
        <w:rPr>
          <w:rFonts w:hint="default" w:ascii="Times New Roman" w:hAnsi="Times New Roman" w:eastAsia="黑体" w:cs="Times New Roman"/>
          <w:b w:val="0"/>
          <w:color w:val="auto"/>
          <w:sz w:val="24"/>
          <w:szCs w:val="24"/>
          <w:highlight w:val="none"/>
        </w:rPr>
        <w:t>15.7计日工</w:t>
      </w:r>
      <w:bookmarkEnd w:id="833"/>
      <w:bookmarkEnd w:id="834"/>
      <w:bookmarkEnd w:id="835"/>
      <w:bookmarkEnd w:id="836"/>
    </w:p>
    <w:p w14:paraId="57E98D7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15.7.1发包人认为有必要时，由监理人通知承包人以计日工方式实施变更的零星工作。其价款按列入已标价工程量清单中的计日工计价子目及其单价进行计算。</w:t>
      </w:r>
    </w:p>
    <w:p w14:paraId="68B56A1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15.7.2采用计日工计价的任何一项变更工作，应从暂列金额中支付，承包人应在该项变更的实施过程中，每天提交以下报表和有关凭证报送监理人审批：</w:t>
      </w:r>
    </w:p>
    <w:p w14:paraId="5BE73C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（1）工作名称、内容和数量；</w:t>
      </w:r>
    </w:p>
    <w:p w14:paraId="6DEC98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（2）投入该工作所有人员的姓名、工种、级别和耗用工时；</w:t>
      </w:r>
    </w:p>
    <w:p w14:paraId="318F9FA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（3）投入该工作的材料类别和数量；</w:t>
      </w:r>
    </w:p>
    <w:p w14:paraId="55D58AB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（4）投入该工作的施工设备型号、台数和耗用台时；</w:t>
      </w:r>
    </w:p>
    <w:p w14:paraId="117DC9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（5）监理人要求提交的其他资料和凭证。</w:t>
      </w:r>
    </w:p>
    <w:p w14:paraId="4CFD27A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15.7.3计日工由承包人汇总后，按第17.3.2项的约定列入进度付款申请单，由监理人复核并经发包人同意后列入进度付款。</w:t>
      </w:r>
    </w:p>
    <w:p w14:paraId="3301512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37" w:name="_Toc13261"/>
      <w:bookmarkStart w:id="838" w:name="_Toc234833070"/>
      <w:bookmarkStart w:id="839" w:name="_Toc17561"/>
      <w:bookmarkStart w:id="840" w:name="_Toc7315"/>
      <w:r>
        <w:rPr>
          <w:rFonts w:hint="default" w:ascii="Times New Roman" w:hAnsi="Times New Roman" w:eastAsia="黑体" w:cs="Times New Roman"/>
          <w:b w:val="0"/>
          <w:color w:val="auto"/>
          <w:sz w:val="24"/>
          <w:szCs w:val="24"/>
          <w:highlight w:val="none"/>
        </w:rPr>
        <w:t>15.8暂估价</w:t>
      </w:r>
      <w:bookmarkEnd w:id="837"/>
      <w:bookmarkEnd w:id="838"/>
      <w:bookmarkEnd w:id="839"/>
      <w:bookmarkEnd w:id="840"/>
    </w:p>
    <w:p w14:paraId="45607CE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15.8.1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67A1D3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F46813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84FA4E4">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841" w:name="_Toc10500"/>
      <w:bookmarkStart w:id="842" w:name="_Toc234833071"/>
      <w:bookmarkStart w:id="843" w:name="_Toc22564"/>
      <w:bookmarkStart w:id="844" w:name="_Toc15345"/>
      <w:r>
        <w:rPr>
          <w:rFonts w:hint="default" w:ascii="Times New Roman" w:hAnsi="Times New Roman" w:eastAsia="黑体" w:cs="Times New Roman"/>
          <w:b w:val="0"/>
          <w:color w:val="auto"/>
          <w:sz w:val="28"/>
          <w:szCs w:val="28"/>
          <w:highlight w:val="none"/>
        </w:rPr>
        <w:t>16.价格调整</w:t>
      </w:r>
      <w:bookmarkEnd w:id="841"/>
      <w:bookmarkEnd w:id="842"/>
      <w:bookmarkEnd w:id="843"/>
      <w:bookmarkEnd w:id="844"/>
    </w:p>
    <w:p w14:paraId="44A3F073">
      <w:pPr>
        <w:pageBreakBefore w:val="0"/>
        <w:kinsoku/>
        <w:wordWrap w:val="0"/>
        <w:bidi w:val="0"/>
        <w:spacing w:before="480" w:after="240" w:line="380" w:lineRule="atLeast"/>
        <w:outlineLvl w:val="9"/>
        <w:rPr>
          <w:rFonts w:hint="eastAsia" w:ascii="Times New Roman" w:hAnsi="Times New Roman" w:cs="Times New Roman"/>
          <w:b/>
          <w:bCs/>
          <w:color w:val="auto"/>
          <w:sz w:val="24"/>
          <w:highlight w:val="yellow"/>
          <w:lang w:val="en-US" w:eastAsia="zh-CN"/>
        </w:rPr>
      </w:pPr>
      <w:bookmarkStart w:id="845" w:name="_Toc2237"/>
      <w:bookmarkStart w:id="846" w:name="_Toc32220"/>
      <w:bookmarkStart w:id="847" w:name="_Toc234833074"/>
      <w:bookmarkStart w:id="848" w:name="_Toc6207"/>
      <w:r>
        <w:rPr>
          <w:rFonts w:hint="eastAsia" w:ascii="Times New Roman" w:hAnsi="Times New Roman" w:cs="Times New Roman"/>
          <w:b/>
          <w:bCs/>
          <w:color w:val="auto"/>
          <w:sz w:val="24"/>
          <w:highlight w:val="yellow"/>
          <w:lang w:val="en-US" w:eastAsia="zh-CN"/>
        </w:rPr>
        <w:t>合同期内不调价，因物价波动引起的价格调整本合同不予考虑。</w:t>
      </w:r>
    </w:p>
    <w:p w14:paraId="5543A74E">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r>
        <w:rPr>
          <w:rFonts w:hint="default" w:ascii="Times New Roman" w:hAnsi="Times New Roman" w:eastAsia="黑体" w:cs="Times New Roman"/>
          <w:b w:val="0"/>
          <w:color w:val="auto"/>
          <w:sz w:val="28"/>
          <w:szCs w:val="28"/>
          <w:highlight w:val="none"/>
        </w:rPr>
        <w:t>17.计量与支付</w:t>
      </w:r>
      <w:bookmarkEnd w:id="845"/>
      <w:bookmarkEnd w:id="846"/>
      <w:bookmarkEnd w:id="847"/>
      <w:bookmarkEnd w:id="848"/>
    </w:p>
    <w:p w14:paraId="0BC48782">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849" w:name="_Toc234833075"/>
      <w:bookmarkStart w:id="850" w:name="_Toc12856"/>
      <w:bookmarkStart w:id="851" w:name="_Toc21036"/>
      <w:bookmarkStart w:id="852" w:name="_Toc29292"/>
      <w:r>
        <w:rPr>
          <w:rFonts w:hint="default" w:ascii="Times New Roman" w:hAnsi="Times New Roman" w:eastAsia="黑体" w:cs="Times New Roman"/>
          <w:b w:val="0"/>
          <w:color w:val="auto"/>
          <w:sz w:val="24"/>
          <w:szCs w:val="24"/>
          <w:highlight w:val="none"/>
        </w:rPr>
        <w:t>17.1计量</w:t>
      </w:r>
      <w:bookmarkEnd w:id="849"/>
      <w:bookmarkEnd w:id="850"/>
      <w:bookmarkEnd w:id="851"/>
      <w:bookmarkEnd w:id="852"/>
    </w:p>
    <w:p w14:paraId="28ED7FC0">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17.1.1</w:t>
      </w:r>
      <w:r>
        <w:rPr>
          <w:rFonts w:hint="default" w:ascii="Times New Roman" w:hAnsi="Times New Roman" w:eastAsia="黑体" w:cs="Times New Roman"/>
          <w:color w:val="auto"/>
          <w:sz w:val="24"/>
          <w:highlight w:val="none"/>
        </w:rPr>
        <w:t>计量单位</w:t>
      </w:r>
    </w:p>
    <w:p w14:paraId="036D9B5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计量采用国家法定的计量单位。</w:t>
      </w:r>
    </w:p>
    <w:p w14:paraId="30472AFD">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17.1.2</w:t>
      </w:r>
      <w:r>
        <w:rPr>
          <w:rFonts w:hint="default" w:ascii="Times New Roman" w:hAnsi="Times New Roman" w:eastAsia="黑体" w:cs="Times New Roman"/>
          <w:color w:val="auto"/>
          <w:sz w:val="24"/>
          <w:highlight w:val="none"/>
        </w:rPr>
        <w:t>计量方法</w:t>
      </w:r>
    </w:p>
    <w:p w14:paraId="1ACAB7C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工程量清单中的工程量计算规则应按有关国家标准、行业标准的规定，并在合同中约定执行。</w:t>
      </w:r>
    </w:p>
    <w:p w14:paraId="6A290804">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17.1.3</w:t>
      </w:r>
      <w:r>
        <w:rPr>
          <w:rFonts w:hint="default" w:ascii="Times New Roman" w:hAnsi="Times New Roman" w:eastAsia="黑体" w:cs="Times New Roman"/>
          <w:color w:val="auto"/>
          <w:sz w:val="24"/>
          <w:highlight w:val="none"/>
        </w:rPr>
        <w:t>计量周期</w:t>
      </w:r>
    </w:p>
    <w:p w14:paraId="142C97B8">
      <w:pPr>
        <w:pageBreakBefore w:val="0"/>
        <w:kinsoku/>
        <w:wordWrap w:val="0"/>
        <w:bidi w:val="0"/>
        <w:spacing w:line="400" w:lineRule="atLeast"/>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除专用合同条款另有约定外，单价子目已完成工程量按月计量，总价子目的计量周期按批准的支付分解报告确定。</w:t>
      </w:r>
    </w:p>
    <w:p w14:paraId="612DD1EA">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17.1.4</w:t>
      </w:r>
      <w:r>
        <w:rPr>
          <w:rFonts w:hint="default" w:ascii="Times New Roman" w:hAnsi="Times New Roman" w:eastAsia="黑体" w:cs="Times New Roman"/>
          <w:color w:val="auto"/>
          <w:sz w:val="24"/>
          <w:highlight w:val="none"/>
        </w:rPr>
        <w:t>单价子目的计量</w:t>
      </w:r>
    </w:p>
    <w:p w14:paraId="2946069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（1）已标价工程量清单中的单价子目工程量为估算工程量。结算工程量是承包人实际完成的，并按合同约定的计量方法进行计量的工程量。</w:t>
      </w:r>
    </w:p>
    <w:p w14:paraId="458AF9F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（2）承包人对已完成的工程进行计量，向监理人提交进度付款申请单、已完成工程量报表和有关计量资料。</w:t>
      </w:r>
    </w:p>
    <w:p w14:paraId="3C2A4A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5794A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（4）监理人认为有必要时，可通知承包人共同进行联合测量、计量，承包人应遵照执行。</w:t>
      </w:r>
    </w:p>
    <w:p w14:paraId="512C0D7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7088D9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03907C61">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17.1.5</w:t>
      </w:r>
      <w:r>
        <w:rPr>
          <w:rFonts w:hint="default" w:ascii="Times New Roman" w:hAnsi="Times New Roman" w:eastAsia="黑体" w:cs="Times New Roman"/>
          <w:color w:val="auto"/>
          <w:sz w:val="24"/>
          <w:highlight w:val="none"/>
        </w:rPr>
        <w:t>总价子目的计量</w:t>
      </w:r>
    </w:p>
    <w:p w14:paraId="021A391C">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除专用合同条款另有约定外，总价子目的分解和计量按照下述约定进行。</w:t>
      </w:r>
    </w:p>
    <w:p w14:paraId="776D039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（1）总价子目的计量和支付应以总价为基础，不因第16.1款中的因素而进行调整。承包人实际完成的工程量，是进行工程目标管理和控制进度支付的依据。</w:t>
      </w:r>
    </w:p>
    <w:p w14:paraId="2937D51B">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66B069B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（3）监理人对承包人提交的上述资料进行复核，以确定分阶段实际完成的工程量和工程形象目标。对其有异议的，可要求承包人按第8.2款约定进行共同复核和抽样复测。</w:t>
      </w:r>
    </w:p>
    <w:p w14:paraId="20F2E71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（4）除按照第15条约定的变更外，总价子目的工程量是承包人用于结算的最终工程量。</w:t>
      </w:r>
    </w:p>
    <w:p w14:paraId="3A65B36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53" w:name="_Toc28011"/>
      <w:bookmarkStart w:id="854" w:name="_Toc234833076"/>
      <w:bookmarkStart w:id="855" w:name="_Toc16552"/>
      <w:bookmarkStart w:id="856" w:name="_Toc28845"/>
      <w:r>
        <w:rPr>
          <w:rFonts w:hint="default" w:ascii="Times New Roman" w:hAnsi="Times New Roman" w:eastAsia="黑体" w:cs="Times New Roman"/>
          <w:b w:val="0"/>
          <w:color w:val="auto"/>
          <w:sz w:val="24"/>
          <w:szCs w:val="24"/>
          <w:highlight w:val="none"/>
        </w:rPr>
        <w:t>17.2预付款</w:t>
      </w:r>
      <w:bookmarkEnd w:id="853"/>
      <w:bookmarkEnd w:id="854"/>
      <w:bookmarkEnd w:id="855"/>
      <w:bookmarkEnd w:id="856"/>
    </w:p>
    <w:p w14:paraId="7CC1BB2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17.2.1</w:t>
      </w:r>
      <w:r>
        <w:rPr>
          <w:rFonts w:hint="default" w:ascii="Times New Roman" w:hAnsi="Times New Roman" w:eastAsia="黑体" w:cs="Times New Roman"/>
          <w:color w:val="auto"/>
          <w:sz w:val="24"/>
          <w:highlight w:val="none"/>
        </w:rPr>
        <w:t>预付款</w:t>
      </w:r>
    </w:p>
    <w:p w14:paraId="25FA72C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50BF36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17.2.2</w:t>
      </w:r>
      <w:r>
        <w:rPr>
          <w:rFonts w:hint="default" w:ascii="Times New Roman" w:hAnsi="Times New Roman" w:eastAsia="黑体" w:cs="Times New Roman"/>
          <w:color w:val="auto"/>
          <w:sz w:val="24"/>
          <w:highlight w:val="none"/>
        </w:rPr>
        <w:t>预付款保函</w:t>
      </w:r>
    </w:p>
    <w:p w14:paraId="0A8ED59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51527674">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17.2.3</w:t>
      </w:r>
      <w:r>
        <w:rPr>
          <w:rFonts w:hint="default" w:ascii="Times New Roman" w:hAnsi="Times New Roman" w:eastAsia="黑体" w:cs="Times New Roman"/>
          <w:color w:val="auto"/>
          <w:sz w:val="24"/>
          <w:highlight w:val="none"/>
        </w:rPr>
        <w:t>预付款的扣回与还清</w:t>
      </w:r>
    </w:p>
    <w:p w14:paraId="6EC110C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5967F0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57" w:name="_Toc7717"/>
      <w:bookmarkStart w:id="858" w:name="_Toc234833077"/>
      <w:bookmarkStart w:id="859" w:name="_Toc20532"/>
      <w:bookmarkStart w:id="860" w:name="_Toc26397"/>
      <w:r>
        <w:rPr>
          <w:rFonts w:hint="default" w:ascii="Times New Roman" w:hAnsi="Times New Roman" w:eastAsia="黑体" w:cs="Times New Roman"/>
          <w:b w:val="0"/>
          <w:color w:val="auto"/>
          <w:sz w:val="24"/>
          <w:szCs w:val="24"/>
          <w:highlight w:val="none"/>
        </w:rPr>
        <w:t>17.3工程进度付款</w:t>
      </w:r>
      <w:bookmarkEnd w:id="857"/>
      <w:bookmarkEnd w:id="858"/>
      <w:bookmarkEnd w:id="859"/>
      <w:bookmarkEnd w:id="860"/>
    </w:p>
    <w:p w14:paraId="28B0B6C8">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17.3.1</w:t>
      </w:r>
      <w:r>
        <w:rPr>
          <w:rFonts w:hint="default" w:ascii="Times New Roman" w:hAnsi="Times New Roman" w:eastAsia="黑体" w:cs="Times New Roman"/>
          <w:color w:val="auto"/>
          <w:sz w:val="24"/>
          <w:highlight w:val="none"/>
        </w:rPr>
        <w:t>付款周期</w:t>
      </w:r>
    </w:p>
    <w:p w14:paraId="06070799">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付款周期同计量周期。</w:t>
      </w:r>
    </w:p>
    <w:p w14:paraId="5E091D94">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17.3.2</w:t>
      </w:r>
      <w:r>
        <w:rPr>
          <w:rFonts w:hint="default" w:ascii="Times New Roman" w:hAnsi="Times New Roman" w:eastAsia="黑体" w:cs="Times New Roman"/>
          <w:color w:val="auto"/>
          <w:sz w:val="24"/>
          <w:highlight w:val="none"/>
        </w:rPr>
        <w:t>进度付款申请单</w:t>
      </w:r>
    </w:p>
    <w:p w14:paraId="66F5E86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42B40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（1）截至本次付款周期末已实施工程的价款；</w:t>
      </w:r>
    </w:p>
    <w:p w14:paraId="78A0E3AD">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（2）根据第15条应增加和扣减的变更金额；</w:t>
      </w:r>
    </w:p>
    <w:p w14:paraId="08D648F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（3）根据第23条应增加和扣减的索赔金额；</w:t>
      </w:r>
    </w:p>
    <w:p w14:paraId="25E4C99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（4）根据第17.2款约定应支付的预付款和扣减的返还预付款；</w:t>
      </w:r>
    </w:p>
    <w:p w14:paraId="6622DAE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（5）根据第17.4.1项约定应扣减的质量保证金；</w:t>
      </w:r>
    </w:p>
    <w:p w14:paraId="25A0EC7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（6）根据合同应增加和扣减的其他金额。</w:t>
      </w:r>
    </w:p>
    <w:p w14:paraId="35BF3782">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17.3.3</w:t>
      </w:r>
      <w:r>
        <w:rPr>
          <w:rFonts w:hint="default" w:ascii="Times New Roman" w:hAnsi="Times New Roman" w:eastAsia="黑体" w:cs="Times New Roman"/>
          <w:color w:val="auto"/>
          <w:sz w:val="24"/>
          <w:highlight w:val="none"/>
        </w:rPr>
        <w:t>进度付款证书和支付时间</w:t>
      </w:r>
    </w:p>
    <w:p w14:paraId="7079192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BBF13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（2）发包人应在监理人收到进度付款申请单后的28天内，将进度应付款支付给承包人。发包人不按期支付的，按专用合同条款的约定支付逾期付款违约金。</w:t>
      </w:r>
    </w:p>
    <w:p w14:paraId="0BEEB9A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（3）监理人出具进度付款证书，不应视为监理人已同意、批准或接受了承包人完成的该部分工作。</w:t>
      </w:r>
    </w:p>
    <w:p w14:paraId="6FCFE99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（4）进度付款涉及政府投资资金的，按照国库集中支付等国家相关规定和专用合同条款的约定办理。</w:t>
      </w:r>
    </w:p>
    <w:p w14:paraId="741FFE1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17.3.4</w:t>
      </w:r>
      <w:r>
        <w:rPr>
          <w:rFonts w:hint="default" w:ascii="Times New Roman" w:hAnsi="Times New Roman" w:eastAsia="黑体" w:cs="Times New Roman"/>
          <w:color w:val="auto"/>
          <w:sz w:val="24"/>
          <w:highlight w:val="none"/>
        </w:rPr>
        <w:t>工程进度付款的修正</w:t>
      </w:r>
    </w:p>
    <w:p w14:paraId="481447A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2FB6BAD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61" w:name="_Toc10469"/>
      <w:bookmarkStart w:id="862" w:name="_Toc2545"/>
      <w:bookmarkStart w:id="863" w:name="_Toc30905"/>
      <w:bookmarkStart w:id="864" w:name="_Toc234833078"/>
      <w:r>
        <w:rPr>
          <w:rFonts w:hint="default" w:ascii="Times New Roman" w:hAnsi="Times New Roman" w:eastAsia="黑体" w:cs="Times New Roman"/>
          <w:b w:val="0"/>
          <w:color w:val="auto"/>
          <w:sz w:val="24"/>
          <w:szCs w:val="24"/>
          <w:highlight w:val="none"/>
        </w:rPr>
        <w:t>17.4质量保证金</w:t>
      </w:r>
      <w:bookmarkEnd w:id="861"/>
      <w:bookmarkEnd w:id="862"/>
      <w:bookmarkEnd w:id="863"/>
      <w:bookmarkEnd w:id="864"/>
    </w:p>
    <w:p w14:paraId="6CCA1F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17.4.1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78955F8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17.4.2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178EFE4">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17.4.3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31345A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65" w:name="_Toc234833079"/>
      <w:bookmarkStart w:id="866" w:name="_Toc26619"/>
      <w:bookmarkStart w:id="867" w:name="_Toc9754"/>
      <w:bookmarkStart w:id="868" w:name="_Toc23313"/>
      <w:r>
        <w:rPr>
          <w:rFonts w:hint="default" w:ascii="Times New Roman" w:hAnsi="Times New Roman" w:eastAsia="黑体" w:cs="Times New Roman"/>
          <w:b w:val="0"/>
          <w:color w:val="auto"/>
          <w:sz w:val="24"/>
          <w:szCs w:val="24"/>
          <w:highlight w:val="none"/>
        </w:rPr>
        <w:t>17.5竣工结算</w:t>
      </w:r>
      <w:bookmarkEnd w:id="865"/>
      <w:bookmarkEnd w:id="866"/>
      <w:bookmarkEnd w:id="867"/>
      <w:bookmarkEnd w:id="868"/>
    </w:p>
    <w:p w14:paraId="31ECABC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17.5.1</w:t>
      </w:r>
      <w:r>
        <w:rPr>
          <w:rFonts w:hint="default" w:ascii="Times New Roman" w:hAnsi="Times New Roman" w:eastAsia="黑体" w:cs="Times New Roman"/>
          <w:color w:val="auto"/>
          <w:sz w:val="24"/>
          <w:highlight w:val="none"/>
        </w:rPr>
        <w:t>竣工付款申请单</w:t>
      </w:r>
    </w:p>
    <w:p w14:paraId="5D1F1A5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3F6EA2E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（2）监理人对竣工付款申请单有异议的，有权要求承包人进行修正和提供补充资料。经监理人和承包人协商后，由承包人向监理人提交修正后的竣工付款申请单。</w:t>
      </w:r>
    </w:p>
    <w:p w14:paraId="55EAB5A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17.5.2</w:t>
      </w:r>
      <w:r>
        <w:rPr>
          <w:rFonts w:hint="default" w:ascii="Times New Roman" w:hAnsi="Times New Roman" w:eastAsia="黑体" w:cs="Times New Roman"/>
          <w:color w:val="auto"/>
          <w:sz w:val="24"/>
          <w:highlight w:val="none"/>
        </w:rPr>
        <w:t>竣工付款证书及支付时间</w:t>
      </w:r>
    </w:p>
    <w:p w14:paraId="4F9F6D74">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0D20CB2A">
      <w:pPr>
        <w:pageBreakBefore w:val="0"/>
        <w:kinsoku/>
        <w:wordWrap w:val="0"/>
        <w:bidi w:val="0"/>
        <w:spacing w:line="400" w:lineRule="atLeast"/>
        <w:ind w:firstLine="6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（2）发包人应在监理人出具竣工付款证书后的14天内，将应支付款支付给承包人。发包人不按期支付的，按第17.3.3（2）目的约定，将逾期付款违约金支付给承包人。</w:t>
      </w:r>
    </w:p>
    <w:p w14:paraId="5E38CC33">
      <w:pPr>
        <w:pageBreakBefore w:val="0"/>
        <w:kinsoku/>
        <w:wordWrap w:val="0"/>
        <w:bidi w:val="0"/>
        <w:spacing w:line="400" w:lineRule="atLeast"/>
        <w:ind w:firstLine="6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（3）承包人对发包人签认的竣工付款证书有异议的，发包人可出具竣工付款申请单中承包人已同意部分的临时付款证书。存在争议的部分，按第24条的约定办理。</w:t>
      </w:r>
    </w:p>
    <w:p w14:paraId="4A661219">
      <w:pPr>
        <w:pageBreakBefore w:val="0"/>
        <w:kinsoku/>
        <w:wordWrap w:val="0"/>
        <w:bidi w:val="0"/>
        <w:spacing w:line="400" w:lineRule="atLeast"/>
        <w:ind w:firstLine="6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（4）竣工付款涉及政府投资资金的，按第17.3.3（4）目的约定办理。</w:t>
      </w:r>
    </w:p>
    <w:p w14:paraId="67002C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69" w:name="_Toc1613"/>
      <w:bookmarkStart w:id="870" w:name="_Toc3447"/>
      <w:bookmarkStart w:id="871" w:name="_Toc4427"/>
      <w:bookmarkStart w:id="872" w:name="_Toc234833080"/>
      <w:r>
        <w:rPr>
          <w:rFonts w:hint="default" w:ascii="Times New Roman" w:hAnsi="Times New Roman" w:eastAsia="黑体" w:cs="Times New Roman"/>
          <w:b w:val="0"/>
          <w:color w:val="auto"/>
          <w:sz w:val="24"/>
          <w:szCs w:val="24"/>
          <w:highlight w:val="none"/>
        </w:rPr>
        <w:t>17.6最终结清</w:t>
      </w:r>
      <w:bookmarkEnd w:id="869"/>
      <w:bookmarkEnd w:id="870"/>
      <w:bookmarkEnd w:id="871"/>
      <w:bookmarkEnd w:id="872"/>
    </w:p>
    <w:p w14:paraId="4EE9008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17.6.1</w:t>
      </w:r>
      <w:r>
        <w:rPr>
          <w:rFonts w:hint="default" w:ascii="Times New Roman" w:hAnsi="Times New Roman" w:eastAsia="黑体" w:cs="Times New Roman"/>
          <w:color w:val="auto"/>
          <w:sz w:val="24"/>
          <w:highlight w:val="none"/>
        </w:rPr>
        <w:t>最终结清申请单</w:t>
      </w:r>
    </w:p>
    <w:p w14:paraId="36BE307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（1）缺陷责任期终止证书签发后，承包人可按专用合同条款约定的份数和期限向监理人提交最终结清申请单，并提供相关证明材料。</w:t>
      </w:r>
    </w:p>
    <w:p w14:paraId="612536B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（2）发包人对最终结清申请单内容有异议的，有权要求承包人进行修正和提供补充资料，由承包人向监理人提交修正后的最终结清申请单。</w:t>
      </w:r>
    </w:p>
    <w:p w14:paraId="11C6E37A">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17.6.2</w:t>
      </w:r>
      <w:r>
        <w:rPr>
          <w:rFonts w:hint="default" w:ascii="Times New Roman" w:hAnsi="Times New Roman" w:eastAsia="黑体" w:cs="Times New Roman"/>
          <w:color w:val="auto"/>
          <w:sz w:val="24"/>
          <w:highlight w:val="none"/>
        </w:rPr>
        <w:t>最终结清证书和支付时间</w:t>
      </w:r>
    </w:p>
    <w:p w14:paraId="086E4AD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13EAE51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（2）发包人应在监理人出具最终结清证书后的14天内，将应支付款支付给承包人。发包人不按期支付的，按第17.3.3（2）目的约定，将逾期付款违约金支付给承包人。</w:t>
      </w:r>
    </w:p>
    <w:p w14:paraId="04FBDE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（3）承包人对发包人签认的最终结清证书有异议的，按第24条的约定办理。</w:t>
      </w:r>
    </w:p>
    <w:p w14:paraId="2A096F7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（4）最终结清付款涉及政府投资资金的，按第17.3.3（4）目的约定办理。</w:t>
      </w:r>
    </w:p>
    <w:p w14:paraId="340F40B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873" w:name="_Toc234833081"/>
      <w:bookmarkStart w:id="874" w:name="_Toc1653"/>
      <w:bookmarkStart w:id="875" w:name="_Toc13751"/>
      <w:bookmarkStart w:id="876" w:name="_Toc31279"/>
      <w:r>
        <w:rPr>
          <w:rFonts w:hint="default" w:ascii="Times New Roman" w:hAnsi="Times New Roman" w:eastAsia="黑体" w:cs="Times New Roman"/>
          <w:b w:val="0"/>
          <w:color w:val="auto"/>
          <w:sz w:val="28"/>
          <w:szCs w:val="28"/>
          <w:highlight w:val="none"/>
        </w:rPr>
        <w:t>18.竣工验收</w:t>
      </w:r>
      <w:bookmarkEnd w:id="873"/>
      <w:bookmarkEnd w:id="874"/>
      <w:bookmarkEnd w:id="875"/>
      <w:bookmarkEnd w:id="876"/>
    </w:p>
    <w:p w14:paraId="639FDFB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77" w:name="_Toc234833082"/>
      <w:bookmarkStart w:id="878" w:name="_Toc10071"/>
      <w:bookmarkStart w:id="879" w:name="_Toc14256"/>
      <w:bookmarkStart w:id="880" w:name="_Toc11052"/>
      <w:r>
        <w:rPr>
          <w:rFonts w:hint="default" w:ascii="Times New Roman" w:hAnsi="Times New Roman" w:eastAsia="黑体" w:cs="Times New Roman"/>
          <w:b w:val="0"/>
          <w:color w:val="auto"/>
          <w:sz w:val="24"/>
          <w:szCs w:val="24"/>
          <w:highlight w:val="none"/>
        </w:rPr>
        <w:t>18.1竣工验收的含义</w:t>
      </w:r>
      <w:bookmarkEnd w:id="877"/>
      <w:bookmarkEnd w:id="878"/>
      <w:bookmarkEnd w:id="879"/>
      <w:bookmarkEnd w:id="880"/>
    </w:p>
    <w:p w14:paraId="61077F6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18.1.1竣工验收指承包人完成了全部合同工作后，发包人按合同要求进行的验收。</w:t>
      </w:r>
    </w:p>
    <w:p w14:paraId="7EFD7B5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18.1.2国家验收是政府有关部门根据法律、规范、规程和政策要求，针对发包人全面组织实施的整个工程正式交付投运前的验收。</w:t>
      </w:r>
    </w:p>
    <w:p w14:paraId="471C8EF9">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18.1.3需要进行国家验收的，竣工验收是国家验收的一部分。竣工验收所采用的各项验收和评定标准应符合国家验收标准。发包人和承包人为竣工验收提供的各项竣工验收资料应符合国家验收的要求。</w:t>
      </w:r>
    </w:p>
    <w:p w14:paraId="3EA8B6E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81" w:name="_Toc234833083"/>
      <w:bookmarkStart w:id="882" w:name="_Toc25249"/>
      <w:bookmarkStart w:id="883" w:name="_Toc11221"/>
      <w:bookmarkStart w:id="884" w:name="_Toc9365"/>
      <w:r>
        <w:rPr>
          <w:rFonts w:hint="default" w:ascii="Times New Roman" w:hAnsi="Times New Roman" w:eastAsia="黑体" w:cs="Times New Roman"/>
          <w:b w:val="0"/>
          <w:color w:val="auto"/>
          <w:sz w:val="24"/>
          <w:szCs w:val="24"/>
          <w:highlight w:val="none"/>
        </w:rPr>
        <w:t>18.2竣工验收申请报告</w:t>
      </w:r>
      <w:bookmarkEnd w:id="881"/>
      <w:bookmarkEnd w:id="882"/>
      <w:bookmarkEnd w:id="883"/>
      <w:bookmarkEnd w:id="884"/>
    </w:p>
    <w:p w14:paraId="1EBF23F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当工程具备以下条件时，承包人即可向监理人报送竣工验收申请报告：</w:t>
      </w:r>
    </w:p>
    <w:p w14:paraId="3D61D4F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2EADE62B">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（2）已按合同约定的内容和份数备齐了符合要求的竣工资料；</w:t>
      </w:r>
    </w:p>
    <w:p w14:paraId="0498FA5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（3）已按监理人的要求编制了在缺陷责任期内完成的尾工（甩项）工程和缺陷修补工作清单以及相应施工计划；</w:t>
      </w:r>
    </w:p>
    <w:p w14:paraId="4C187E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（4）监理人要求在竣工验收前应完成的其他工作；</w:t>
      </w:r>
    </w:p>
    <w:p w14:paraId="3781E67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（5）监理人要求提交的竣工验收资料清单。</w:t>
      </w:r>
    </w:p>
    <w:p w14:paraId="5ADE14F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85" w:name="_Toc18269"/>
      <w:bookmarkStart w:id="886" w:name="_Toc234833084"/>
      <w:bookmarkStart w:id="887" w:name="_Toc25904"/>
      <w:bookmarkStart w:id="888" w:name="_Toc11295"/>
      <w:r>
        <w:rPr>
          <w:rFonts w:hint="default" w:ascii="Times New Roman" w:hAnsi="Times New Roman" w:eastAsia="黑体" w:cs="Times New Roman"/>
          <w:b w:val="0"/>
          <w:color w:val="auto"/>
          <w:sz w:val="24"/>
          <w:szCs w:val="24"/>
          <w:highlight w:val="none"/>
        </w:rPr>
        <w:t>18.3验收</w:t>
      </w:r>
      <w:bookmarkEnd w:id="885"/>
      <w:bookmarkEnd w:id="886"/>
      <w:bookmarkEnd w:id="887"/>
      <w:bookmarkEnd w:id="888"/>
    </w:p>
    <w:p w14:paraId="46B2E25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监理人收到承包人按第18.2款约定提交的竣工验收申请报告后，应审查申请报告的各项内容，并按以下不同情况进行处理。</w:t>
      </w:r>
    </w:p>
    <w:p w14:paraId="24D04DD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18.3.1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8089AB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18.3.2监理人审查后认为已具备竣工验收条件的，应在收到竣工验收申请报告后的28天内提请发包人进行工程验收。</w:t>
      </w:r>
    </w:p>
    <w:p w14:paraId="573CDC6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1D89D0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18.3.4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801F57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18.3.5除专用合同条款另有约定外，经验收合格工程的实际竣工日期，以提交竣工验收申请报告的日期为准，并在工程接收证书中写明。</w:t>
      </w:r>
    </w:p>
    <w:p w14:paraId="4BF4C9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18.3.6发包人在收到承包人竣工验收申请报告56天后未进行验收的，视为验收合格，实际竣工日期以提交竣工验收申请报告的日期为准，但发包人由于不可抗力不能进行验收的除外。</w:t>
      </w:r>
    </w:p>
    <w:p w14:paraId="63F21DF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89" w:name="_Toc11852"/>
      <w:bookmarkStart w:id="890" w:name="_Toc7791"/>
      <w:bookmarkStart w:id="891" w:name="_Toc234833085"/>
      <w:bookmarkStart w:id="892" w:name="_Toc21157"/>
      <w:r>
        <w:rPr>
          <w:rFonts w:hint="default" w:ascii="Times New Roman" w:hAnsi="Times New Roman" w:eastAsia="黑体" w:cs="Times New Roman"/>
          <w:b w:val="0"/>
          <w:color w:val="auto"/>
          <w:sz w:val="24"/>
          <w:szCs w:val="24"/>
          <w:highlight w:val="none"/>
        </w:rPr>
        <w:t>18.4单位工程验收</w:t>
      </w:r>
      <w:bookmarkEnd w:id="889"/>
      <w:bookmarkEnd w:id="890"/>
      <w:bookmarkEnd w:id="891"/>
      <w:bookmarkEnd w:id="892"/>
    </w:p>
    <w:p w14:paraId="5FADC80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18.4.1</w:t>
      </w:r>
      <w:r>
        <w:rPr>
          <w:rFonts w:hint="default" w:ascii="Times New Roman" w:hAnsi="Times New Roman" w:cs="Times New Roman"/>
          <w:color w:val="auto"/>
          <w:sz w:val="24"/>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CC7E6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18.4.2发包人在全部工程竣工前，使用已接收的单位工程导致承包人费用增加的，发包人应承担由此增加的费用和（或）工期延误，并支付承包人合理利润。</w:t>
      </w:r>
    </w:p>
    <w:p w14:paraId="557EEE2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93" w:name="_Toc28198"/>
      <w:bookmarkStart w:id="894" w:name="_Toc234833086"/>
      <w:bookmarkStart w:id="895" w:name="_Toc28737"/>
      <w:bookmarkStart w:id="896" w:name="_Toc15835"/>
      <w:r>
        <w:rPr>
          <w:rFonts w:hint="default" w:ascii="Times New Roman" w:hAnsi="Times New Roman" w:eastAsia="黑体" w:cs="Times New Roman"/>
          <w:b w:val="0"/>
          <w:color w:val="auto"/>
          <w:sz w:val="24"/>
          <w:szCs w:val="24"/>
          <w:highlight w:val="none"/>
        </w:rPr>
        <w:t>18.5施工期运行</w:t>
      </w:r>
      <w:bookmarkEnd w:id="893"/>
      <w:bookmarkEnd w:id="894"/>
      <w:bookmarkEnd w:id="895"/>
      <w:bookmarkEnd w:id="896"/>
    </w:p>
    <w:p w14:paraId="319D309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18.5.1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178A0C3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18.5.2在施工期运行中发现工程或工程设备损坏或存在缺陷的，由承包人按第19.2款约定进行修复。</w:t>
      </w:r>
    </w:p>
    <w:p w14:paraId="3BEC3B7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97" w:name="_Toc19050"/>
      <w:bookmarkStart w:id="898" w:name="_Toc27512"/>
      <w:bookmarkStart w:id="899" w:name="_Toc21844"/>
      <w:bookmarkStart w:id="900" w:name="_Toc234833087"/>
      <w:r>
        <w:rPr>
          <w:rFonts w:hint="default" w:ascii="Times New Roman" w:hAnsi="Times New Roman" w:eastAsia="黑体" w:cs="Times New Roman"/>
          <w:b w:val="0"/>
          <w:color w:val="auto"/>
          <w:sz w:val="24"/>
          <w:szCs w:val="24"/>
          <w:highlight w:val="none"/>
        </w:rPr>
        <w:t>18.6试运行</w:t>
      </w:r>
      <w:bookmarkEnd w:id="897"/>
      <w:bookmarkEnd w:id="898"/>
      <w:bookmarkEnd w:id="899"/>
      <w:bookmarkEnd w:id="900"/>
    </w:p>
    <w:p w14:paraId="6A248B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18.6.1除专用合同条款另有约定外，承包人应按专用合同条款约定进行工程及工程设备试运行，负责提供试运行所需的人员、器材和必要的条件，并承担全部试运行费用。</w:t>
      </w:r>
    </w:p>
    <w:p w14:paraId="0F0084DB">
      <w:pPr>
        <w:pageBreakBefore w:val="0"/>
        <w:kinsoku/>
        <w:wordWrap w:val="0"/>
        <w:bidi w:val="0"/>
        <w:spacing w:line="400" w:lineRule="atLeast"/>
        <w:ind w:firstLine="480" w:firstLineChars="200"/>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11DF0F2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01" w:name="_Toc14071"/>
      <w:bookmarkStart w:id="902" w:name="_Toc22550"/>
      <w:bookmarkStart w:id="903" w:name="_Toc13521"/>
      <w:bookmarkStart w:id="904" w:name="_Toc234833088"/>
      <w:r>
        <w:rPr>
          <w:rFonts w:hint="default" w:ascii="Times New Roman" w:hAnsi="Times New Roman" w:eastAsia="黑体" w:cs="Times New Roman"/>
          <w:b w:val="0"/>
          <w:color w:val="auto"/>
          <w:sz w:val="24"/>
          <w:szCs w:val="24"/>
          <w:highlight w:val="none"/>
        </w:rPr>
        <w:t>18.7竣工清场</w:t>
      </w:r>
      <w:bookmarkEnd w:id="901"/>
      <w:bookmarkEnd w:id="902"/>
      <w:bookmarkEnd w:id="903"/>
      <w:bookmarkEnd w:id="904"/>
    </w:p>
    <w:p w14:paraId="623250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18.7.1除合同另有约定外，工程接收证书颁发后，承包人应按以下要求对施工场地进行清理，直至监理人检验合格为止。竣工清场费用由承包人承担。</w:t>
      </w:r>
    </w:p>
    <w:p w14:paraId="74ACF30C">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（1）施工场地内残留的垃圾已全部清除出场；</w:t>
      </w:r>
    </w:p>
    <w:p w14:paraId="2F3EDEA7">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（2）临时工程已拆除，场地已按合同要求进行清理、平整或复原；</w:t>
      </w:r>
    </w:p>
    <w:p w14:paraId="699CD41F">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（3）按合同约定应撤离的承包人设备和剩余的材料，包括废弃的施工设备和材料，已按计划撤离施工场地；</w:t>
      </w:r>
    </w:p>
    <w:p w14:paraId="1B2FC8B5">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（4）工程建筑物周边及其附近道路、河道的施工堆积物，已按监理人指示全部清理；</w:t>
      </w:r>
    </w:p>
    <w:p w14:paraId="3351419E">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（5）监理人指示的其他场地清理工作已全部完成。</w:t>
      </w:r>
    </w:p>
    <w:p w14:paraId="3AEEACE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18.7.2承包人未按监理人的要求恢复临时占地，或者场地清理未达到合同约定的，发包人有权委托其他人恢复或清理，所发生的金额从拟支付给承包人的款项中扣除。</w:t>
      </w:r>
    </w:p>
    <w:p w14:paraId="5FE22C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05" w:name="_Toc14033"/>
      <w:bookmarkStart w:id="906" w:name="_Toc234833089"/>
      <w:bookmarkStart w:id="907" w:name="_Toc5042"/>
      <w:bookmarkStart w:id="908" w:name="_Toc23526"/>
      <w:r>
        <w:rPr>
          <w:rFonts w:hint="default" w:ascii="Times New Roman" w:hAnsi="Times New Roman" w:eastAsia="黑体" w:cs="Times New Roman"/>
          <w:b w:val="0"/>
          <w:color w:val="auto"/>
          <w:sz w:val="24"/>
          <w:szCs w:val="24"/>
          <w:highlight w:val="none"/>
        </w:rPr>
        <w:t>18.8施工队伍的撤离</w:t>
      </w:r>
      <w:bookmarkEnd w:id="905"/>
      <w:bookmarkEnd w:id="906"/>
      <w:bookmarkEnd w:id="907"/>
      <w:bookmarkEnd w:id="908"/>
    </w:p>
    <w:p w14:paraId="3227E8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531121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09" w:name="_Toc11982"/>
      <w:bookmarkStart w:id="910" w:name="_Toc2492"/>
      <w:bookmarkStart w:id="911" w:name="_Toc2434"/>
      <w:bookmarkStart w:id="912" w:name="_Toc234833090"/>
      <w:r>
        <w:rPr>
          <w:rFonts w:hint="default" w:ascii="Times New Roman" w:hAnsi="Times New Roman" w:eastAsia="黑体" w:cs="Times New Roman"/>
          <w:b w:val="0"/>
          <w:color w:val="auto"/>
          <w:sz w:val="28"/>
          <w:szCs w:val="28"/>
          <w:highlight w:val="none"/>
        </w:rPr>
        <w:t>19.缺陷责任与保修责任</w:t>
      </w:r>
      <w:bookmarkEnd w:id="909"/>
      <w:bookmarkEnd w:id="910"/>
      <w:bookmarkEnd w:id="911"/>
      <w:bookmarkEnd w:id="912"/>
    </w:p>
    <w:p w14:paraId="54FE2C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13" w:name="_Toc21347"/>
      <w:bookmarkStart w:id="914" w:name="_Toc28348"/>
      <w:bookmarkStart w:id="915" w:name="_Toc234833091"/>
      <w:bookmarkStart w:id="916" w:name="_Toc26824"/>
      <w:r>
        <w:rPr>
          <w:rFonts w:hint="default" w:ascii="Times New Roman" w:hAnsi="Times New Roman" w:eastAsia="黑体" w:cs="Times New Roman"/>
          <w:b w:val="0"/>
          <w:color w:val="auto"/>
          <w:sz w:val="24"/>
          <w:szCs w:val="24"/>
          <w:highlight w:val="none"/>
        </w:rPr>
        <w:t>19.1缺陷责任期的起算时间</w:t>
      </w:r>
      <w:bookmarkEnd w:id="913"/>
      <w:bookmarkEnd w:id="914"/>
      <w:bookmarkEnd w:id="915"/>
      <w:bookmarkEnd w:id="916"/>
    </w:p>
    <w:p w14:paraId="1ED3CD6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缺陷责任期自实际竣工日期起计算。在全部工程竣工验收前，已经发包人提前验收的单位工程，其缺陷责任期的起算日期相应提前。</w:t>
      </w:r>
    </w:p>
    <w:p w14:paraId="4B8765E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17" w:name="_Toc23702"/>
      <w:bookmarkStart w:id="918" w:name="_Toc17874"/>
      <w:bookmarkStart w:id="919" w:name="_Toc234833092"/>
      <w:bookmarkStart w:id="920" w:name="_Toc18931"/>
      <w:r>
        <w:rPr>
          <w:rFonts w:hint="default" w:ascii="Times New Roman" w:hAnsi="Times New Roman" w:eastAsia="黑体" w:cs="Times New Roman"/>
          <w:b w:val="0"/>
          <w:color w:val="auto"/>
          <w:sz w:val="24"/>
          <w:szCs w:val="24"/>
          <w:highlight w:val="none"/>
        </w:rPr>
        <w:t>19.2缺陷责任</w:t>
      </w:r>
      <w:bookmarkEnd w:id="917"/>
      <w:bookmarkEnd w:id="918"/>
      <w:bookmarkEnd w:id="919"/>
      <w:bookmarkEnd w:id="920"/>
    </w:p>
    <w:p w14:paraId="1148CCB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19.2.1承包人应在缺陷责任期内对已交付使用的工程承担缺陷责任。</w:t>
      </w:r>
    </w:p>
    <w:p w14:paraId="37EB852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19.2.2缺陷责任期内，发包人对已接收使用的工程负责日常维护工作。发包人在使用过程中，发现已接收的工程存在新的缺陷或已修复的缺陷部位或部件又遭损坏的，承包人应负责修复，直至检验合格为止。</w:t>
      </w:r>
    </w:p>
    <w:p w14:paraId="3FF8DCB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19.2.3监理人和承包人应共同查清缺陷和（或）损坏的原因。经查明属承包人原因造成的，应由承包人承担修复和查验的费用。经查验属发包人原因造成的，发包人应承担修复和查验的费用，并支付承包人合理利润。</w:t>
      </w:r>
    </w:p>
    <w:p w14:paraId="6F5071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19.2.4承包人不能在合理时间内修复缺陷的，发包人可自行修复或委托其他人修复，所需费用和利润的承担，按第19.2.3项约定办理。</w:t>
      </w:r>
    </w:p>
    <w:p w14:paraId="4A9E44C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21" w:name="_Toc4363"/>
      <w:bookmarkStart w:id="922" w:name="_Toc28473"/>
      <w:bookmarkStart w:id="923" w:name="_Toc26044"/>
      <w:bookmarkStart w:id="924" w:name="_Toc234833093"/>
      <w:r>
        <w:rPr>
          <w:rFonts w:hint="default" w:ascii="Times New Roman" w:hAnsi="Times New Roman" w:eastAsia="黑体" w:cs="Times New Roman"/>
          <w:b w:val="0"/>
          <w:color w:val="auto"/>
          <w:sz w:val="24"/>
          <w:szCs w:val="24"/>
          <w:highlight w:val="none"/>
        </w:rPr>
        <w:t>19.3缺陷责任期的延长</w:t>
      </w:r>
      <w:bookmarkEnd w:id="921"/>
      <w:bookmarkEnd w:id="922"/>
      <w:bookmarkEnd w:id="923"/>
      <w:bookmarkEnd w:id="924"/>
    </w:p>
    <w:p w14:paraId="0DFFD4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5A5A2C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25" w:name="_Toc15365"/>
      <w:bookmarkStart w:id="926" w:name="_Toc10764"/>
      <w:bookmarkStart w:id="927" w:name="_Toc722"/>
      <w:bookmarkStart w:id="928" w:name="_Toc234833094"/>
      <w:r>
        <w:rPr>
          <w:rFonts w:hint="default" w:ascii="Times New Roman" w:hAnsi="Times New Roman" w:eastAsia="黑体" w:cs="Times New Roman"/>
          <w:b w:val="0"/>
          <w:color w:val="auto"/>
          <w:sz w:val="24"/>
          <w:szCs w:val="24"/>
          <w:highlight w:val="none"/>
        </w:rPr>
        <w:t>19.4进一步试验和试运行</w:t>
      </w:r>
      <w:bookmarkEnd w:id="925"/>
      <w:bookmarkEnd w:id="926"/>
      <w:bookmarkEnd w:id="927"/>
      <w:bookmarkEnd w:id="928"/>
    </w:p>
    <w:p w14:paraId="71505749">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任何一项缺陷或损坏修复后，经检查证明其影响了工程或工程设备的使用性能，承包人应重新进行合同约定的试验和试运行，试验和试运行的全部费用应由责任方承担。</w:t>
      </w:r>
    </w:p>
    <w:p w14:paraId="24D0675F">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929" w:name="_Toc5095"/>
      <w:bookmarkStart w:id="930" w:name="_Toc234833095"/>
      <w:bookmarkStart w:id="931" w:name="_Toc31117"/>
      <w:bookmarkStart w:id="932" w:name="_Toc1336"/>
      <w:r>
        <w:rPr>
          <w:rFonts w:hint="default" w:ascii="Times New Roman" w:hAnsi="Times New Roman" w:eastAsia="黑体" w:cs="Times New Roman"/>
          <w:b w:val="0"/>
          <w:color w:val="auto"/>
          <w:sz w:val="24"/>
          <w:szCs w:val="24"/>
          <w:highlight w:val="none"/>
        </w:rPr>
        <w:t>19.5承包人的进入权</w:t>
      </w:r>
      <w:bookmarkEnd w:id="929"/>
      <w:bookmarkEnd w:id="930"/>
      <w:bookmarkEnd w:id="931"/>
      <w:bookmarkEnd w:id="932"/>
    </w:p>
    <w:p w14:paraId="5A72FDEC">
      <w:pPr>
        <w:pageBreakBefore w:val="0"/>
        <w:kinsoku/>
        <w:wordWrap w:val="0"/>
        <w:bidi w:val="0"/>
        <w:spacing w:line="400" w:lineRule="atLeast"/>
        <w:ind w:firstLine="43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缺陷责任期内承包人为缺陷修复工作需要，有权进入工程现场，但应遵守发包人的保安和保密规定。</w:t>
      </w:r>
    </w:p>
    <w:p w14:paraId="4FA4872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33" w:name="_Toc2337"/>
      <w:bookmarkStart w:id="934" w:name="_Toc12330"/>
      <w:bookmarkStart w:id="935" w:name="_Toc234833096"/>
      <w:bookmarkStart w:id="936" w:name="_Toc10078"/>
      <w:r>
        <w:rPr>
          <w:rFonts w:hint="default" w:ascii="Times New Roman" w:hAnsi="Times New Roman" w:eastAsia="黑体" w:cs="Times New Roman"/>
          <w:b w:val="0"/>
          <w:color w:val="auto"/>
          <w:sz w:val="24"/>
          <w:szCs w:val="24"/>
          <w:highlight w:val="none"/>
        </w:rPr>
        <w:t>19.6缺陷责任期终止证书</w:t>
      </w:r>
      <w:bookmarkEnd w:id="933"/>
      <w:bookmarkEnd w:id="934"/>
      <w:bookmarkEnd w:id="935"/>
      <w:bookmarkEnd w:id="936"/>
    </w:p>
    <w:p w14:paraId="5EC578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在第1.1.4.5目约定的缺陷责任期，包括根据第19.3款延长的期限终止后14天内，由监理人向承包人出具经发包人签认的缺陷责任期终止证书，并退还剩余的质量保证金。</w:t>
      </w:r>
    </w:p>
    <w:p w14:paraId="5079685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37" w:name="_Toc19867"/>
      <w:bookmarkStart w:id="938" w:name="_Toc19327"/>
      <w:bookmarkStart w:id="939" w:name="_Toc234833097"/>
      <w:bookmarkStart w:id="940" w:name="_Toc7127"/>
      <w:r>
        <w:rPr>
          <w:rFonts w:hint="default" w:ascii="Times New Roman" w:hAnsi="Times New Roman" w:eastAsia="黑体" w:cs="Times New Roman"/>
          <w:b w:val="0"/>
          <w:color w:val="auto"/>
          <w:sz w:val="24"/>
          <w:szCs w:val="24"/>
          <w:highlight w:val="none"/>
        </w:rPr>
        <w:t>19.7保修责任</w:t>
      </w:r>
      <w:bookmarkEnd w:id="937"/>
      <w:bookmarkEnd w:id="938"/>
      <w:bookmarkEnd w:id="939"/>
      <w:bookmarkEnd w:id="940"/>
    </w:p>
    <w:p w14:paraId="3DA2A22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BB78575">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41" w:name="_Toc234833098"/>
      <w:bookmarkStart w:id="942" w:name="_Toc19060"/>
      <w:bookmarkStart w:id="943" w:name="_Toc12018"/>
      <w:bookmarkStart w:id="944" w:name="_Toc13061"/>
      <w:r>
        <w:rPr>
          <w:rFonts w:hint="default" w:ascii="Times New Roman" w:hAnsi="Times New Roman" w:eastAsia="黑体" w:cs="Times New Roman"/>
          <w:b w:val="0"/>
          <w:color w:val="auto"/>
          <w:sz w:val="28"/>
          <w:szCs w:val="28"/>
          <w:highlight w:val="none"/>
        </w:rPr>
        <w:t>20.保险</w:t>
      </w:r>
      <w:bookmarkEnd w:id="941"/>
      <w:bookmarkEnd w:id="942"/>
      <w:bookmarkEnd w:id="943"/>
      <w:bookmarkEnd w:id="944"/>
    </w:p>
    <w:p w14:paraId="6BAAD57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45" w:name="_Toc1238"/>
      <w:bookmarkStart w:id="946" w:name="_Toc1058"/>
      <w:bookmarkStart w:id="947" w:name="_Toc4841"/>
      <w:bookmarkStart w:id="948" w:name="_Toc234833099"/>
      <w:r>
        <w:rPr>
          <w:rFonts w:hint="default" w:ascii="Times New Roman" w:hAnsi="Times New Roman" w:eastAsia="黑体" w:cs="Times New Roman"/>
          <w:b w:val="0"/>
          <w:color w:val="auto"/>
          <w:sz w:val="24"/>
          <w:szCs w:val="24"/>
          <w:highlight w:val="none"/>
        </w:rPr>
        <w:t>20.1工程保险</w:t>
      </w:r>
      <w:bookmarkEnd w:id="945"/>
      <w:bookmarkEnd w:id="946"/>
      <w:bookmarkEnd w:id="947"/>
      <w:bookmarkEnd w:id="948"/>
    </w:p>
    <w:p w14:paraId="708F206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ECFDBD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49" w:name="_Toc30523"/>
      <w:bookmarkStart w:id="950" w:name="_Toc10723"/>
      <w:bookmarkStart w:id="951" w:name="_Toc21060"/>
      <w:bookmarkStart w:id="952" w:name="_Toc234833100"/>
      <w:r>
        <w:rPr>
          <w:rFonts w:hint="default" w:ascii="Times New Roman" w:hAnsi="Times New Roman" w:eastAsia="黑体" w:cs="Times New Roman"/>
          <w:b w:val="0"/>
          <w:color w:val="auto"/>
          <w:sz w:val="24"/>
          <w:szCs w:val="24"/>
          <w:highlight w:val="none"/>
        </w:rPr>
        <w:t>20.2人员工伤事故的保险</w:t>
      </w:r>
      <w:bookmarkEnd w:id="949"/>
      <w:bookmarkEnd w:id="950"/>
      <w:bookmarkEnd w:id="951"/>
      <w:bookmarkEnd w:id="952"/>
    </w:p>
    <w:p w14:paraId="27F30AF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w:t>
      </w:r>
      <w:r>
        <w:rPr>
          <w:rFonts w:hint="default" w:ascii="Times New Roman" w:hAnsi="Times New Roman" w:eastAsia="黑体" w:cs="Times New Roman"/>
          <w:color w:val="auto"/>
          <w:sz w:val="24"/>
          <w:highlight w:val="none"/>
        </w:rPr>
        <w:t>承包人员工伤事故的保险</w:t>
      </w:r>
    </w:p>
    <w:p w14:paraId="43DB6F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承包人应依照有关法律规定参加工伤保险，为其履行合同所雇用的全部人员，缴纳工伤保险费，并要求其分包人也进行此项保险。</w:t>
      </w:r>
    </w:p>
    <w:p w14:paraId="1EE1E1E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w:t>
      </w:r>
      <w:r>
        <w:rPr>
          <w:rFonts w:hint="default" w:ascii="Times New Roman" w:hAnsi="Times New Roman" w:eastAsia="黑体" w:cs="Times New Roman"/>
          <w:color w:val="auto"/>
          <w:sz w:val="24"/>
          <w:highlight w:val="none"/>
        </w:rPr>
        <w:t>发包人员工伤事故的保险</w:t>
      </w:r>
    </w:p>
    <w:p w14:paraId="0949F37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发包人应依照有关法律规定参加工伤保险，为其现场机构雇用的全部人员，缴纳工伤保险费，并要求其监理人也进行此项保险。</w:t>
      </w:r>
    </w:p>
    <w:p w14:paraId="646DFC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53" w:name="_Toc11127"/>
      <w:bookmarkStart w:id="954" w:name="_Toc234833101"/>
      <w:bookmarkStart w:id="955" w:name="_Toc20449"/>
      <w:bookmarkStart w:id="956" w:name="_Toc18737"/>
      <w:r>
        <w:rPr>
          <w:rFonts w:hint="default" w:ascii="Times New Roman" w:hAnsi="Times New Roman" w:eastAsia="黑体" w:cs="Times New Roman"/>
          <w:b w:val="0"/>
          <w:color w:val="auto"/>
          <w:sz w:val="24"/>
          <w:szCs w:val="24"/>
          <w:highlight w:val="none"/>
        </w:rPr>
        <w:t>20.3人身意外伤害险</w:t>
      </w:r>
      <w:bookmarkEnd w:id="953"/>
      <w:bookmarkEnd w:id="954"/>
      <w:bookmarkEnd w:id="955"/>
      <w:bookmarkEnd w:id="956"/>
    </w:p>
    <w:p w14:paraId="3EE5F1F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20.3.1发包人应在整个施工期间为其现场机构雇用的全部人员，投保人身意外伤害险，缴纳保险费，并要求其监理人也进行此项保险。</w:t>
      </w:r>
    </w:p>
    <w:p w14:paraId="2A2E357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20.3.2承包人应在整个施工期间为其现场机构雇用的全部人员，投保人身意外伤害险，缴纳保险费，并要求其分包人也进行此项保险。</w:t>
      </w:r>
    </w:p>
    <w:p w14:paraId="58081B4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57" w:name="_Toc26139"/>
      <w:bookmarkStart w:id="958" w:name="_Toc23644"/>
      <w:bookmarkStart w:id="959" w:name="_Toc27566"/>
      <w:bookmarkStart w:id="960" w:name="_Toc234833102"/>
      <w:r>
        <w:rPr>
          <w:rFonts w:hint="default" w:ascii="Times New Roman" w:hAnsi="Times New Roman" w:eastAsia="黑体" w:cs="Times New Roman"/>
          <w:b w:val="0"/>
          <w:color w:val="auto"/>
          <w:sz w:val="24"/>
          <w:szCs w:val="24"/>
          <w:highlight w:val="none"/>
        </w:rPr>
        <w:t>20.4第三者责任险</w:t>
      </w:r>
      <w:bookmarkEnd w:id="957"/>
      <w:bookmarkEnd w:id="958"/>
      <w:bookmarkEnd w:id="959"/>
      <w:bookmarkEnd w:id="960"/>
    </w:p>
    <w:p w14:paraId="69569092">
      <w:pPr>
        <w:pageBreakBefore w:val="0"/>
        <w:kinsoku/>
        <w:wordWrap w:val="0"/>
        <w:bidi w:val="0"/>
        <w:spacing w:line="400" w:lineRule="atLeast"/>
        <w:ind w:firstLine="48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1E17C53">
      <w:pPr>
        <w:pageBreakBefore w:val="0"/>
        <w:kinsoku/>
        <w:wordWrap w:val="0"/>
        <w:bidi w:val="0"/>
        <w:spacing w:line="400" w:lineRule="atLeast"/>
        <w:ind w:firstLine="48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20.4.2在缺陷责任期终止证书颁发前，承包人应以承包人和发包人的共同名义，投保第20.4.1项约定的第三者责任险，其保险费率、保险金额等有关内容在专用合同条款中约定。</w:t>
      </w:r>
    </w:p>
    <w:p w14:paraId="51DB05F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61" w:name="_Toc17223"/>
      <w:bookmarkStart w:id="962" w:name="_Toc27726"/>
      <w:bookmarkStart w:id="963" w:name="_Toc234833103"/>
      <w:bookmarkStart w:id="964" w:name="_Toc15956"/>
      <w:r>
        <w:rPr>
          <w:rFonts w:hint="default" w:ascii="Times New Roman" w:hAnsi="Times New Roman" w:eastAsia="黑体" w:cs="Times New Roman"/>
          <w:b w:val="0"/>
          <w:color w:val="auto"/>
          <w:sz w:val="24"/>
          <w:szCs w:val="24"/>
          <w:highlight w:val="none"/>
        </w:rPr>
        <w:t>20.5其他保险</w:t>
      </w:r>
      <w:bookmarkEnd w:id="961"/>
      <w:bookmarkEnd w:id="962"/>
      <w:bookmarkEnd w:id="963"/>
      <w:bookmarkEnd w:id="964"/>
    </w:p>
    <w:p w14:paraId="3A6D00C2">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除专用合同条款另有约定外，承包人应为其施工设备、进场的材料和工程设备等办理保险。</w:t>
      </w:r>
    </w:p>
    <w:p w14:paraId="35715E0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65" w:name="_Toc6798"/>
      <w:bookmarkStart w:id="966" w:name="_Toc234833104"/>
      <w:bookmarkStart w:id="967" w:name="_Toc25129"/>
      <w:bookmarkStart w:id="968" w:name="_Toc16557"/>
      <w:r>
        <w:rPr>
          <w:rFonts w:hint="default" w:ascii="Times New Roman" w:hAnsi="Times New Roman" w:eastAsia="黑体" w:cs="Times New Roman"/>
          <w:b w:val="0"/>
          <w:color w:val="auto"/>
          <w:sz w:val="24"/>
          <w:szCs w:val="24"/>
          <w:highlight w:val="none"/>
        </w:rPr>
        <w:t>20.6对各项保险的一般要求</w:t>
      </w:r>
      <w:bookmarkEnd w:id="965"/>
      <w:bookmarkEnd w:id="966"/>
      <w:bookmarkEnd w:id="967"/>
      <w:bookmarkEnd w:id="968"/>
    </w:p>
    <w:p w14:paraId="62C0EAD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20.6.1</w:t>
      </w:r>
      <w:r>
        <w:rPr>
          <w:rFonts w:hint="default" w:ascii="Times New Roman" w:hAnsi="Times New Roman" w:eastAsia="黑体" w:cs="Times New Roman"/>
          <w:color w:val="auto"/>
          <w:sz w:val="24"/>
          <w:highlight w:val="none"/>
        </w:rPr>
        <w:t>保险凭证</w:t>
      </w:r>
    </w:p>
    <w:p w14:paraId="5675955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承包人应在专用合同条款约定的期限内向发包人提交各项保险生效的证据和保险单副本，保险单必须与专用合同条款约定的条件保持一致。</w:t>
      </w:r>
    </w:p>
    <w:p w14:paraId="1A4C371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20.6.2</w:t>
      </w:r>
      <w:r>
        <w:rPr>
          <w:rFonts w:hint="default" w:ascii="Times New Roman" w:hAnsi="Times New Roman" w:eastAsia="黑体" w:cs="Times New Roman"/>
          <w:color w:val="auto"/>
          <w:sz w:val="24"/>
          <w:highlight w:val="none"/>
        </w:rPr>
        <w:t>保险合同条款的变动</w:t>
      </w:r>
    </w:p>
    <w:p w14:paraId="1619027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承包人需要变动保险合同条款时，应事先征得发包人同意，并通知监理人。保险人作出变动的，承包人应在收到保险人通知后立即通知发包人和监理人。</w:t>
      </w:r>
    </w:p>
    <w:p w14:paraId="5761807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20.6.3</w:t>
      </w:r>
      <w:r>
        <w:rPr>
          <w:rFonts w:hint="default" w:ascii="Times New Roman" w:hAnsi="Times New Roman" w:eastAsia="黑体" w:cs="Times New Roman"/>
          <w:color w:val="auto"/>
          <w:sz w:val="24"/>
          <w:highlight w:val="none"/>
        </w:rPr>
        <w:t>持续保险</w:t>
      </w:r>
    </w:p>
    <w:p w14:paraId="6B58875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承包人应与保险人保持联系，使保险人能够随时了解工程实施中的变动，并确保按保险合同条款要求持续保险。</w:t>
      </w:r>
    </w:p>
    <w:p w14:paraId="2DBDC6E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20.6.4</w:t>
      </w:r>
      <w:r>
        <w:rPr>
          <w:rFonts w:hint="default" w:ascii="Times New Roman" w:hAnsi="Times New Roman" w:eastAsia="黑体" w:cs="Times New Roman"/>
          <w:color w:val="auto"/>
          <w:sz w:val="24"/>
          <w:highlight w:val="none"/>
        </w:rPr>
        <w:t>保险金不足的补偿</w:t>
      </w:r>
    </w:p>
    <w:p w14:paraId="2F04349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保险金不足以补偿损失的，应由承包人和（或）发包人按合同约定负责补偿。</w:t>
      </w:r>
    </w:p>
    <w:p w14:paraId="741977F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20.6.5</w:t>
      </w:r>
      <w:r>
        <w:rPr>
          <w:rFonts w:hint="default" w:ascii="Times New Roman" w:hAnsi="Times New Roman" w:eastAsia="黑体" w:cs="Times New Roman"/>
          <w:color w:val="auto"/>
          <w:sz w:val="24"/>
          <w:highlight w:val="none"/>
        </w:rPr>
        <w:t>未按约定投保的补救</w:t>
      </w:r>
    </w:p>
    <w:p w14:paraId="02B81D0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（1）由于负有投保义务的一方当事人未按合同约定办理保险，或未能使保险持续有效的，另一方当事人可代为办理，所需费用由对方当事人承担。</w:t>
      </w:r>
    </w:p>
    <w:p w14:paraId="24C153B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（2）由于负有投保义务的一方当事人未按合同约定办理某项保险，导致受益人未能得到保险人的赔偿，原应从该项保险得到的保险金应由负有投保义务的一方当事人支付。</w:t>
      </w:r>
    </w:p>
    <w:p w14:paraId="3A6F796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20.6.6</w:t>
      </w:r>
      <w:r>
        <w:rPr>
          <w:rFonts w:hint="default" w:ascii="Times New Roman" w:hAnsi="Times New Roman" w:eastAsia="黑体" w:cs="Times New Roman"/>
          <w:color w:val="auto"/>
          <w:sz w:val="24"/>
          <w:highlight w:val="none"/>
        </w:rPr>
        <w:t>报告义务</w:t>
      </w:r>
    </w:p>
    <w:p w14:paraId="331F9AFD">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当保险事故发生时，投保人应按照保险单规定的条件和期限及时向保险人报告。</w:t>
      </w:r>
    </w:p>
    <w:p w14:paraId="1ADE1BA8">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69" w:name="_Toc1585"/>
      <w:bookmarkStart w:id="970" w:name="_Toc27736"/>
      <w:bookmarkStart w:id="971" w:name="_Toc25184"/>
      <w:bookmarkStart w:id="972" w:name="_Toc234833105"/>
      <w:r>
        <w:rPr>
          <w:rFonts w:hint="default" w:ascii="Times New Roman" w:hAnsi="Times New Roman" w:eastAsia="黑体" w:cs="Times New Roman"/>
          <w:b w:val="0"/>
          <w:color w:val="auto"/>
          <w:sz w:val="28"/>
          <w:szCs w:val="28"/>
          <w:highlight w:val="none"/>
        </w:rPr>
        <w:t>21.不可抗力</w:t>
      </w:r>
      <w:bookmarkEnd w:id="969"/>
      <w:bookmarkEnd w:id="970"/>
      <w:bookmarkEnd w:id="971"/>
      <w:bookmarkEnd w:id="972"/>
    </w:p>
    <w:p w14:paraId="5BDA250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73" w:name="_Toc11379"/>
      <w:bookmarkStart w:id="974" w:name="_Toc234833106"/>
      <w:bookmarkStart w:id="975" w:name="_Toc30030"/>
      <w:bookmarkStart w:id="976" w:name="_Toc965"/>
      <w:r>
        <w:rPr>
          <w:rFonts w:hint="default" w:ascii="Times New Roman" w:hAnsi="Times New Roman" w:eastAsia="黑体" w:cs="Times New Roman"/>
          <w:b w:val="0"/>
          <w:color w:val="auto"/>
          <w:sz w:val="24"/>
          <w:szCs w:val="24"/>
          <w:highlight w:val="none"/>
        </w:rPr>
        <w:t>21.1不可抗力的确认</w:t>
      </w:r>
      <w:bookmarkEnd w:id="973"/>
      <w:bookmarkEnd w:id="974"/>
      <w:bookmarkEnd w:id="975"/>
      <w:bookmarkEnd w:id="976"/>
    </w:p>
    <w:p w14:paraId="692C3B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不可抗力是指承包人和发包人在订立合同时不可预见，在工程施工过程中不可避免发生并不能克服的自然灾害和社会性突发事件，如地震、海啸、瘟疫、水灾、骚乱、暴动、战争和专用合同条款约定的其他情形。</w:t>
      </w:r>
    </w:p>
    <w:p w14:paraId="45EF8C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48D5928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77" w:name="_Toc18922"/>
      <w:bookmarkStart w:id="978" w:name="_Toc4694"/>
      <w:bookmarkStart w:id="979" w:name="_Toc22207"/>
      <w:bookmarkStart w:id="980" w:name="_Toc234833107"/>
      <w:r>
        <w:rPr>
          <w:rFonts w:hint="default" w:ascii="Times New Roman" w:hAnsi="Times New Roman" w:eastAsia="黑体" w:cs="Times New Roman"/>
          <w:b w:val="0"/>
          <w:color w:val="auto"/>
          <w:sz w:val="24"/>
          <w:szCs w:val="24"/>
          <w:highlight w:val="none"/>
        </w:rPr>
        <w:t>21.2不可抗力的通知</w:t>
      </w:r>
      <w:bookmarkEnd w:id="977"/>
      <w:bookmarkEnd w:id="978"/>
      <w:bookmarkEnd w:id="979"/>
      <w:bookmarkEnd w:id="980"/>
    </w:p>
    <w:p w14:paraId="72FC1A6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21.2.1合同一方当事人遇到不可抗力事件，使其履行合同义务受到阻碍时，应立即通知合同另一方当事人和监理人，书面说明不可抗力和受阻碍的详细情况，并提供必要的证明。</w:t>
      </w:r>
    </w:p>
    <w:p w14:paraId="78059E5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21.2.2如不可抗力持续发生，合同一方当事人应及时向合同另一方当事人和监理人提交中间报告，说明不可抗力和履行合同受阻的情况，并于不可抗力事件结束后28天内提交最终报告及有关资料。</w:t>
      </w:r>
    </w:p>
    <w:p w14:paraId="6A90F45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81" w:name="_Toc15417"/>
      <w:bookmarkStart w:id="982" w:name="_Toc234833108"/>
      <w:bookmarkStart w:id="983" w:name="_Toc1838"/>
      <w:bookmarkStart w:id="984" w:name="_Toc15055"/>
      <w:r>
        <w:rPr>
          <w:rFonts w:hint="default" w:ascii="Times New Roman" w:hAnsi="Times New Roman" w:eastAsia="黑体" w:cs="Times New Roman"/>
          <w:b w:val="0"/>
          <w:color w:val="auto"/>
          <w:sz w:val="24"/>
          <w:szCs w:val="24"/>
          <w:highlight w:val="none"/>
        </w:rPr>
        <w:t>21.3不可抗力后果及其处理</w:t>
      </w:r>
      <w:bookmarkEnd w:id="981"/>
      <w:bookmarkEnd w:id="982"/>
      <w:bookmarkEnd w:id="983"/>
      <w:bookmarkEnd w:id="984"/>
    </w:p>
    <w:p w14:paraId="176BD428">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w:t>
      </w:r>
      <w:r>
        <w:rPr>
          <w:rFonts w:hint="default" w:ascii="Times New Roman" w:hAnsi="Times New Roman" w:eastAsia="黑体" w:cs="Times New Roman"/>
          <w:color w:val="auto"/>
          <w:sz w:val="24"/>
          <w:highlight w:val="none"/>
        </w:rPr>
        <w:t>不可抗力造成损害的责任</w:t>
      </w:r>
    </w:p>
    <w:p w14:paraId="01F1C1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除专用合同条款另有约定外，不可抗力导致的人员伤亡、财产损失、费用增加和（或）工期延误等后果，由合同双方按以下原则承担：</w:t>
      </w:r>
    </w:p>
    <w:p w14:paraId="1BA0A61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（1）永久工程，包括已运至施工场地的材料和工程设备的损害，以及因工程损害造成的第三者人员伤亡和财产损失由发包人承担；</w:t>
      </w:r>
    </w:p>
    <w:p w14:paraId="4FC2FB6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（2）承包人设备的损坏由承包人承担；</w:t>
      </w:r>
    </w:p>
    <w:p w14:paraId="30D30B0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（3）发包人和承包人各自承担其人员伤亡和其他财产损失及其相关费用；</w:t>
      </w:r>
    </w:p>
    <w:p w14:paraId="28C915B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（4）承包人的停工损失由承包人承担，但停工期间应监理人要求照管工程和清理、修复工程的金额由发包人承担；</w:t>
      </w:r>
    </w:p>
    <w:p w14:paraId="2D412E04">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（5）不能按期竣工的，应合理延长工期，承包人不需支付逾期竣工违约金。发包人要求赶工的，承包人应采取赶工措施，赶工费用由发包人承担。</w:t>
      </w:r>
    </w:p>
    <w:p w14:paraId="70A5EBD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w:t>
      </w:r>
      <w:r>
        <w:rPr>
          <w:rFonts w:hint="default" w:ascii="Times New Roman" w:hAnsi="Times New Roman" w:eastAsia="黑体" w:cs="Times New Roman"/>
          <w:color w:val="auto"/>
          <w:sz w:val="24"/>
          <w:highlight w:val="none"/>
        </w:rPr>
        <w:t>延迟履行期间发生的不可抗力</w:t>
      </w:r>
    </w:p>
    <w:p w14:paraId="4C46035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合同一方当事人延迟履行，在延迟履行期间发生不可抗力的，不免除其责任。</w:t>
      </w:r>
    </w:p>
    <w:p w14:paraId="1E3D96E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21.3.3</w:t>
      </w:r>
      <w:r>
        <w:rPr>
          <w:rFonts w:hint="default" w:ascii="Times New Roman" w:hAnsi="Times New Roman" w:eastAsia="黑体" w:cs="Times New Roman"/>
          <w:color w:val="auto"/>
          <w:sz w:val="24"/>
          <w:highlight w:val="none"/>
        </w:rPr>
        <w:t>避免和减少不可抗力损失</w:t>
      </w:r>
    </w:p>
    <w:p w14:paraId="220A111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不可抗力发生后，发包人和承包人均应采取措施尽量避免和减少损失的扩大，任何一方没有采取有效措施导致损失扩大的，应对扩大的损失承担责任。</w:t>
      </w:r>
    </w:p>
    <w:p w14:paraId="1B6934D4">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w:t>
      </w:r>
      <w:r>
        <w:rPr>
          <w:rFonts w:hint="default" w:ascii="Times New Roman" w:hAnsi="Times New Roman" w:eastAsia="黑体" w:cs="Times New Roman"/>
          <w:color w:val="auto"/>
          <w:sz w:val="24"/>
          <w:highlight w:val="none"/>
        </w:rPr>
        <w:t>因不可抗力解除合同</w:t>
      </w:r>
    </w:p>
    <w:p w14:paraId="2033A3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559A1BF">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85" w:name="_Toc234833109"/>
      <w:bookmarkStart w:id="986" w:name="_Toc13366"/>
      <w:bookmarkStart w:id="987" w:name="_Toc18084"/>
      <w:bookmarkStart w:id="988" w:name="_Toc12831"/>
      <w:r>
        <w:rPr>
          <w:rFonts w:hint="default" w:ascii="Times New Roman" w:hAnsi="Times New Roman" w:eastAsia="黑体" w:cs="Times New Roman"/>
          <w:b w:val="0"/>
          <w:color w:val="auto"/>
          <w:sz w:val="28"/>
          <w:szCs w:val="28"/>
          <w:highlight w:val="none"/>
        </w:rPr>
        <w:t>22.违约</w:t>
      </w:r>
      <w:bookmarkEnd w:id="985"/>
      <w:bookmarkEnd w:id="986"/>
      <w:bookmarkEnd w:id="987"/>
      <w:bookmarkEnd w:id="988"/>
    </w:p>
    <w:p w14:paraId="6C49D2A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89" w:name="_Toc8987"/>
      <w:bookmarkStart w:id="990" w:name="_Toc18327"/>
      <w:bookmarkStart w:id="991" w:name="_Toc234833110"/>
      <w:bookmarkStart w:id="992" w:name="_Toc723"/>
      <w:r>
        <w:rPr>
          <w:rFonts w:hint="default" w:ascii="Times New Roman" w:hAnsi="Times New Roman" w:eastAsia="黑体" w:cs="Times New Roman"/>
          <w:b w:val="0"/>
          <w:color w:val="auto"/>
          <w:sz w:val="24"/>
          <w:szCs w:val="24"/>
          <w:highlight w:val="none"/>
        </w:rPr>
        <w:t>22.1承包人违约</w:t>
      </w:r>
      <w:bookmarkEnd w:id="989"/>
      <w:bookmarkEnd w:id="990"/>
      <w:bookmarkEnd w:id="991"/>
      <w:bookmarkEnd w:id="992"/>
    </w:p>
    <w:p w14:paraId="1A19A8E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22.1.1</w:t>
      </w:r>
      <w:r>
        <w:rPr>
          <w:rFonts w:hint="default" w:ascii="Times New Roman" w:hAnsi="Times New Roman" w:eastAsia="黑体" w:cs="Times New Roman"/>
          <w:color w:val="auto"/>
          <w:sz w:val="24"/>
          <w:highlight w:val="none"/>
        </w:rPr>
        <w:t>承包人违约的情形</w:t>
      </w:r>
    </w:p>
    <w:p w14:paraId="78ACFCC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在履行合同过程中发生的下列情况属承包人违约：</w:t>
      </w:r>
    </w:p>
    <w:p w14:paraId="222013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（1）承包人违反第1.8款或第4.3款的约定，私自将合同的全部或部分权利转让给其他人，或私自将合同的全部或部分义务转移给其他人；</w:t>
      </w:r>
    </w:p>
    <w:p w14:paraId="6A0D160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（2）承包人违反第5.3款或第6.4款的约定，未经监理人批准，私自将已按合同约定进入施工场地的施工设备、临时设施或材料撤离施工场地；</w:t>
      </w:r>
    </w:p>
    <w:p w14:paraId="111D8AD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（3）承包人违反第5.4款的约定使用了不合格材料或工程设备，工程质量达不到标准要求，又拒绝清除不合格工程；</w:t>
      </w:r>
    </w:p>
    <w:p w14:paraId="126D78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（4）承包人未能按合同进度计划及时完成合同约定的工作，已造成或预期造成工期延误；</w:t>
      </w:r>
    </w:p>
    <w:p w14:paraId="5E2D84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（5）承包人在缺陷责任期内，未能对工程接收证书所列的缺陷清单的内容或缺陷责任期内发生的缺陷进行修复，而又拒绝按监理人指示再进行修补；</w:t>
      </w:r>
    </w:p>
    <w:p w14:paraId="5B6EA3E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（6）承包人无法继续履行或明确表示不履行或实质上已停止履行合同；</w:t>
      </w:r>
    </w:p>
    <w:p w14:paraId="5D1F2F9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（7）承包人不按合同约定履行义务的其他情况。</w:t>
      </w:r>
    </w:p>
    <w:p w14:paraId="4B37314E">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22.1.2</w:t>
      </w:r>
      <w:r>
        <w:rPr>
          <w:rFonts w:hint="default" w:ascii="Times New Roman" w:hAnsi="Times New Roman" w:eastAsia="黑体" w:cs="Times New Roman"/>
          <w:color w:val="auto"/>
          <w:sz w:val="24"/>
          <w:highlight w:val="none"/>
        </w:rPr>
        <w:t>对承包人违约的处理</w:t>
      </w:r>
    </w:p>
    <w:p w14:paraId="0B326D5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（1）承包人发生第22.1.1（6）目约定的违约情况时，发包人可通知承包人立即解除合同，并按有关法律处理。</w:t>
      </w:r>
    </w:p>
    <w:p w14:paraId="04D5ED2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（2）承包人发生除第22.1.1（6）</w:t>
      </w:r>
      <w:r>
        <w:rPr>
          <w:rFonts w:hint="eastAsia" w:cs="Times New Roman"/>
          <w:color w:val="auto"/>
          <w:sz w:val="24"/>
          <w:highlight w:val="none"/>
          <w:lang w:val="en-US" w:eastAsia="zh-CN"/>
        </w:rPr>
        <w:t>项</w:t>
      </w:r>
      <w:r>
        <w:rPr>
          <w:rFonts w:hint="default" w:ascii="Times New Roman" w:hAnsi="Times New Roman" w:cs="Times New Roman"/>
          <w:color w:val="auto"/>
          <w:sz w:val="24"/>
          <w:highlight w:val="none"/>
        </w:rPr>
        <w:t>目约定以外的其他违约情况时，监理人可向承包人发出整改通知，要求其在指定的期限内改正。承包人应承担其违约所引起的费用增加和（或）工期延误。</w:t>
      </w:r>
    </w:p>
    <w:p w14:paraId="281327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（3）经检查证明承包人已采取了有效措施纠正违约行为，具备复工条件的，可由监理人签发复工通知复工。</w:t>
      </w:r>
    </w:p>
    <w:p w14:paraId="01E78C77">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22.1.3</w:t>
      </w:r>
      <w:r>
        <w:rPr>
          <w:rFonts w:hint="default" w:ascii="Times New Roman" w:hAnsi="Times New Roman" w:eastAsia="黑体" w:cs="Times New Roman"/>
          <w:color w:val="auto"/>
          <w:sz w:val="24"/>
          <w:highlight w:val="none"/>
        </w:rPr>
        <w:t>承包人违约解除合同</w:t>
      </w:r>
    </w:p>
    <w:p w14:paraId="4506816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15C10D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22.1.4</w:t>
      </w:r>
      <w:r>
        <w:rPr>
          <w:rFonts w:hint="default" w:ascii="Times New Roman" w:hAnsi="Times New Roman" w:eastAsia="黑体" w:cs="Times New Roman"/>
          <w:color w:val="auto"/>
          <w:sz w:val="24"/>
          <w:highlight w:val="none"/>
        </w:rPr>
        <w:t>合同解除后的估价、付款和结清</w:t>
      </w:r>
    </w:p>
    <w:p w14:paraId="47F8FC31">
      <w:pPr>
        <w:pageBreakBefore w:val="0"/>
        <w:tabs>
          <w:tab w:val="left" w:pos="540"/>
        </w:tabs>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（1）合同解除后，监理人按第3.5款商定或确定承包人实际完成工作的价值，以及承包人已提供的材料、施工设备、工程设备和临时工程等的价值。</w:t>
      </w:r>
    </w:p>
    <w:p w14:paraId="64FDBA09">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（2）合同解除后，发包人应暂停对承包人的一切付款，查清各项付款和已扣款金额，包括承包人应支付的违约金。</w:t>
      </w:r>
    </w:p>
    <w:p w14:paraId="33CE5AB1">
      <w:pPr>
        <w:pageBreakBefore w:val="0"/>
        <w:tabs>
          <w:tab w:val="left" w:pos="72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（3）合同解除后，发包人应按第23.4款的约定向承包人索赔由于解除合同给发包人造成的损失。</w:t>
      </w:r>
    </w:p>
    <w:p w14:paraId="441D554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（4）合同双方确认上述往来款项后，出具最终结清付款证书，结清全部合同款项。</w:t>
      </w:r>
    </w:p>
    <w:p w14:paraId="1C5E6F26">
      <w:pPr>
        <w:pageBreakBefore w:val="0"/>
        <w:kinsoku/>
        <w:wordWrap w:val="0"/>
        <w:bidi w:val="0"/>
        <w:spacing w:line="400" w:lineRule="atLeast"/>
        <w:ind w:right="25" w:rightChars="12"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（5）发包人和承包人未能就解除合同后的结清达成一致而形成争议的，按第24条的约定办理。</w:t>
      </w:r>
    </w:p>
    <w:p w14:paraId="22100714">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22.1.5</w:t>
      </w:r>
      <w:r>
        <w:rPr>
          <w:rFonts w:hint="default" w:ascii="Times New Roman" w:hAnsi="Times New Roman" w:eastAsia="黑体" w:cs="Times New Roman"/>
          <w:color w:val="auto"/>
          <w:sz w:val="24"/>
          <w:highlight w:val="none"/>
        </w:rPr>
        <w:t>协议利益的转让</w:t>
      </w:r>
    </w:p>
    <w:p w14:paraId="29CEA38E">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因承包人违约解除合同的，发包人有权要求承包人将其为实施合同而签订的材料和设备的订货协议或任何服务协议利益转让给发包人，并在解除合同后的14天内，依法办理转让手续。</w:t>
      </w:r>
    </w:p>
    <w:p w14:paraId="3E913DE6">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22.1.6</w:t>
      </w:r>
      <w:r>
        <w:rPr>
          <w:rFonts w:hint="default" w:ascii="Times New Roman" w:hAnsi="Times New Roman" w:eastAsia="黑体" w:cs="Times New Roman"/>
          <w:color w:val="auto"/>
          <w:sz w:val="24"/>
          <w:highlight w:val="none"/>
        </w:rPr>
        <w:t>紧急情况下无能力或不愿进行抢救</w:t>
      </w:r>
    </w:p>
    <w:p w14:paraId="34F3241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797CA8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93" w:name="_Toc31447"/>
      <w:bookmarkStart w:id="994" w:name="_Toc18762"/>
      <w:bookmarkStart w:id="995" w:name="_Toc18188"/>
      <w:bookmarkStart w:id="996" w:name="_Toc234833111"/>
      <w:r>
        <w:rPr>
          <w:rFonts w:hint="default" w:ascii="Times New Roman" w:hAnsi="Times New Roman" w:eastAsia="黑体" w:cs="Times New Roman"/>
          <w:b w:val="0"/>
          <w:color w:val="auto"/>
          <w:sz w:val="24"/>
          <w:szCs w:val="24"/>
          <w:highlight w:val="none"/>
        </w:rPr>
        <w:t>22.2发包人违约</w:t>
      </w:r>
      <w:bookmarkEnd w:id="993"/>
      <w:bookmarkEnd w:id="994"/>
      <w:bookmarkEnd w:id="995"/>
      <w:bookmarkEnd w:id="996"/>
    </w:p>
    <w:p w14:paraId="4C6C25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22.2.1</w:t>
      </w:r>
      <w:r>
        <w:rPr>
          <w:rFonts w:hint="default" w:ascii="Times New Roman" w:hAnsi="Times New Roman" w:eastAsia="黑体" w:cs="Times New Roman"/>
          <w:color w:val="auto"/>
          <w:sz w:val="24"/>
          <w:highlight w:val="none"/>
        </w:rPr>
        <w:t>发包人违约的情形</w:t>
      </w:r>
    </w:p>
    <w:p w14:paraId="4F9AB2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在履行合同过程中发生的下列情形，属发包人违约：</w:t>
      </w:r>
    </w:p>
    <w:p w14:paraId="3BF9185F">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（1）发包人未能按合同约定支付预付款或合同价款，或拖延、拒绝批准付款申请和支付凭证，导致付款延误的；</w:t>
      </w:r>
    </w:p>
    <w:p w14:paraId="493214C1">
      <w:pPr>
        <w:pageBreakBefore w:val="0"/>
        <w:tabs>
          <w:tab w:val="left" w:pos="72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（2）发包人原因造成停工的；</w:t>
      </w:r>
    </w:p>
    <w:p w14:paraId="5ADEB54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（3）监理人无正当理由没有在约定期限内发出复工指示，导致承包人无法复工的；</w:t>
      </w:r>
    </w:p>
    <w:p w14:paraId="50AE79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（4）发包人无法继续履行或明确表示不履行或实质上已停止履行合同的；</w:t>
      </w:r>
    </w:p>
    <w:p w14:paraId="11D36228">
      <w:pPr>
        <w:pageBreakBefore w:val="0"/>
        <w:tabs>
          <w:tab w:val="left" w:pos="72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（5）发包人不履行合同约定其他义务的。</w:t>
      </w:r>
    </w:p>
    <w:p w14:paraId="311872E2">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22.2.2</w:t>
      </w:r>
      <w:r>
        <w:rPr>
          <w:rFonts w:hint="default" w:ascii="Times New Roman" w:hAnsi="Times New Roman" w:eastAsia="黑体" w:cs="Times New Roman"/>
          <w:color w:val="auto"/>
          <w:sz w:val="24"/>
          <w:highlight w:val="none"/>
        </w:rPr>
        <w:t>承包人有权暂停施工</w:t>
      </w:r>
    </w:p>
    <w:p w14:paraId="17A7765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99B691E">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22.2.3</w:t>
      </w:r>
      <w:r>
        <w:rPr>
          <w:rFonts w:hint="default" w:ascii="Times New Roman" w:hAnsi="Times New Roman" w:eastAsia="黑体" w:cs="Times New Roman"/>
          <w:color w:val="auto"/>
          <w:sz w:val="24"/>
          <w:highlight w:val="none"/>
        </w:rPr>
        <w:t>发包人违约解除合同</w:t>
      </w:r>
    </w:p>
    <w:p w14:paraId="433D34F1">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（1）发生第22.2.1（4）目的违约情况时，承包人可书面通知发包人解除合同。</w:t>
      </w:r>
    </w:p>
    <w:p w14:paraId="7412D3BB">
      <w:pPr>
        <w:pageBreakBefore w:val="0"/>
        <w:tabs>
          <w:tab w:val="left" w:pos="720"/>
          <w:tab w:val="left" w:pos="90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049F2F96">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22.2.4</w:t>
      </w:r>
      <w:r>
        <w:rPr>
          <w:rFonts w:hint="default" w:ascii="Times New Roman" w:hAnsi="Times New Roman" w:eastAsia="黑体" w:cs="Times New Roman"/>
          <w:color w:val="auto"/>
          <w:sz w:val="24"/>
          <w:highlight w:val="none"/>
        </w:rPr>
        <w:t>解除合同后的付款</w:t>
      </w:r>
    </w:p>
    <w:p w14:paraId="389C04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因发包人违约解除合同的，发包人应在解除合同后28天内向承包人支付下列金额，承包人应在此期限内及时向发包人提交要求支付下列金额的有关资料和凭证：</w:t>
      </w:r>
    </w:p>
    <w:p w14:paraId="5239691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（1）合同解除日以前所完成工作的价款；</w:t>
      </w:r>
    </w:p>
    <w:p w14:paraId="3758A15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（2）承包人为该工程施工订购并已付款的材料、工程设备和其他物品的金额。发包人付还后，该材料、工程设备和其他物品归发包人所有；</w:t>
      </w:r>
    </w:p>
    <w:p w14:paraId="3FD3B0F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（3）承包人为完成工程所发生的，而发包人未支付的金额；</w:t>
      </w:r>
    </w:p>
    <w:p w14:paraId="5C530F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（4）承包人撤离施工场地以及遣散承包人人员的金额；</w:t>
      </w:r>
    </w:p>
    <w:p w14:paraId="068F4AD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（5）由于解除合同应赔偿的承包人损失；</w:t>
      </w:r>
    </w:p>
    <w:p w14:paraId="5099B52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（6）按合同约定在合同解除日前应支付给承包人的其他金额。</w:t>
      </w:r>
    </w:p>
    <w:p w14:paraId="6380BF7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发包人应按本项约定支付上述金额并退还质量保证金和履约担保，但有权要求承包人支付应偿还给发包人的各项金额。</w:t>
      </w:r>
    </w:p>
    <w:p w14:paraId="12E786EE">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22.2.5解除合同后的承包人撤离</w:t>
      </w:r>
    </w:p>
    <w:p w14:paraId="5B2C19D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17E6D5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97" w:name="_Toc234833112"/>
      <w:bookmarkStart w:id="998" w:name="_Toc1197"/>
      <w:bookmarkStart w:id="999" w:name="_Toc27072"/>
      <w:bookmarkStart w:id="1000" w:name="_Toc5244"/>
      <w:r>
        <w:rPr>
          <w:rFonts w:hint="default" w:ascii="Times New Roman" w:hAnsi="Times New Roman" w:eastAsia="黑体" w:cs="Times New Roman"/>
          <w:b w:val="0"/>
          <w:color w:val="auto"/>
          <w:sz w:val="24"/>
          <w:szCs w:val="24"/>
          <w:highlight w:val="none"/>
        </w:rPr>
        <w:t>22.3第三人造成的违约</w:t>
      </w:r>
      <w:bookmarkEnd w:id="997"/>
      <w:bookmarkEnd w:id="998"/>
      <w:bookmarkEnd w:id="999"/>
      <w:bookmarkEnd w:id="1000"/>
    </w:p>
    <w:p w14:paraId="50294D0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在履行合同过程中，一方当事人因第三人的原因造成违约的，应当向对方当事人承担违约责任。一方当事人和第三人之间的纠纷，依照法律规定或者按照约定解决。</w:t>
      </w:r>
    </w:p>
    <w:p w14:paraId="54D6570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01" w:name="_Toc15487"/>
      <w:bookmarkStart w:id="1002" w:name="_Toc29983"/>
      <w:bookmarkStart w:id="1003" w:name="_Toc27731"/>
      <w:bookmarkStart w:id="1004" w:name="_Toc234833113"/>
      <w:r>
        <w:rPr>
          <w:rFonts w:hint="default" w:ascii="Times New Roman" w:hAnsi="Times New Roman" w:eastAsia="黑体" w:cs="Times New Roman"/>
          <w:b w:val="0"/>
          <w:color w:val="auto"/>
          <w:sz w:val="28"/>
          <w:szCs w:val="28"/>
          <w:highlight w:val="none"/>
        </w:rPr>
        <w:t>23.索赔</w:t>
      </w:r>
      <w:bookmarkEnd w:id="1001"/>
      <w:bookmarkEnd w:id="1002"/>
      <w:bookmarkEnd w:id="1003"/>
      <w:bookmarkEnd w:id="1004"/>
    </w:p>
    <w:p w14:paraId="1CD2BF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05" w:name="_Toc234833114"/>
      <w:bookmarkStart w:id="1006" w:name="_Toc31146"/>
      <w:bookmarkStart w:id="1007" w:name="_Toc3879"/>
      <w:bookmarkStart w:id="1008" w:name="_Toc8289"/>
      <w:r>
        <w:rPr>
          <w:rFonts w:hint="default" w:ascii="Times New Roman" w:hAnsi="Times New Roman" w:eastAsia="黑体" w:cs="Times New Roman"/>
          <w:b w:val="0"/>
          <w:color w:val="auto"/>
          <w:sz w:val="24"/>
          <w:szCs w:val="24"/>
          <w:highlight w:val="none"/>
        </w:rPr>
        <w:t>23.1承包人索赔的提出</w:t>
      </w:r>
      <w:bookmarkEnd w:id="1005"/>
      <w:bookmarkEnd w:id="1006"/>
      <w:bookmarkEnd w:id="1007"/>
      <w:bookmarkEnd w:id="1008"/>
    </w:p>
    <w:p w14:paraId="1CD97D2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根据合同约定，承包人认为有权得到追加付款和（或）延长工期的，应按以下程序向发包人提出索赔：</w:t>
      </w:r>
    </w:p>
    <w:p w14:paraId="438933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11E537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262D63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（3）索赔事件具有连续影响的，承包人应按合理时间间隔继续递交延续索赔通知，说明连续影响的实际情况和记录，列出累计的追加付款金额和（或）工期延长天数；</w:t>
      </w:r>
    </w:p>
    <w:p w14:paraId="37DFE51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（4）在索赔事件影响结束后的28天内，承包人应向监理人递交最终索赔通知书，说明最终要求索赔的追加付款金额和延长的工期，并附必要的记录和证明材料。</w:t>
      </w:r>
    </w:p>
    <w:p w14:paraId="7140E69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09" w:name="_Toc17762"/>
      <w:bookmarkStart w:id="1010" w:name="_Toc234833115"/>
      <w:bookmarkStart w:id="1011" w:name="_Toc18819"/>
      <w:bookmarkStart w:id="1012" w:name="_Toc31313"/>
      <w:r>
        <w:rPr>
          <w:rFonts w:hint="default" w:ascii="Times New Roman" w:hAnsi="Times New Roman" w:eastAsia="黑体" w:cs="Times New Roman"/>
          <w:b w:val="0"/>
          <w:color w:val="auto"/>
          <w:sz w:val="24"/>
          <w:szCs w:val="24"/>
          <w:highlight w:val="none"/>
        </w:rPr>
        <w:t>23.2承包人索赔处理程序</w:t>
      </w:r>
      <w:bookmarkEnd w:id="1009"/>
      <w:bookmarkEnd w:id="1010"/>
      <w:bookmarkEnd w:id="1011"/>
      <w:bookmarkEnd w:id="1012"/>
    </w:p>
    <w:p w14:paraId="151833B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（1）监理人收到承包人提交的索赔通知书后，应及时审查索赔通知书的内容、查验承包人的记录和证明材料，必要时监理人可要求承包人提交全部原始记录副本。</w:t>
      </w:r>
    </w:p>
    <w:p w14:paraId="76BBEC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（2）监理人应按第3.5款商定或确定追加的付款和（或）延长的工期，并在收到上述索赔通知书或有关索赔的进一步证明材料后的42天内，将索赔处理结果答复承包人。</w:t>
      </w:r>
    </w:p>
    <w:p w14:paraId="3B1191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（3）承包人接受索赔处理结果的，发包人应在作出索赔处理结果答复后28天内完成赔付。承包人不接受索赔处理结果的，按第24条的约定办理。</w:t>
      </w:r>
    </w:p>
    <w:p w14:paraId="57C0AE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13" w:name="_Toc234833116"/>
      <w:bookmarkStart w:id="1014" w:name="_Toc3852"/>
      <w:bookmarkStart w:id="1015" w:name="_Toc19947"/>
      <w:bookmarkStart w:id="1016" w:name="_Toc616"/>
      <w:r>
        <w:rPr>
          <w:rFonts w:hint="default" w:ascii="Times New Roman" w:hAnsi="Times New Roman" w:eastAsia="黑体" w:cs="Times New Roman"/>
          <w:b w:val="0"/>
          <w:color w:val="auto"/>
          <w:sz w:val="24"/>
          <w:szCs w:val="24"/>
          <w:highlight w:val="none"/>
        </w:rPr>
        <w:t>23.3承包人提出索赔的期限</w:t>
      </w:r>
      <w:bookmarkEnd w:id="1013"/>
      <w:bookmarkEnd w:id="1014"/>
      <w:bookmarkEnd w:id="1015"/>
      <w:bookmarkEnd w:id="1016"/>
    </w:p>
    <w:p w14:paraId="6F294CC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23.3.1承包人按第17.5款的约定接受了竣工付款证书后，应被认为已无权再提出在合同工程接收证书颁发前所发生的任何索赔。</w:t>
      </w:r>
    </w:p>
    <w:p w14:paraId="7B09561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23.3.2承包人按第17.6款的约定提交的最终结清申请单中，只限于提出工程接收证书颁发后发生的索赔。提出索赔的期限自接受最终结清证书时终止。</w:t>
      </w:r>
    </w:p>
    <w:p w14:paraId="166D009F">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017" w:name="_Toc2347"/>
      <w:bookmarkStart w:id="1018" w:name="_Toc9765"/>
      <w:bookmarkStart w:id="1019" w:name="_Toc6220"/>
      <w:bookmarkStart w:id="1020" w:name="_Toc234833117"/>
      <w:r>
        <w:rPr>
          <w:rFonts w:hint="default" w:ascii="Times New Roman" w:hAnsi="Times New Roman" w:eastAsia="黑体" w:cs="Times New Roman"/>
          <w:b w:val="0"/>
          <w:color w:val="auto"/>
          <w:sz w:val="24"/>
          <w:szCs w:val="24"/>
          <w:highlight w:val="none"/>
        </w:rPr>
        <w:t>23.4发包人的索赔</w:t>
      </w:r>
      <w:bookmarkEnd w:id="1017"/>
      <w:bookmarkEnd w:id="1018"/>
      <w:bookmarkEnd w:id="1019"/>
      <w:bookmarkEnd w:id="1020"/>
    </w:p>
    <w:p w14:paraId="44E8783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23.4.1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29DC6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23.4.2监理人按第3.5款商定或确定发包人从承包人处得到赔付的金额和（或）缺陷责任期的延长期。承包人应付给发包人的金额可从拟支付给承包人的合同价款中扣除，或由承包人以其他方式支付给发包人。</w:t>
      </w:r>
    </w:p>
    <w:p w14:paraId="025692FE">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21" w:name="_Toc234833118"/>
      <w:bookmarkStart w:id="1022" w:name="_Toc31922"/>
      <w:bookmarkStart w:id="1023" w:name="_Toc15563"/>
      <w:bookmarkStart w:id="1024" w:name="_Toc27984"/>
      <w:r>
        <w:rPr>
          <w:rFonts w:hint="default" w:ascii="Times New Roman" w:hAnsi="Times New Roman" w:eastAsia="黑体" w:cs="Times New Roman"/>
          <w:b w:val="0"/>
          <w:color w:val="auto"/>
          <w:sz w:val="28"/>
          <w:szCs w:val="28"/>
          <w:highlight w:val="none"/>
        </w:rPr>
        <w:t>24.争议的解决</w:t>
      </w:r>
      <w:bookmarkEnd w:id="1021"/>
      <w:bookmarkEnd w:id="1022"/>
      <w:bookmarkEnd w:id="1023"/>
      <w:bookmarkEnd w:id="1024"/>
    </w:p>
    <w:p w14:paraId="5B5FD5C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25" w:name="_Toc30045"/>
      <w:bookmarkStart w:id="1026" w:name="_Toc234833119"/>
      <w:bookmarkStart w:id="1027" w:name="_Toc1723"/>
      <w:bookmarkStart w:id="1028" w:name="_Toc32049"/>
      <w:r>
        <w:rPr>
          <w:rFonts w:hint="default" w:ascii="Times New Roman" w:hAnsi="Times New Roman" w:eastAsia="黑体" w:cs="Times New Roman"/>
          <w:b w:val="0"/>
          <w:color w:val="auto"/>
          <w:sz w:val="24"/>
          <w:szCs w:val="24"/>
          <w:highlight w:val="none"/>
        </w:rPr>
        <w:t>24.1争议的解决方式</w:t>
      </w:r>
      <w:bookmarkEnd w:id="1025"/>
      <w:bookmarkEnd w:id="1026"/>
      <w:bookmarkEnd w:id="1027"/>
      <w:bookmarkEnd w:id="1028"/>
    </w:p>
    <w:p w14:paraId="5BBD31A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65BEA2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（1）向约定的仲裁委员会申请仲裁；</w:t>
      </w:r>
    </w:p>
    <w:p w14:paraId="1ECB48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（2）向有管辖权的人民法院提起诉讼。</w:t>
      </w:r>
    </w:p>
    <w:p w14:paraId="1B0D809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29" w:name="_Toc25861"/>
      <w:bookmarkStart w:id="1030" w:name="_Toc4677"/>
      <w:bookmarkStart w:id="1031" w:name="_Toc234833120"/>
      <w:bookmarkStart w:id="1032" w:name="_Toc21235"/>
      <w:r>
        <w:rPr>
          <w:rFonts w:hint="default" w:ascii="Times New Roman" w:hAnsi="Times New Roman" w:eastAsia="黑体" w:cs="Times New Roman"/>
          <w:b w:val="0"/>
          <w:color w:val="auto"/>
          <w:sz w:val="24"/>
          <w:szCs w:val="24"/>
          <w:highlight w:val="none"/>
        </w:rPr>
        <w:t>24.2友好解决</w:t>
      </w:r>
      <w:bookmarkEnd w:id="1029"/>
      <w:bookmarkEnd w:id="1030"/>
      <w:bookmarkEnd w:id="1031"/>
      <w:bookmarkEnd w:id="1032"/>
    </w:p>
    <w:p w14:paraId="0D0E8DA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在提请争议评审、仲裁或者诉讼前，以及在争议评审、仲裁或诉讼过程中，发包人和承包人均可共同努力友好协商解决争议。</w:t>
      </w:r>
    </w:p>
    <w:p w14:paraId="591008C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33" w:name="_Toc24796"/>
      <w:bookmarkStart w:id="1034" w:name="_Toc234833121"/>
      <w:bookmarkStart w:id="1035" w:name="_Toc17586"/>
      <w:bookmarkStart w:id="1036" w:name="_Toc20198"/>
      <w:r>
        <w:rPr>
          <w:rFonts w:hint="default" w:ascii="Times New Roman" w:hAnsi="Times New Roman" w:eastAsia="黑体" w:cs="Times New Roman"/>
          <w:b w:val="0"/>
          <w:color w:val="auto"/>
          <w:sz w:val="24"/>
          <w:szCs w:val="24"/>
          <w:highlight w:val="none"/>
        </w:rPr>
        <w:t>24.3争议评审</w:t>
      </w:r>
      <w:bookmarkEnd w:id="1033"/>
      <w:bookmarkEnd w:id="1034"/>
      <w:bookmarkEnd w:id="1035"/>
      <w:bookmarkEnd w:id="1036"/>
    </w:p>
    <w:p w14:paraId="1AA6F2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24.3.1采用争议评审的，发包人和承包人应在开工日后的28天内或在争议发生后，协商成立争议评审组。争议评审组由有合同管理和工程实践经验的专家组成。</w:t>
      </w:r>
    </w:p>
    <w:p w14:paraId="2B3F37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24.3.2合同双方的争议，应首先由申请人向争议评审组提交一份详细的评审申请报告，并附必要的文件、图纸和证明材料，申请人还应将上述报告的副本同时提交给被申请人和监理人。</w:t>
      </w:r>
    </w:p>
    <w:p w14:paraId="572979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24.3.3被申请人在收到申请人评审申请报告副本后的28天内，向争议评审组提交一份答辩报告，并附证明材料。被申请人应将答辩报告的副本同时提交给申请人和监理人。</w:t>
      </w:r>
    </w:p>
    <w:p w14:paraId="72F78D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24.3.4除专用合同条款另有约定外，争议评审组在收到合同双方报告后的14天内，邀请双方代表和有关人员举行调查会，向双方调查争议细节；必要时争议评审组可要求双方进一步提供补充材料。</w:t>
      </w:r>
    </w:p>
    <w:p w14:paraId="365495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770CCF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24.3.6发包人和承包人接受评审意见的，由监理人根据评审意见拟定执行协议，经争议双方签字后作为合同的补充文件，并遵照执行。</w:t>
      </w:r>
    </w:p>
    <w:p w14:paraId="69F4ED33">
      <w:pPr>
        <w:pageBreakBefore w:val="0"/>
        <w:kinsoku/>
        <w:wordWrap w:val="0"/>
        <w:bidi w:val="0"/>
        <w:spacing w:line="400" w:lineRule="atLeast"/>
        <w:ind w:firstLine="480" w:firstLineChars="200"/>
        <w:outlineLvl w:val="9"/>
        <w:rPr>
          <w:rFonts w:hint="default" w:ascii="Times New Roman" w:hAnsi="Times New Roman" w:cs="Times New Roman"/>
          <w:color w:val="auto"/>
          <w:sz w:val="20"/>
          <w:szCs w:val="20"/>
          <w:highlight w:val="none"/>
        </w:rPr>
      </w:pPr>
      <w:r>
        <w:rPr>
          <w:rFonts w:hint="default" w:ascii="Times New Roman" w:hAnsi="Times New Roman" w:cs="Times New Roman"/>
          <w:color w:val="auto"/>
          <w:sz w:val="24"/>
          <w:highlight w:val="none"/>
        </w:rPr>
        <w:t>24.3.7发包人或承包人不接受评审意见，并要求提交仲裁或提起诉讼的，应在收到评审意见后的14天内将仲裁或起诉意向书面通知另一方，并抄送监理人，但在仲裁或诉讼结束前应暂按总监理工程师的确定执行。</w:t>
      </w:r>
    </w:p>
    <w:p w14:paraId="071177B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32"/>
          <w:szCs w:val="32"/>
          <w:highlight w:val="none"/>
        </w:rPr>
        <w:br w:type="page"/>
      </w:r>
      <w:bookmarkStart w:id="1037" w:name="_Toc234833122"/>
    </w:p>
    <w:p w14:paraId="5E9D8D46">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A93E74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631676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18FF6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D67E71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F1C577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94F942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410FFF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98F7E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48647E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E281D14">
      <w:pPr>
        <w:pStyle w:val="5"/>
        <w:pageBreakBefore w:val="0"/>
        <w:kinsoku/>
        <w:wordWrap w:val="0"/>
        <w:bidi w:val="0"/>
        <w:spacing w:before="240" w:after="240" w:line="380" w:lineRule="atLeast"/>
        <w:jc w:val="center"/>
        <w:outlineLvl w:val="2"/>
        <w:rPr>
          <w:rFonts w:hint="default" w:ascii="Times New Roman" w:hAnsi="Times New Roman" w:eastAsia="黑体" w:cs="Times New Roman"/>
          <w:b w:val="0"/>
          <w:color w:val="auto"/>
          <w:sz w:val="42"/>
          <w:szCs w:val="42"/>
          <w:highlight w:val="none"/>
        </w:rPr>
      </w:pPr>
      <w:bookmarkStart w:id="1038" w:name="_Toc22963"/>
      <w:bookmarkStart w:id="1039" w:name="_Toc22779"/>
      <w:bookmarkStart w:id="1040" w:name="_Toc11299"/>
      <w:bookmarkStart w:id="1041" w:name="_Toc21883"/>
      <w:r>
        <w:rPr>
          <w:rFonts w:hint="default" w:ascii="Times New Roman" w:hAnsi="Times New Roman" w:eastAsia="黑体" w:cs="Times New Roman"/>
          <w:b w:val="0"/>
          <w:color w:val="auto"/>
          <w:sz w:val="42"/>
          <w:szCs w:val="42"/>
          <w:highlight w:val="none"/>
        </w:rPr>
        <w:t>第二节</w:t>
      </w:r>
      <w:r>
        <w:rPr>
          <w:rFonts w:hint="eastAsia" w:cs="Times New Roman"/>
          <w:b w:val="0"/>
          <w:color w:val="auto"/>
          <w:sz w:val="42"/>
          <w:szCs w:val="42"/>
          <w:highlight w:val="none"/>
          <w:lang w:val="en-US" w:eastAsia="zh-CN"/>
        </w:rPr>
        <w:t xml:space="preserve"> </w:t>
      </w:r>
      <w:r>
        <w:rPr>
          <w:rFonts w:hint="default" w:ascii="Times New Roman" w:hAnsi="Times New Roman" w:eastAsia="黑体" w:cs="Times New Roman"/>
          <w:b w:val="0"/>
          <w:color w:val="auto"/>
          <w:sz w:val="42"/>
          <w:szCs w:val="42"/>
          <w:highlight w:val="none"/>
        </w:rPr>
        <w:t>专用合同条款</w:t>
      </w:r>
      <w:bookmarkEnd w:id="1037"/>
      <w:bookmarkEnd w:id="1038"/>
      <w:bookmarkEnd w:id="1039"/>
      <w:bookmarkEnd w:id="1040"/>
      <w:bookmarkEnd w:id="1041"/>
    </w:p>
    <w:p w14:paraId="5090C205">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b w:val="0"/>
          <w:color w:val="auto"/>
          <w:sz w:val="32"/>
          <w:szCs w:val="32"/>
          <w:highlight w:val="none"/>
        </w:rPr>
        <w:br w:type="page"/>
      </w:r>
      <w:bookmarkStart w:id="1042" w:name="_Toc234833123"/>
      <w:bookmarkStart w:id="1043" w:name="_Toc22882"/>
      <w:bookmarkStart w:id="1044" w:name="_Toc3511"/>
      <w:r>
        <w:rPr>
          <w:rFonts w:hint="default" w:ascii="Times New Roman" w:hAnsi="Times New Roman" w:eastAsia="黑体" w:cs="Times New Roman"/>
          <w:b w:val="0"/>
          <w:color w:val="auto"/>
          <w:sz w:val="32"/>
          <w:szCs w:val="32"/>
          <w:highlight w:val="none"/>
        </w:rPr>
        <w:t>A.公路工程专用合同条款</w:t>
      </w:r>
      <w:bookmarkEnd w:id="1042"/>
      <w:bookmarkEnd w:id="1043"/>
      <w:bookmarkEnd w:id="1044"/>
    </w:p>
    <w:p w14:paraId="1F84FF3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p>
    <w:p w14:paraId="19F8749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8"/>
          <w:szCs w:val="28"/>
          <w:highlight w:val="none"/>
        </w:rPr>
      </w:pPr>
      <w:bookmarkStart w:id="1045" w:name="_Toc8341"/>
      <w:bookmarkStart w:id="1046" w:name="_Toc234833124"/>
      <w:bookmarkStart w:id="1047" w:name="_Toc18793"/>
      <w:bookmarkStart w:id="1048" w:name="_Toc8680"/>
      <w:r>
        <w:rPr>
          <w:rFonts w:hint="default" w:ascii="Times New Roman" w:hAnsi="Times New Roman" w:eastAsia="黑体" w:cs="Times New Roman"/>
          <w:b w:val="0"/>
          <w:color w:val="auto"/>
          <w:sz w:val="28"/>
          <w:szCs w:val="28"/>
          <w:highlight w:val="none"/>
        </w:rPr>
        <w:t>1.一般约定</w:t>
      </w:r>
      <w:bookmarkEnd w:id="1045"/>
      <w:bookmarkEnd w:id="1046"/>
      <w:bookmarkEnd w:id="1047"/>
      <w:bookmarkEnd w:id="1048"/>
      <w:r>
        <w:rPr>
          <w:rFonts w:hint="default" w:ascii="Times New Roman" w:hAnsi="Times New Roman" w:eastAsia="黑体" w:cs="Times New Roman"/>
          <w:b w:val="0"/>
          <w:color w:val="auto"/>
          <w:sz w:val="28"/>
          <w:szCs w:val="28"/>
          <w:highlight w:val="none"/>
        </w:rPr>
        <w:tab/>
      </w:r>
    </w:p>
    <w:p w14:paraId="0E91527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49" w:name="_Toc12594"/>
      <w:bookmarkStart w:id="1050" w:name="_Toc16083"/>
      <w:bookmarkStart w:id="1051" w:name="_Toc9796"/>
      <w:bookmarkStart w:id="1052" w:name="_Toc234833125"/>
      <w:r>
        <w:rPr>
          <w:rFonts w:hint="default" w:ascii="Times New Roman" w:hAnsi="Times New Roman" w:eastAsia="黑体" w:cs="Times New Roman"/>
          <w:b w:val="0"/>
          <w:color w:val="auto"/>
          <w:sz w:val="24"/>
          <w:szCs w:val="24"/>
          <w:highlight w:val="none"/>
        </w:rPr>
        <w:t>1.1</w:t>
      </w:r>
      <w:r>
        <w:rPr>
          <w:rFonts w:hint="default" w:ascii="Times New Roman" w:hAnsi="Times New Roman" w:eastAsia="黑体" w:cs="Times New Roman"/>
          <w:b w:val="0"/>
          <w:color w:val="auto"/>
          <w:sz w:val="24"/>
          <w:szCs w:val="24"/>
          <w:highlight w:val="none"/>
        </w:rPr>
        <w:tab/>
      </w:r>
      <w:r>
        <w:rPr>
          <w:rFonts w:hint="default" w:ascii="Times New Roman" w:hAnsi="Times New Roman" w:eastAsia="黑体" w:cs="Times New Roman"/>
          <w:b w:val="0"/>
          <w:color w:val="auto"/>
          <w:sz w:val="24"/>
          <w:szCs w:val="24"/>
          <w:highlight w:val="none"/>
        </w:rPr>
        <w:t>词语定义</w:t>
      </w:r>
      <w:bookmarkEnd w:id="1049"/>
      <w:bookmarkEnd w:id="1050"/>
      <w:bookmarkEnd w:id="1051"/>
      <w:bookmarkEnd w:id="1052"/>
    </w:p>
    <w:p w14:paraId="2CA364F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default" w:ascii="Times New Roman" w:hAnsi="Times New Roman" w:eastAsia="黑体" w:cs="Times New Roman"/>
          <w:color w:val="auto"/>
          <w:sz w:val="24"/>
          <w:highlight w:val="none"/>
        </w:rPr>
        <w:t>合同</w:t>
      </w:r>
    </w:p>
    <w:p w14:paraId="5260CE9E">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第1.1.1.6目细化为：</w:t>
      </w:r>
    </w:p>
    <w:p w14:paraId="1E64C68B">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技术规范：指本合同所约定的技术标准和要求，是合同文件的组成部分。通用合同条款中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技术标准和要求</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4A29E844">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第1.1.1.8目细化为：</w:t>
      </w:r>
    </w:p>
    <w:p w14:paraId="6BF0EEA7">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56E7C672">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本项补充第1.1.1.10目：</w:t>
      </w:r>
    </w:p>
    <w:p w14:paraId="6BA22CE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1.1.1.10补遗书：指发出招标文件之后由招标人向已取得招标文件的投标人发出的、编号的对招标文件所作的澄清、修改书。</w:t>
      </w:r>
    </w:p>
    <w:p w14:paraId="78F9821C">
      <w:pPr>
        <w:pageBreakBefore w:val="0"/>
        <w:kinsoku/>
        <w:wordWrap w:val="0"/>
        <w:bidi w:val="0"/>
        <w:spacing w:line="400" w:lineRule="atLeast"/>
        <w:ind w:firstLine="480" w:firstLineChars="200"/>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1.1.2</w:t>
      </w:r>
      <w:r>
        <w:rPr>
          <w:rFonts w:hint="default" w:ascii="Times New Roman" w:hAnsi="Times New Roman" w:eastAsia="黑体" w:cs="Times New Roman"/>
          <w:color w:val="auto"/>
          <w:sz w:val="24"/>
          <w:highlight w:val="none"/>
        </w:rPr>
        <w:t>合同当事人和人员</w:t>
      </w:r>
    </w:p>
    <w:p w14:paraId="25C69E9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本项补充第1.1.2.8</w:t>
      </w:r>
      <w:r>
        <w:rPr>
          <w:rFonts w:hint="eastAsia" w:cs="Times New Roman"/>
          <w:color w:val="auto"/>
          <w:sz w:val="24"/>
          <w:highlight w:val="none"/>
          <w:lang w:val="en-US" w:eastAsia="zh-CN"/>
        </w:rPr>
        <w:t>项</w:t>
      </w:r>
      <w:r>
        <w:rPr>
          <w:rFonts w:hint="default" w:ascii="Times New Roman" w:hAnsi="Times New Roman" w:cs="Times New Roman"/>
          <w:color w:val="auto"/>
          <w:sz w:val="24"/>
          <w:highlight w:val="none"/>
        </w:rPr>
        <w:t>目：</w:t>
      </w:r>
    </w:p>
    <w:p w14:paraId="238C0666">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1.1.2.8承包人项目总工：指由承包人书面委派常驻现场负责管理本合同工程的总工程师或技术总负责人。</w:t>
      </w:r>
    </w:p>
    <w:p w14:paraId="61D9BC5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w:t>
      </w:r>
      <w:r>
        <w:rPr>
          <w:rFonts w:hint="default" w:ascii="Times New Roman" w:hAnsi="Times New Roman" w:eastAsia="黑体" w:cs="Times New Roman"/>
          <w:color w:val="auto"/>
          <w:sz w:val="24"/>
          <w:highlight w:val="none"/>
        </w:rPr>
        <w:t>工程和设备</w:t>
      </w:r>
    </w:p>
    <w:p w14:paraId="3C85E721">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第1.1.3.4目细化为：</w:t>
      </w:r>
    </w:p>
    <w:p w14:paraId="4C2AFE7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单位工程：指在建设项目中，根据签订的合同，具有独立施工条件的工程。</w:t>
      </w:r>
    </w:p>
    <w:p w14:paraId="3EFE6503">
      <w:pPr>
        <w:pageBreakBefore w:val="0"/>
        <w:kinsoku/>
        <w:wordWrap w:val="0"/>
        <w:bidi w:val="0"/>
        <w:spacing w:line="400" w:lineRule="atLeast"/>
        <w:ind w:firstLine="720" w:firstLineChars="3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第1.1.3.10目细化为：</w:t>
      </w:r>
    </w:p>
    <w:p w14:paraId="28AE3D0C">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永久占地：指为实施本合同工程而需要的一切永久占用的土地，包括公路两侧路权范围内的用地。</w:t>
      </w:r>
    </w:p>
    <w:p w14:paraId="237C633A">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第1.1.3.11目细化为：</w:t>
      </w:r>
    </w:p>
    <w:p w14:paraId="0459C0F1">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临时占地：指为实施本合同工程而需要的一切临时占用的土地，包括施工所用的临时支线、便道、便桥和现场的临时出入通道，以及生产（办公）、生活等临时设施用地等。</w:t>
      </w:r>
    </w:p>
    <w:p w14:paraId="73FC46DD">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本项补充第1.1.3.12目、第1.1.3.13目：</w:t>
      </w:r>
    </w:p>
    <w:p w14:paraId="7C166EC7">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1.1.3.12分部工程：指在单位工程中，按结构部位、路段长度及施工特点或施工任务划分的若干个工程。</w:t>
      </w:r>
    </w:p>
    <w:p w14:paraId="3FB59BD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1.1.3.13分项工程：指在分部工程中，按不同的施工方法、材料、工序及路段长度等划分的若干个工程。</w:t>
      </w:r>
    </w:p>
    <w:p w14:paraId="39DC88E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bookmarkStart w:id="1053" w:name="OLE_LINK18"/>
      <w:r>
        <w:rPr>
          <w:rFonts w:hint="default" w:ascii="Times New Roman" w:hAnsi="Times New Roman" w:cs="Times New Roman"/>
          <w:color w:val="auto"/>
          <w:sz w:val="24"/>
          <w:highlight w:val="none"/>
        </w:rPr>
        <w:t>1.1.6</w:t>
      </w:r>
      <w:r>
        <w:rPr>
          <w:rFonts w:hint="default" w:ascii="Times New Roman" w:hAnsi="Times New Roman" w:eastAsia="黑体" w:cs="Times New Roman"/>
          <w:color w:val="auto"/>
          <w:sz w:val="24"/>
          <w:highlight w:val="none"/>
        </w:rPr>
        <w:t>其他</w:t>
      </w:r>
    </w:p>
    <w:p w14:paraId="2B28E945">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本项补充第1.1.6.2目～第1.1.6.9目：</w:t>
      </w:r>
    </w:p>
    <w:p w14:paraId="4DE4112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1.1.6.2竣工验收：指《公路工程竣（交）工验收办法》中的竣工验收。通用合同条款中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国家验收</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66A70B3D">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1.1.6.3交工：指《公路工程竣（交）工验收办法》中的交工。通用合同条款中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竣工</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186B67B0">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1.1.6.4交工验收：指《公路工程竣（交）工验收办法》中的交工验收。通用合同条款中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竣工验收</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422EE9B5">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1.1.6.5交工验收证书：指《公路工程竣（交）工验收办法》中的交工验收证书。通用合同条款中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工程接收证书</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bookmarkEnd w:id="1053"/>
    <w:p w14:paraId="4CB16334">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1.1.6.6转包：指承包人违反法律和不履行合同规定的责任和义务，将中标工程全部委托或以专业分包的名义将中标工程肢解后全部委托给其他施工企业施工的行为。</w:t>
      </w:r>
    </w:p>
    <w:p w14:paraId="0E322DD1">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3E5AE8DB">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0F09B3B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1.1.6.9雇用民工：指承包人与具有相应劳动能力的自然人签订劳动合同，由承包人统一组织管理，从事分项工程施工或配套工程施工的行为。</w:t>
      </w:r>
    </w:p>
    <w:p w14:paraId="23A9D1E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54" w:name="_Toc234833126"/>
      <w:bookmarkStart w:id="1055" w:name="_Toc27402"/>
      <w:bookmarkStart w:id="1056" w:name="_Toc1907"/>
      <w:bookmarkStart w:id="1057" w:name="_Toc20079"/>
      <w:r>
        <w:rPr>
          <w:rFonts w:hint="default" w:ascii="Times New Roman" w:hAnsi="Times New Roman" w:eastAsia="黑体" w:cs="Times New Roman"/>
          <w:b w:val="0"/>
          <w:color w:val="auto"/>
          <w:sz w:val="24"/>
          <w:szCs w:val="24"/>
          <w:highlight w:val="none"/>
        </w:rPr>
        <w:t>1.4合同文件的优先顺序</w:t>
      </w:r>
      <w:bookmarkEnd w:id="1054"/>
      <w:bookmarkEnd w:id="1055"/>
      <w:bookmarkEnd w:id="1056"/>
      <w:bookmarkEnd w:id="1057"/>
    </w:p>
    <w:p w14:paraId="3A15F9C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64997DD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组成合同的各项文件应互相解释，互为说明。除项目专用合同条款另有约定外，解释合同文件的优先顺序如下：</w:t>
      </w:r>
    </w:p>
    <w:p w14:paraId="7CBF108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（1）合同协议书及各种合同附件（含评标期间和合同谈判过程中的澄清文件和补充资料）；</w:t>
      </w:r>
    </w:p>
    <w:p w14:paraId="687114F2">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（2）中标通知书；</w:t>
      </w:r>
    </w:p>
    <w:p w14:paraId="76C26DA0">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（3）投标函及投标函附录；</w:t>
      </w:r>
    </w:p>
    <w:p w14:paraId="7F44181D">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（4）项目专用合同条款；</w:t>
      </w:r>
    </w:p>
    <w:p w14:paraId="439857F1">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（5）公路工程专用合同条款；</w:t>
      </w:r>
    </w:p>
    <w:p w14:paraId="7CC5E060">
      <w:pPr>
        <w:pageBreakBefore w:val="0"/>
        <w:kinsoku/>
        <w:wordWrap w:val="0"/>
        <w:bidi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（6）通用合同条款；</w:t>
      </w:r>
    </w:p>
    <w:p w14:paraId="42C33B5B">
      <w:pPr>
        <w:pageBreakBefore w:val="0"/>
        <w:kinsoku/>
        <w:wordWrap w:val="0"/>
        <w:bidi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（7）工程量清单计量规则；</w:t>
      </w:r>
    </w:p>
    <w:p w14:paraId="5F95B512">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（8）技术规范；</w:t>
      </w:r>
    </w:p>
    <w:p w14:paraId="1CF61A1C">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（9）图纸；</w:t>
      </w:r>
    </w:p>
    <w:p w14:paraId="2123060B">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（10）已标价工程量清单；</w:t>
      </w:r>
    </w:p>
    <w:p w14:paraId="126681ED">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（11）承包人有关人员、设备投入的承诺及投标文件中的施工组织设计；</w:t>
      </w:r>
    </w:p>
    <w:p w14:paraId="502FF963">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（12）其他合同文件。</w:t>
      </w:r>
    </w:p>
    <w:p w14:paraId="3D1ED98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58" w:name="_Toc234833127"/>
      <w:bookmarkStart w:id="1059" w:name="_Toc28459"/>
      <w:bookmarkStart w:id="1060" w:name="_Toc7187"/>
      <w:bookmarkStart w:id="1061" w:name="_Toc17521"/>
      <w:r>
        <w:rPr>
          <w:rFonts w:hint="default" w:ascii="Times New Roman" w:hAnsi="Times New Roman" w:eastAsia="黑体" w:cs="Times New Roman"/>
          <w:b w:val="0"/>
          <w:color w:val="auto"/>
          <w:sz w:val="24"/>
          <w:szCs w:val="24"/>
          <w:highlight w:val="none"/>
        </w:rPr>
        <w:t>1.5合同协议书</w:t>
      </w:r>
      <w:bookmarkEnd w:id="1058"/>
      <w:bookmarkEnd w:id="1059"/>
      <w:bookmarkEnd w:id="1060"/>
      <w:bookmarkEnd w:id="1061"/>
    </w:p>
    <w:p w14:paraId="0994986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563F818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制备本合同文件的费用由发包人承担。在合同协议书签订并生效之前，投标函和中标通知书将对双方具有约束力。</w:t>
      </w:r>
    </w:p>
    <w:p w14:paraId="6035694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62" w:name="_Toc21351"/>
      <w:bookmarkStart w:id="1063" w:name="_Toc2156"/>
      <w:bookmarkStart w:id="1064" w:name="_Toc234833128"/>
      <w:bookmarkStart w:id="1065" w:name="_Toc5981"/>
      <w:r>
        <w:rPr>
          <w:rFonts w:hint="default" w:ascii="Times New Roman" w:hAnsi="Times New Roman" w:eastAsia="黑体" w:cs="Times New Roman"/>
          <w:b w:val="0"/>
          <w:color w:val="auto"/>
          <w:sz w:val="24"/>
          <w:szCs w:val="24"/>
          <w:highlight w:val="none"/>
        </w:rPr>
        <w:t>1.6图纸和承包人文件</w:t>
      </w:r>
      <w:bookmarkEnd w:id="1062"/>
      <w:bookmarkEnd w:id="1063"/>
      <w:bookmarkEnd w:id="1064"/>
      <w:bookmarkEnd w:id="1065"/>
    </w:p>
    <w:p w14:paraId="66E71F9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w:t>
      </w:r>
      <w:r>
        <w:rPr>
          <w:rFonts w:hint="default" w:ascii="Times New Roman" w:hAnsi="Times New Roman" w:eastAsia="黑体" w:cs="Times New Roman"/>
          <w:color w:val="auto"/>
          <w:sz w:val="24"/>
          <w:highlight w:val="none"/>
        </w:rPr>
        <w:t>图纸的提供</w:t>
      </w:r>
    </w:p>
    <w:p w14:paraId="7905021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624BCAC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F37D6F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1.6.2</w:t>
      </w:r>
      <w:r>
        <w:rPr>
          <w:rFonts w:hint="default" w:ascii="Times New Roman" w:hAnsi="Times New Roman" w:eastAsia="黑体" w:cs="Times New Roman"/>
          <w:color w:val="auto"/>
          <w:sz w:val="24"/>
          <w:highlight w:val="none"/>
        </w:rPr>
        <w:t>承包人提供的文件</w:t>
      </w:r>
    </w:p>
    <w:p w14:paraId="6384071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7E88A91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6114C80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（1）为使第1.6.1项所述的施工图纸适合于经施工测量后的纵、横断面；</w:t>
      </w:r>
    </w:p>
    <w:p w14:paraId="0414A83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（2）为使第1.6.1项所述的施工图纸适合于现场具体地形；</w:t>
      </w:r>
    </w:p>
    <w:p w14:paraId="05751DF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（3）为使第1.6.1项所述的施工图纸适合于因尺寸与位置变化而引起局部变更；</w:t>
      </w:r>
    </w:p>
    <w:p w14:paraId="241268A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（4）由于合同要求与施工需要。</w:t>
      </w:r>
    </w:p>
    <w:p w14:paraId="0323715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0D8EFAE1">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w:t>
      </w:r>
      <w:r>
        <w:rPr>
          <w:rFonts w:hint="default" w:ascii="Times New Roman" w:hAnsi="Times New Roman" w:eastAsia="黑体" w:cs="Times New Roman"/>
          <w:color w:val="auto"/>
          <w:sz w:val="24"/>
          <w:highlight w:val="none"/>
        </w:rPr>
        <w:t>图纸的错误</w:t>
      </w:r>
    </w:p>
    <w:p w14:paraId="7C61956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5FF5814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3B65B53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66" w:name="_Toc23783"/>
      <w:bookmarkStart w:id="1067" w:name="_Toc29704"/>
      <w:bookmarkStart w:id="1068" w:name="_Toc234833129"/>
      <w:bookmarkStart w:id="1069" w:name="_Toc5360"/>
      <w:r>
        <w:rPr>
          <w:rFonts w:hint="default" w:ascii="Times New Roman" w:hAnsi="Times New Roman" w:eastAsia="黑体" w:cs="Times New Roman"/>
          <w:b w:val="0"/>
          <w:color w:val="auto"/>
          <w:sz w:val="24"/>
          <w:szCs w:val="24"/>
          <w:highlight w:val="none"/>
        </w:rPr>
        <w:t>1.9严禁贿赂</w:t>
      </w:r>
      <w:bookmarkEnd w:id="1066"/>
      <w:bookmarkEnd w:id="1067"/>
      <w:bookmarkEnd w:id="1068"/>
      <w:bookmarkEnd w:id="1069"/>
    </w:p>
    <w:p w14:paraId="30750DC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34C0485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0A4A18A">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70" w:name="_Toc15632"/>
      <w:bookmarkStart w:id="1071" w:name="_Toc1766"/>
      <w:bookmarkStart w:id="1072" w:name="_Toc234833130"/>
      <w:bookmarkStart w:id="1073" w:name="_Toc3220"/>
      <w:r>
        <w:rPr>
          <w:rFonts w:hint="default" w:ascii="Times New Roman" w:hAnsi="Times New Roman" w:eastAsia="黑体" w:cs="Times New Roman"/>
          <w:b w:val="0"/>
          <w:color w:val="auto"/>
          <w:sz w:val="28"/>
          <w:szCs w:val="28"/>
          <w:highlight w:val="none"/>
        </w:rPr>
        <w:t>2.发包人义务</w:t>
      </w:r>
      <w:bookmarkEnd w:id="1070"/>
      <w:bookmarkEnd w:id="1071"/>
      <w:bookmarkEnd w:id="1072"/>
      <w:bookmarkEnd w:id="1073"/>
    </w:p>
    <w:p w14:paraId="3B5F0B2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74" w:name="_Toc21651"/>
      <w:bookmarkStart w:id="1075" w:name="_Toc14471"/>
      <w:bookmarkStart w:id="1076" w:name="_Toc234833131"/>
      <w:bookmarkStart w:id="1077" w:name="_Toc27735"/>
      <w:r>
        <w:rPr>
          <w:rFonts w:hint="default" w:ascii="Times New Roman" w:hAnsi="Times New Roman" w:eastAsia="黑体" w:cs="Times New Roman"/>
          <w:b w:val="0"/>
          <w:color w:val="auto"/>
          <w:sz w:val="24"/>
          <w:szCs w:val="24"/>
          <w:highlight w:val="none"/>
        </w:rPr>
        <w:t>2.3提供施工场地</w:t>
      </w:r>
      <w:bookmarkEnd w:id="1074"/>
      <w:bookmarkEnd w:id="1075"/>
      <w:bookmarkEnd w:id="1076"/>
      <w:bookmarkEnd w:id="1077"/>
    </w:p>
    <w:p w14:paraId="0A908C8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6296E89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5EBDCC54">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4F8458C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78" w:name="_Toc234833132"/>
      <w:bookmarkStart w:id="1079" w:name="_Toc18127"/>
      <w:bookmarkStart w:id="1080" w:name="_Toc25338"/>
      <w:bookmarkStart w:id="1081" w:name="_Toc18195"/>
      <w:r>
        <w:rPr>
          <w:rFonts w:hint="default" w:ascii="Times New Roman" w:hAnsi="Times New Roman" w:eastAsia="黑体" w:cs="Times New Roman"/>
          <w:b w:val="0"/>
          <w:color w:val="auto"/>
          <w:sz w:val="28"/>
          <w:szCs w:val="28"/>
          <w:highlight w:val="none"/>
        </w:rPr>
        <w:t>3.监理人</w:t>
      </w:r>
      <w:bookmarkEnd w:id="1078"/>
      <w:bookmarkEnd w:id="1079"/>
      <w:bookmarkEnd w:id="1080"/>
      <w:bookmarkEnd w:id="1081"/>
    </w:p>
    <w:p w14:paraId="38745D38">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082" w:name="_Toc10320"/>
      <w:bookmarkStart w:id="1083" w:name="_Toc31502"/>
      <w:bookmarkStart w:id="1084" w:name="_Toc19048"/>
      <w:bookmarkStart w:id="1085" w:name="_Toc234833133"/>
      <w:r>
        <w:rPr>
          <w:rFonts w:hint="default" w:ascii="Times New Roman" w:hAnsi="Times New Roman" w:eastAsia="黑体" w:cs="Times New Roman"/>
          <w:b w:val="0"/>
          <w:color w:val="auto"/>
          <w:sz w:val="24"/>
          <w:szCs w:val="24"/>
          <w:highlight w:val="none"/>
        </w:rPr>
        <w:t>3.1监理人的职责和权力</w:t>
      </w:r>
      <w:bookmarkEnd w:id="1082"/>
      <w:bookmarkEnd w:id="1083"/>
      <w:bookmarkEnd w:id="1084"/>
      <w:bookmarkEnd w:id="1085"/>
    </w:p>
    <w:p w14:paraId="2E455F4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第3.1.1项补充：</w:t>
      </w:r>
    </w:p>
    <w:p w14:paraId="63745B4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监理人在行使下列权力前需要经发包人事先批准：</w:t>
      </w:r>
    </w:p>
    <w:p w14:paraId="291CCEB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（1）根据第4.3款，同意分包本工程的某些非关键性工作或者适合专业化队伍施工的专项工程；</w:t>
      </w:r>
    </w:p>
    <w:p w14:paraId="013B25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（2）确定第4.11款下产生的费用增加额；</w:t>
      </w:r>
    </w:p>
    <w:p w14:paraId="603F9B1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（3）根据第11.1款、第12.3款、第12.4款发布开工通知、暂停施工指示或复工通知；</w:t>
      </w:r>
    </w:p>
    <w:p w14:paraId="66654D4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（4）决定第11.3款、第11.4款下的工期延长；</w:t>
      </w:r>
    </w:p>
    <w:p w14:paraId="307534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（5）审查批准技术方案或设计的变更；</w:t>
      </w:r>
    </w:p>
    <w:p w14:paraId="5AFA0BC5">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（6）根据第15.3款发出的变更指示，其单项工程变更或累计变更涉及的金额超过了项目专用合同条款数据表中规定的金额；</w:t>
      </w:r>
    </w:p>
    <w:p w14:paraId="4AA14D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（7）确定第15.4款下变更工作的单价；</w:t>
      </w:r>
    </w:p>
    <w:p w14:paraId="09BF96D1">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（8）按照第15.6款决定有关暂列金额的使用；</w:t>
      </w:r>
    </w:p>
    <w:p w14:paraId="5EAFB2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（9）确定第15.8款下的暂估价金额；</w:t>
      </w:r>
    </w:p>
    <w:p w14:paraId="1896FF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（10）确定第23.1款下的索赔额。</w:t>
      </w:r>
    </w:p>
    <w:p w14:paraId="02606340">
      <w:pPr>
        <w:pageBreakBefore w:val="0"/>
        <w:kinsoku/>
        <w:wordWrap w:val="0"/>
        <w:bidi w:val="0"/>
        <w:spacing w:line="440" w:lineRule="exac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534396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86" w:name="_Toc234833134"/>
      <w:bookmarkStart w:id="1087" w:name="_Toc22142"/>
      <w:bookmarkStart w:id="1088" w:name="_Toc24088"/>
      <w:bookmarkStart w:id="1089" w:name="_Toc11325"/>
      <w:r>
        <w:rPr>
          <w:rFonts w:hint="default" w:ascii="Times New Roman" w:hAnsi="Times New Roman" w:eastAsia="黑体" w:cs="Times New Roman"/>
          <w:b w:val="0"/>
          <w:color w:val="auto"/>
          <w:sz w:val="24"/>
          <w:szCs w:val="24"/>
          <w:highlight w:val="none"/>
        </w:rPr>
        <w:t>3.5商定或确定</w:t>
      </w:r>
      <w:bookmarkEnd w:id="1086"/>
      <w:bookmarkEnd w:id="1087"/>
      <w:bookmarkEnd w:id="1088"/>
      <w:bookmarkEnd w:id="1089"/>
    </w:p>
    <w:p w14:paraId="4F4322F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第3.5.1项补充：</w:t>
      </w:r>
    </w:p>
    <w:p w14:paraId="0D7EB21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如果这项商定或确定导致费用增加和（或）工期延长，或者涉及确定变更工程的价格，则总监理工程师在发出通知前，应征得发包人的同意。</w:t>
      </w:r>
    </w:p>
    <w:p w14:paraId="3E144ABC">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90" w:name="_Toc11613"/>
      <w:bookmarkStart w:id="1091" w:name="_Toc234833135"/>
      <w:bookmarkStart w:id="1092" w:name="_Toc9107"/>
      <w:bookmarkStart w:id="1093" w:name="_Toc32621"/>
      <w:r>
        <w:rPr>
          <w:rFonts w:hint="default" w:ascii="Times New Roman" w:hAnsi="Times New Roman" w:eastAsia="黑体" w:cs="Times New Roman"/>
          <w:b w:val="0"/>
          <w:color w:val="auto"/>
          <w:sz w:val="28"/>
          <w:szCs w:val="28"/>
          <w:highlight w:val="none"/>
        </w:rPr>
        <w:t>4.承包人</w:t>
      </w:r>
      <w:bookmarkEnd w:id="1090"/>
      <w:bookmarkEnd w:id="1091"/>
      <w:bookmarkEnd w:id="1092"/>
      <w:bookmarkEnd w:id="1093"/>
    </w:p>
    <w:p w14:paraId="16C0CD8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94" w:name="_Toc9712"/>
      <w:bookmarkStart w:id="1095" w:name="_Toc1637"/>
      <w:bookmarkStart w:id="1096" w:name="_Toc234833136"/>
      <w:bookmarkStart w:id="1097" w:name="_Toc10533"/>
      <w:r>
        <w:rPr>
          <w:rFonts w:hint="default" w:ascii="Times New Roman" w:hAnsi="Times New Roman" w:eastAsia="黑体" w:cs="Times New Roman"/>
          <w:b w:val="0"/>
          <w:color w:val="auto"/>
          <w:sz w:val="24"/>
          <w:szCs w:val="24"/>
          <w:highlight w:val="none"/>
        </w:rPr>
        <w:t>4.1承包人的一般义务</w:t>
      </w:r>
      <w:bookmarkEnd w:id="1094"/>
      <w:bookmarkEnd w:id="1095"/>
      <w:bookmarkEnd w:id="1096"/>
      <w:bookmarkEnd w:id="1097"/>
    </w:p>
    <w:p w14:paraId="53532D38">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4.1.9</w:t>
      </w:r>
      <w:r>
        <w:rPr>
          <w:rFonts w:hint="default" w:ascii="Times New Roman" w:hAnsi="Times New Roman" w:eastAsia="黑体" w:cs="Times New Roman"/>
          <w:color w:val="auto"/>
          <w:sz w:val="24"/>
          <w:highlight w:val="none"/>
        </w:rPr>
        <w:t>工程的维护和照管</w:t>
      </w:r>
    </w:p>
    <w:p w14:paraId="634FABD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2DDEBDA0">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A17A23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3436AE54">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4.1.10</w:t>
      </w:r>
      <w:r>
        <w:rPr>
          <w:rFonts w:hint="default" w:ascii="Times New Roman" w:hAnsi="Times New Roman" w:eastAsia="黑体" w:cs="Times New Roman"/>
          <w:color w:val="auto"/>
          <w:sz w:val="24"/>
          <w:highlight w:val="none"/>
        </w:rPr>
        <w:t>其他义务</w:t>
      </w:r>
    </w:p>
    <w:p w14:paraId="07D2EE2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13886BF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（1）临时占地由承包人向当地政府土地管理部门申请，并办理租用手续，承包人按有关规定直接支付其费用，发包人对此将予以协调。</w:t>
      </w:r>
    </w:p>
    <w:p w14:paraId="4297340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临时占地计划表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6AADAEA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15FDB1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C3D606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25EE3BD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包工头</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或其他不具备用工主体资格的组织和个人。</w:t>
      </w:r>
    </w:p>
    <w:p w14:paraId="6F297F3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工资支付表应如实记录支付单位、支付时间、支付对象、支付数额、支付对象的身份证号和签字等信息。民工花名册和工资支付表应报监理人备查。</w:t>
      </w:r>
    </w:p>
    <w:p w14:paraId="6E918268">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（4）承包人应分解工程价款中的人工费用，在工程项目所在地银行开设</w:t>
      </w:r>
      <w:r>
        <w:rPr>
          <w:rFonts w:hint="eastAsia" w:cs="Times New Roman"/>
          <w:color w:val="auto"/>
          <w:sz w:val="24"/>
          <w:highlight w:val="none"/>
          <w:lang w:val="en-US" w:eastAsia="zh-CN"/>
        </w:rPr>
        <w:t>农</w:t>
      </w:r>
      <w:r>
        <w:rPr>
          <w:rFonts w:hint="default" w:ascii="Times New Roman" w:hAnsi="Times New Roman" w:cs="Times New Roman"/>
          <w:color w:val="auto"/>
          <w:sz w:val="24"/>
          <w:highlight w:val="none"/>
        </w:rPr>
        <w:t>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04E29FA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10BCA0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（6）承包人应履行项目专用合同条款约定的其他义务。</w:t>
      </w:r>
    </w:p>
    <w:p w14:paraId="5C89618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98" w:name="_Toc16581"/>
      <w:bookmarkStart w:id="1099" w:name="_Toc29645"/>
      <w:bookmarkStart w:id="1100" w:name="_Toc19692"/>
      <w:bookmarkStart w:id="1101" w:name="_Toc234833137"/>
      <w:r>
        <w:rPr>
          <w:rFonts w:hint="default" w:ascii="Times New Roman" w:hAnsi="Times New Roman" w:eastAsia="黑体" w:cs="Times New Roman"/>
          <w:b w:val="0"/>
          <w:color w:val="auto"/>
          <w:sz w:val="24"/>
          <w:szCs w:val="24"/>
          <w:highlight w:val="none"/>
        </w:rPr>
        <w:t>4.2履约保证金</w:t>
      </w:r>
      <w:bookmarkEnd w:id="1098"/>
      <w:bookmarkEnd w:id="1099"/>
      <w:bookmarkEnd w:id="1100"/>
    </w:p>
    <w:p w14:paraId="217B572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54B27E9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7C65B92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2FC7C5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02" w:name="_Toc32680"/>
      <w:bookmarkStart w:id="1103" w:name="_Toc1237"/>
      <w:bookmarkStart w:id="1104" w:name="_Toc25400"/>
      <w:r>
        <w:rPr>
          <w:rFonts w:hint="default" w:ascii="Times New Roman" w:hAnsi="Times New Roman" w:eastAsia="黑体" w:cs="Times New Roman"/>
          <w:b w:val="0"/>
          <w:color w:val="auto"/>
          <w:sz w:val="24"/>
          <w:szCs w:val="24"/>
          <w:highlight w:val="none"/>
        </w:rPr>
        <w:t>4.3分包</w:t>
      </w:r>
      <w:bookmarkEnd w:id="1101"/>
      <w:bookmarkEnd w:id="1102"/>
      <w:bookmarkEnd w:id="1103"/>
      <w:bookmarkEnd w:id="1104"/>
    </w:p>
    <w:p w14:paraId="1379EFF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第4.3.2项～第4.3.4项细化为：</w:t>
      </w:r>
    </w:p>
    <w:p w14:paraId="0E6EC7D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4.3.2承包人不得将《辽宁省公路工程施工分包管理实施细则》（辽交公路规〔2025〕1号）规定的负面清单所列主体和关键性工作分包给第三人。经发包人同意，承包人可将工程的其他部分或工作分包给第三人。分包包括专业分包和劳务分包。</w:t>
      </w:r>
    </w:p>
    <w:p w14:paraId="2790C6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4.3.3专业分包</w:t>
      </w:r>
    </w:p>
    <w:p w14:paraId="64E31CB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在工程施工过程中，承包人进行专业分包必须遵守以下规定：</w:t>
      </w:r>
    </w:p>
    <w:p w14:paraId="4A218A6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（1）允许专业分包的工程范围仅限于《辽宁省公路工程施工分包管理实施细则》（辽交公路规〔2025〕1号）</w:t>
      </w:r>
      <w:r>
        <w:rPr>
          <w:rFonts w:hint="eastAsia" w:cs="Times New Roman"/>
          <w:color w:val="auto"/>
          <w:sz w:val="24"/>
          <w:highlight w:val="none"/>
          <w:lang w:val="en-US" w:eastAsia="zh-CN"/>
        </w:rPr>
        <w:t>规定的负面清单以外的部分单位工程、分部工程或者分项工程</w:t>
      </w:r>
      <w:r>
        <w:rPr>
          <w:rFonts w:hint="default" w:ascii="Times New Roman" w:hAnsi="Times New Roman" w:cs="Times New Roman"/>
          <w:color w:val="auto"/>
          <w:sz w:val="24"/>
          <w:highlight w:val="none"/>
        </w:rPr>
        <w:t>。</w:t>
      </w:r>
    </w:p>
    <w:p w14:paraId="175ADE6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（2）专业分包人的资格能力（含安全生产能力）应与其分包工程的标准和规模相适应，且应当具备如下条件：</w:t>
      </w:r>
    </w:p>
    <w:p w14:paraId="5D7E83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a.具有经依法登记的法人资格；</w:t>
      </w:r>
    </w:p>
    <w:p w14:paraId="5F6707E2">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b.具有从事类似工程经验的管理与技术人员；</w:t>
      </w:r>
    </w:p>
    <w:p w14:paraId="2130C8BD">
      <w:pPr>
        <w:pageBreakBefore w:val="0"/>
        <w:kinsoku/>
        <w:wordWrap w:val="0"/>
        <w:bidi w:val="0"/>
        <w:spacing w:line="400" w:lineRule="atLeast"/>
        <w:ind w:firstLine="480" w:firstLineChars="200"/>
        <w:outlineLvl w:val="9"/>
        <w:rPr>
          <w:rFonts w:hint="eastAsia" w:cs="Times New Roman"/>
          <w:color w:val="auto"/>
          <w:sz w:val="24"/>
          <w:highlight w:val="none"/>
          <w:lang w:eastAsia="zh-CN"/>
        </w:rPr>
      </w:pPr>
      <w:r>
        <w:rPr>
          <w:rFonts w:hint="default" w:ascii="Times New Roman" w:hAnsi="Times New Roman" w:cs="Times New Roman"/>
          <w:color w:val="auto"/>
          <w:sz w:val="24"/>
          <w:highlight w:val="none"/>
        </w:rPr>
        <w:t>c.具有（自有或者租赁）分包工程所需的施工设备和辅助设施</w:t>
      </w:r>
      <w:r>
        <w:rPr>
          <w:rFonts w:hint="eastAsia" w:cs="Times New Roman"/>
          <w:color w:val="auto"/>
          <w:sz w:val="24"/>
          <w:highlight w:val="none"/>
          <w:lang w:eastAsia="zh-CN"/>
        </w:rPr>
        <w:t>；</w:t>
      </w:r>
    </w:p>
    <w:p w14:paraId="2370EE7B">
      <w:pPr>
        <w:pageBreakBefore w:val="0"/>
        <w:kinsoku/>
        <w:wordWrap w:val="0"/>
        <w:bidi w:val="0"/>
        <w:spacing w:line="400" w:lineRule="atLeast"/>
        <w:ind w:firstLine="480" w:firstLineChars="200"/>
        <w:outlineLvl w:val="9"/>
        <w:rPr>
          <w:rFonts w:hint="eastAsia" w:cs="Times New Roman"/>
          <w:color w:val="auto"/>
          <w:sz w:val="24"/>
          <w:highlight w:val="none"/>
          <w:lang w:val="en-US" w:eastAsia="zh-CN"/>
        </w:rPr>
      </w:pPr>
      <w:r>
        <w:rPr>
          <w:rFonts w:hint="eastAsia" w:cs="Times New Roman"/>
          <w:color w:val="auto"/>
          <w:sz w:val="24"/>
          <w:highlight w:val="none"/>
          <w:lang w:val="en-US" w:eastAsia="zh-CN"/>
        </w:rPr>
        <w:t>d.单位工程设有资质要求的，单位工程及所含分部工程、分项工程的分包人，应当具备国家规定的相应专业承包资质条件;</w:t>
      </w:r>
    </w:p>
    <w:p w14:paraId="6F1160A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eastAsia" w:cs="Times New Roman"/>
          <w:color w:val="auto"/>
          <w:sz w:val="24"/>
          <w:highlight w:val="none"/>
          <w:lang w:val="en-US" w:eastAsia="zh-CN"/>
        </w:rPr>
        <w:t>e.其他单位工程及所含分部工程、分项工程的分包人，应当具备发包人确定的资格条件，但不得违反法律法规等相关规定</w:t>
      </w:r>
      <w:r>
        <w:rPr>
          <w:rFonts w:hint="default" w:ascii="Times New Roman" w:hAnsi="Times New Roman" w:cs="Times New Roman"/>
          <w:color w:val="auto"/>
          <w:sz w:val="24"/>
          <w:highlight w:val="none"/>
        </w:rPr>
        <w:t>。</w:t>
      </w:r>
    </w:p>
    <w:p w14:paraId="1AB153E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承包人应向监理人提交专业分包人的资格能力证明材料，经监理人审查并报发包人批准后，可以将相应专业工程分包给该专业分包人。</w:t>
      </w:r>
    </w:p>
    <w:p w14:paraId="233343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（3）专业分包工程不得再次分包。</w:t>
      </w:r>
    </w:p>
    <w:p w14:paraId="3B3D629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431D2E9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7BE1190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3CF9355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644C43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7EEC813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违反上述规定之一者属违规分包。</w:t>
      </w:r>
    </w:p>
    <w:p w14:paraId="3FCF6E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4.3.4劳务分包</w:t>
      </w:r>
    </w:p>
    <w:p w14:paraId="6FB7D8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在工程施工过程中，承包人进行劳务分包必须遵守以下规定：</w:t>
      </w:r>
    </w:p>
    <w:p w14:paraId="76593CB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（1）劳务分包人应具有施工劳务资质。</w:t>
      </w:r>
    </w:p>
    <w:p w14:paraId="20B06BC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4D6641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DB13F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（4）承包人应当对劳务分包人员进行安全培训和管理，劳务分包人不得将其分包的劳务作业再次分包。</w:t>
      </w:r>
    </w:p>
    <w:p w14:paraId="232CA5A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违反上述规定之一者属违规分包。</w:t>
      </w:r>
    </w:p>
    <w:p w14:paraId="750F43B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本款补充第4.3.6项、第4.3.7项：</w:t>
      </w:r>
    </w:p>
    <w:p w14:paraId="45CC17A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4.3.6发包人对承包人与分包人之间的法律与经济纠纷不承担任何责任和义务。</w:t>
      </w:r>
    </w:p>
    <w:p w14:paraId="52F18E4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4.3.7本项目的各项分包工作均应遵守《公路工程施工分包管理办法》的有关规定。</w:t>
      </w:r>
    </w:p>
    <w:p w14:paraId="4542A2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05" w:name="_Toc32168"/>
      <w:bookmarkStart w:id="1106" w:name="_Toc29009"/>
      <w:bookmarkStart w:id="1107" w:name="_Toc234833138"/>
      <w:bookmarkStart w:id="1108" w:name="_Toc29289"/>
      <w:r>
        <w:rPr>
          <w:rFonts w:hint="default" w:ascii="Times New Roman" w:hAnsi="Times New Roman" w:eastAsia="黑体" w:cs="Times New Roman"/>
          <w:b w:val="0"/>
          <w:color w:val="auto"/>
          <w:sz w:val="24"/>
          <w:szCs w:val="24"/>
          <w:highlight w:val="none"/>
        </w:rPr>
        <w:t>4.4联合体</w:t>
      </w:r>
      <w:bookmarkEnd w:id="1105"/>
      <w:bookmarkEnd w:id="1106"/>
      <w:bookmarkEnd w:id="1107"/>
      <w:bookmarkEnd w:id="1108"/>
    </w:p>
    <w:p w14:paraId="35BDA53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本款补充第4.4.4项：</w:t>
      </w:r>
    </w:p>
    <w:p w14:paraId="40E504B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4.4.4未经发包人事先同意，联合体的组成与结构不得变动。</w:t>
      </w:r>
    </w:p>
    <w:p w14:paraId="7D0534E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09" w:name="_Toc13104"/>
      <w:bookmarkStart w:id="1110" w:name="_Toc12253"/>
      <w:bookmarkStart w:id="1111" w:name="_Toc2858"/>
      <w:bookmarkStart w:id="1112" w:name="_Toc234833139"/>
      <w:r>
        <w:rPr>
          <w:rFonts w:hint="default" w:ascii="Times New Roman" w:hAnsi="Times New Roman" w:eastAsia="黑体" w:cs="Times New Roman"/>
          <w:b w:val="0"/>
          <w:color w:val="auto"/>
          <w:sz w:val="24"/>
          <w:szCs w:val="24"/>
          <w:highlight w:val="none"/>
        </w:rPr>
        <w:t>4.6承包人人员的管理</w:t>
      </w:r>
      <w:bookmarkEnd w:id="1109"/>
      <w:bookmarkEnd w:id="1110"/>
      <w:bookmarkEnd w:id="1111"/>
      <w:bookmarkEnd w:id="1112"/>
    </w:p>
    <w:p w14:paraId="192634E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第4.6.3项细化为：</w:t>
      </w:r>
    </w:p>
    <w:p w14:paraId="750FB50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3B2FBD1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本款补充第4.6.5项：</w:t>
      </w:r>
    </w:p>
    <w:p w14:paraId="0FBA0A6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75714CE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13" w:name="_Toc234833140"/>
      <w:bookmarkStart w:id="1114" w:name="_Toc16403"/>
      <w:bookmarkStart w:id="1115" w:name="_Toc20923"/>
      <w:bookmarkStart w:id="1116" w:name="_Toc3046"/>
      <w:r>
        <w:rPr>
          <w:rFonts w:hint="default" w:ascii="Times New Roman" w:hAnsi="Times New Roman" w:eastAsia="黑体" w:cs="Times New Roman"/>
          <w:b w:val="0"/>
          <w:color w:val="auto"/>
          <w:sz w:val="24"/>
          <w:szCs w:val="24"/>
          <w:highlight w:val="none"/>
        </w:rPr>
        <w:t>4.7撤换承包人项目经理和其他人员</w:t>
      </w:r>
      <w:bookmarkEnd w:id="1113"/>
      <w:bookmarkEnd w:id="1114"/>
      <w:bookmarkEnd w:id="1115"/>
      <w:bookmarkEnd w:id="1116"/>
    </w:p>
    <w:p w14:paraId="77ED67A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583D1B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354A34F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17" w:name="_Toc22693"/>
      <w:bookmarkStart w:id="1118" w:name="_Toc6730"/>
      <w:bookmarkStart w:id="1119" w:name="_Toc234833141"/>
      <w:bookmarkStart w:id="1120" w:name="_Toc4005"/>
      <w:r>
        <w:rPr>
          <w:rFonts w:hint="default" w:ascii="Times New Roman" w:hAnsi="Times New Roman" w:eastAsia="黑体" w:cs="Times New Roman"/>
          <w:b w:val="0"/>
          <w:color w:val="auto"/>
          <w:sz w:val="24"/>
          <w:szCs w:val="24"/>
          <w:highlight w:val="none"/>
        </w:rPr>
        <w:t>4.9工程价款应专款专用</w:t>
      </w:r>
      <w:bookmarkEnd w:id="1117"/>
      <w:bookmarkEnd w:id="1118"/>
      <w:bookmarkEnd w:id="1119"/>
      <w:bookmarkEnd w:id="1120"/>
    </w:p>
    <w:p w14:paraId="3997FC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53625A4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w:t>
      </w:r>
      <w:r>
        <w:rPr>
          <w:rFonts w:hint="eastAsia" w:cs="Times New Roman"/>
          <w:color w:val="auto"/>
          <w:sz w:val="24"/>
          <w:highlight w:val="none"/>
          <w:lang w:val="en-US" w:eastAsia="zh-CN"/>
        </w:rPr>
        <w:t>当</w:t>
      </w:r>
      <w:r>
        <w:rPr>
          <w:rFonts w:hint="default" w:ascii="Times New Roman" w:hAnsi="Times New Roman" w:cs="Times New Roman"/>
          <w:color w:val="auto"/>
          <w:sz w:val="24"/>
          <w:highlight w:val="none"/>
        </w:rPr>
        <w:t>月支付，直至承包人改正为止。</w:t>
      </w:r>
    </w:p>
    <w:p w14:paraId="326FAFB6">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121" w:name="_Toc5299"/>
      <w:bookmarkStart w:id="1122" w:name="_Toc2824"/>
      <w:bookmarkStart w:id="1123" w:name="_Toc14913"/>
      <w:bookmarkStart w:id="1124" w:name="_Toc234833142"/>
      <w:r>
        <w:rPr>
          <w:rFonts w:hint="default" w:ascii="Times New Roman" w:hAnsi="Times New Roman" w:eastAsia="黑体" w:cs="Times New Roman"/>
          <w:b w:val="0"/>
          <w:color w:val="auto"/>
          <w:sz w:val="24"/>
          <w:szCs w:val="24"/>
          <w:highlight w:val="none"/>
        </w:rPr>
        <w:t>4.10承包人现场查勘</w:t>
      </w:r>
      <w:bookmarkEnd w:id="1121"/>
      <w:bookmarkEnd w:id="1122"/>
      <w:bookmarkEnd w:id="1123"/>
      <w:bookmarkEnd w:id="1124"/>
    </w:p>
    <w:p w14:paraId="526D299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第4.10.1项细化为：</w:t>
      </w:r>
      <w:r>
        <w:rPr>
          <w:rStyle w:val="48"/>
          <w:rFonts w:hint="default" w:ascii="Times New Roman" w:hAnsi="Times New Roman" w:cs="Times New Roman"/>
          <w:color w:val="auto"/>
          <w:sz w:val="24"/>
          <w:highlight w:val="none"/>
        </w:rPr>
        <w:footnoteReference w:id="32"/>
      </w:r>
    </w:p>
    <w:p w14:paraId="06CFEB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E249F1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25" w:name="_Toc15362"/>
      <w:bookmarkStart w:id="1126" w:name="_Toc26327"/>
      <w:bookmarkStart w:id="1127" w:name="_Toc29737"/>
      <w:bookmarkStart w:id="1128" w:name="_Toc234833143"/>
      <w:r>
        <w:rPr>
          <w:rFonts w:hint="default" w:ascii="Times New Roman" w:hAnsi="Times New Roman" w:eastAsia="黑体" w:cs="Times New Roman"/>
          <w:b w:val="0"/>
          <w:color w:val="auto"/>
          <w:sz w:val="24"/>
          <w:szCs w:val="24"/>
          <w:highlight w:val="none"/>
        </w:rPr>
        <w:t>4.11不利物质条件</w:t>
      </w:r>
      <w:bookmarkEnd w:id="1125"/>
      <w:bookmarkEnd w:id="1126"/>
      <w:bookmarkEnd w:id="1127"/>
      <w:bookmarkEnd w:id="1128"/>
    </w:p>
    <w:p w14:paraId="059164E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第4.11.2项细化为：</w:t>
      </w:r>
    </w:p>
    <w:p w14:paraId="26D980F7">
      <w:pPr>
        <w:pageBreakBefore w:val="0"/>
        <w:kinsoku/>
        <w:wordWrap w:val="0"/>
        <w:bidi w:val="0"/>
        <w:spacing w:line="400" w:lineRule="atLeast"/>
        <w:ind w:firstLine="420"/>
        <w:outlineLvl w:val="9"/>
        <w:rPr>
          <w:rFonts w:hint="default" w:ascii="Times New Roman" w:hAnsi="Times New Roman" w:cs="Times New Roman"/>
          <w:iCs/>
          <w:color w:val="auto"/>
          <w:sz w:val="24"/>
          <w:highlight w:val="none"/>
        </w:rPr>
      </w:pPr>
      <w:r>
        <w:rPr>
          <w:rFonts w:hint="default" w:ascii="Times New Roman" w:hAnsi="Times New Roman" w:cs="Times New Roman"/>
          <w:iCs/>
          <w:color w:val="auto"/>
          <w:sz w:val="24"/>
          <w:highlight w:val="none"/>
        </w:rPr>
        <w:t>4.11.2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258EA714">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本款补充第4.11.3项：</w:t>
      </w:r>
    </w:p>
    <w:p w14:paraId="7C298A0C">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4.11.3可预见的不利物质条件</w:t>
      </w:r>
    </w:p>
    <w:p w14:paraId="4E283EED">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20158CB0">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0EA4AD0E">
      <w:pPr>
        <w:pageBreakBefore w:val="0"/>
        <w:kinsoku/>
        <w:wordWrap w:val="0"/>
        <w:bidi w:val="0"/>
        <w:spacing w:line="400" w:lineRule="atLeast"/>
        <w:outlineLvl w:val="9"/>
        <w:rPr>
          <w:rFonts w:hint="default" w:ascii="Times New Roman" w:hAnsi="Times New Roman" w:cs="Times New Roman"/>
          <w:color w:val="auto"/>
          <w:sz w:val="24"/>
          <w:highlight w:val="none"/>
        </w:rPr>
      </w:pPr>
    </w:p>
    <w:p w14:paraId="79D7F8F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补充第4.12款、第4.13款：</w:t>
      </w:r>
    </w:p>
    <w:p w14:paraId="6E2FF07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29" w:name="_Toc30842"/>
      <w:bookmarkStart w:id="1130" w:name="_Toc13171"/>
      <w:bookmarkStart w:id="1131" w:name="_Toc4142"/>
      <w:bookmarkStart w:id="1132" w:name="_Toc234833144"/>
      <w:r>
        <w:rPr>
          <w:rFonts w:hint="default" w:ascii="Times New Roman" w:hAnsi="Times New Roman" w:eastAsia="黑体" w:cs="Times New Roman"/>
          <w:b w:val="0"/>
          <w:color w:val="auto"/>
          <w:sz w:val="24"/>
          <w:szCs w:val="24"/>
          <w:highlight w:val="none"/>
        </w:rPr>
        <w:t>4.12投标文件的完备性</w:t>
      </w:r>
      <w:bookmarkEnd w:id="1129"/>
      <w:bookmarkEnd w:id="1130"/>
      <w:bookmarkEnd w:id="1131"/>
      <w:bookmarkEnd w:id="1132"/>
    </w:p>
    <w:p w14:paraId="5520C2B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C70584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33" w:name="_Toc14467"/>
      <w:bookmarkStart w:id="1134" w:name="_Toc18033"/>
      <w:bookmarkStart w:id="1135" w:name="_Toc4019"/>
      <w:r>
        <w:rPr>
          <w:rFonts w:hint="default" w:ascii="Times New Roman" w:hAnsi="Times New Roman" w:eastAsia="黑体" w:cs="Times New Roman"/>
          <w:b w:val="0"/>
          <w:color w:val="auto"/>
          <w:sz w:val="24"/>
          <w:szCs w:val="24"/>
          <w:highlight w:val="none"/>
        </w:rPr>
        <w:t>4.13开展党建工作要求</w:t>
      </w:r>
      <w:bookmarkEnd w:id="1133"/>
      <w:bookmarkEnd w:id="1134"/>
      <w:bookmarkEnd w:id="1135"/>
    </w:p>
    <w:p w14:paraId="3CA3D3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11CBFD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7D0DB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36" w:name="_Toc29830"/>
      <w:bookmarkStart w:id="1137" w:name="_Toc234833145"/>
      <w:bookmarkStart w:id="1138" w:name="_Toc26645"/>
      <w:bookmarkStart w:id="1139" w:name="_Toc21286"/>
      <w:r>
        <w:rPr>
          <w:rFonts w:hint="default" w:ascii="Times New Roman" w:hAnsi="Times New Roman" w:eastAsia="黑体" w:cs="Times New Roman"/>
          <w:b w:val="0"/>
          <w:color w:val="auto"/>
          <w:sz w:val="28"/>
          <w:szCs w:val="28"/>
          <w:highlight w:val="none"/>
        </w:rPr>
        <w:t>5.材料和工程设备</w:t>
      </w:r>
      <w:bookmarkEnd w:id="1136"/>
      <w:bookmarkEnd w:id="1137"/>
      <w:bookmarkEnd w:id="1138"/>
      <w:bookmarkEnd w:id="1139"/>
    </w:p>
    <w:p w14:paraId="4CE40D9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40" w:name="_Toc25319"/>
      <w:bookmarkStart w:id="1141" w:name="_Toc234833146"/>
      <w:bookmarkStart w:id="1142" w:name="_Toc6846"/>
      <w:bookmarkStart w:id="1143" w:name="_Toc25834"/>
      <w:r>
        <w:rPr>
          <w:rFonts w:hint="default" w:ascii="Times New Roman" w:hAnsi="Times New Roman" w:eastAsia="黑体" w:cs="Times New Roman"/>
          <w:b w:val="0"/>
          <w:color w:val="auto"/>
          <w:sz w:val="24"/>
          <w:szCs w:val="24"/>
          <w:highlight w:val="none"/>
        </w:rPr>
        <w:t>5.2发包人提供的材料和工程设备</w:t>
      </w:r>
      <w:bookmarkEnd w:id="1140"/>
      <w:bookmarkEnd w:id="1141"/>
      <w:bookmarkEnd w:id="1142"/>
      <w:bookmarkEnd w:id="1143"/>
    </w:p>
    <w:p w14:paraId="5385FBD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第5.2.3项补充：</w:t>
      </w:r>
    </w:p>
    <w:p w14:paraId="40DA5B0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70A5F974">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1144" w:name="_Toc234833147"/>
      <w:bookmarkStart w:id="1145" w:name="_Toc11315"/>
      <w:bookmarkStart w:id="1146" w:name="_Toc19827"/>
      <w:bookmarkStart w:id="1147" w:name="_Toc11578"/>
      <w:r>
        <w:rPr>
          <w:rFonts w:hint="default" w:ascii="Times New Roman" w:hAnsi="Times New Roman" w:eastAsia="黑体" w:cs="Times New Roman"/>
          <w:b w:val="0"/>
          <w:color w:val="auto"/>
          <w:sz w:val="28"/>
          <w:szCs w:val="28"/>
          <w:highlight w:val="none"/>
        </w:rPr>
        <w:t>6.施工设备和临时设施</w:t>
      </w:r>
      <w:bookmarkEnd w:id="1144"/>
      <w:bookmarkEnd w:id="1145"/>
      <w:bookmarkEnd w:id="1146"/>
      <w:bookmarkEnd w:id="1147"/>
    </w:p>
    <w:p w14:paraId="25C31B7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48" w:name="_Toc26020"/>
      <w:bookmarkStart w:id="1149" w:name="_Toc24564"/>
      <w:bookmarkStart w:id="1150" w:name="_Toc24822"/>
      <w:bookmarkStart w:id="1151" w:name="_Toc234833148"/>
      <w:r>
        <w:rPr>
          <w:rFonts w:hint="default" w:ascii="Times New Roman" w:hAnsi="Times New Roman" w:eastAsia="黑体" w:cs="Times New Roman"/>
          <w:b w:val="0"/>
          <w:color w:val="auto"/>
          <w:sz w:val="24"/>
          <w:szCs w:val="24"/>
          <w:highlight w:val="none"/>
        </w:rPr>
        <w:t>6.1承包人提供的施工设备和临时设施</w:t>
      </w:r>
      <w:bookmarkEnd w:id="1148"/>
      <w:bookmarkEnd w:id="1149"/>
      <w:bookmarkEnd w:id="1150"/>
      <w:bookmarkEnd w:id="1151"/>
    </w:p>
    <w:p w14:paraId="4E8C389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第6.1.2项约定为：</w:t>
      </w:r>
    </w:p>
    <w:p w14:paraId="635552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承包人应自行承担修建临时设施的费用，需要临时占地的，应由承包人按第4.1.10项（1）目的规定办理。</w:t>
      </w:r>
    </w:p>
    <w:p w14:paraId="054E82A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52" w:name="_Toc10697"/>
      <w:bookmarkStart w:id="1153" w:name="_Toc28402"/>
      <w:bookmarkStart w:id="1154" w:name="_Toc15629"/>
      <w:bookmarkStart w:id="1155" w:name="_Toc234833149"/>
      <w:r>
        <w:rPr>
          <w:rFonts w:hint="default" w:ascii="Times New Roman" w:hAnsi="Times New Roman" w:eastAsia="黑体" w:cs="Times New Roman"/>
          <w:b w:val="0"/>
          <w:color w:val="auto"/>
          <w:sz w:val="24"/>
          <w:szCs w:val="24"/>
          <w:highlight w:val="none"/>
        </w:rPr>
        <w:t>6.3要求承包人增加或更换施工设备</w:t>
      </w:r>
      <w:bookmarkEnd w:id="1152"/>
      <w:bookmarkEnd w:id="1153"/>
      <w:bookmarkEnd w:id="1154"/>
      <w:bookmarkEnd w:id="1155"/>
    </w:p>
    <w:p w14:paraId="3B4ED6B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19B23A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承诺的施工设备必须按时到达现场，不得拖延、短缺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1C28FFE7">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1156" w:name="_Toc28894"/>
      <w:bookmarkStart w:id="1157" w:name="_Toc30626"/>
      <w:bookmarkStart w:id="1158" w:name="_Toc31348"/>
      <w:bookmarkStart w:id="1159" w:name="_Toc234833150"/>
      <w:r>
        <w:rPr>
          <w:rFonts w:hint="default" w:ascii="Times New Roman" w:hAnsi="Times New Roman" w:eastAsia="黑体" w:cs="Times New Roman"/>
          <w:b w:val="0"/>
          <w:color w:val="auto"/>
          <w:sz w:val="28"/>
          <w:szCs w:val="28"/>
          <w:highlight w:val="none"/>
        </w:rPr>
        <w:t>7.交通运输</w:t>
      </w:r>
      <w:bookmarkEnd w:id="1156"/>
      <w:bookmarkEnd w:id="1157"/>
      <w:bookmarkEnd w:id="1158"/>
      <w:bookmarkEnd w:id="1159"/>
    </w:p>
    <w:p w14:paraId="7C65AE7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60" w:name="_Toc234833151"/>
      <w:bookmarkStart w:id="1161" w:name="_Toc24391"/>
      <w:bookmarkStart w:id="1162" w:name="_Toc3580"/>
      <w:bookmarkStart w:id="1163" w:name="_Toc23400"/>
      <w:r>
        <w:rPr>
          <w:rFonts w:hint="default" w:ascii="Times New Roman" w:hAnsi="Times New Roman" w:eastAsia="黑体" w:cs="Times New Roman"/>
          <w:b w:val="0"/>
          <w:color w:val="auto"/>
          <w:sz w:val="24"/>
          <w:szCs w:val="24"/>
          <w:highlight w:val="none"/>
        </w:rPr>
        <w:t>7.1道路通行权和场外设施</w:t>
      </w:r>
      <w:bookmarkEnd w:id="1160"/>
      <w:bookmarkEnd w:id="1161"/>
      <w:bookmarkEnd w:id="1162"/>
      <w:bookmarkEnd w:id="1163"/>
    </w:p>
    <w:p w14:paraId="29690338">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0F1B45F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C72E8F8">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64" w:name="_Toc31528"/>
      <w:bookmarkStart w:id="1165" w:name="_Toc5379"/>
      <w:bookmarkStart w:id="1166" w:name="_Toc234833152"/>
      <w:bookmarkStart w:id="1167" w:name="_Toc6333"/>
      <w:r>
        <w:rPr>
          <w:rFonts w:hint="default" w:ascii="Times New Roman" w:hAnsi="Times New Roman" w:eastAsia="黑体" w:cs="Times New Roman"/>
          <w:b w:val="0"/>
          <w:color w:val="auto"/>
          <w:sz w:val="28"/>
          <w:szCs w:val="28"/>
          <w:highlight w:val="none"/>
        </w:rPr>
        <w:t>8.测量放线</w:t>
      </w:r>
      <w:bookmarkEnd w:id="1164"/>
      <w:bookmarkEnd w:id="1165"/>
      <w:bookmarkEnd w:id="1166"/>
      <w:bookmarkEnd w:id="1167"/>
    </w:p>
    <w:p w14:paraId="1CCE5AA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68" w:name="_Toc234833153"/>
      <w:bookmarkStart w:id="1169" w:name="_Toc6917"/>
      <w:bookmarkStart w:id="1170" w:name="_Toc26436"/>
      <w:bookmarkStart w:id="1171" w:name="_Toc26266"/>
      <w:r>
        <w:rPr>
          <w:rFonts w:hint="default" w:ascii="Times New Roman" w:hAnsi="Times New Roman" w:eastAsia="黑体" w:cs="Times New Roman"/>
          <w:b w:val="0"/>
          <w:color w:val="auto"/>
          <w:sz w:val="24"/>
          <w:szCs w:val="24"/>
          <w:highlight w:val="none"/>
        </w:rPr>
        <w:t>8.4监理人使用施工控制网</w:t>
      </w:r>
      <w:bookmarkEnd w:id="1168"/>
      <w:bookmarkEnd w:id="1169"/>
      <w:bookmarkEnd w:id="1170"/>
      <w:bookmarkEnd w:id="1171"/>
    </w:p>
    <w:p w14:paraId="63C6A07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r>
        <w:rPr>
          <w:rFonts w:hint="eastAsia" w:cs="Times New Roman"/>
          <w:color w:val="auto"/>
          <w:sz w:val="24"/>
          <w:highlight w:val="none"/>
          <w:lang w:val="en-US" w:eastAsia="zh-CN"/>
        </w:rPr>
        <w:t>如下</w:t>
      </w:r>
      <w:r>
        <w:rPr>
          <w:rFonts w:hint="default" w:ascii="Times New Roman" w:hAnsi="Times New Roman" w:cs="Times New Roman"/>
          <w:color w:val="auto"/>
          <w:sz w:val="24"/>
          <w:highlight w:val="none"/>
        </w:rPr>
        <w:t>：</w:t>
      </w:r>
    </w:p>
    <w:p w14:paraId="604C9D9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经监理人批准，其他相关承包人也可免费使用施工控制网。</w:t>
      </w:r>
    </w:p>
    <w:p w14:paraId="1C25E4D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72" w:name="_Toc31525"/>
      <w:bookmarkStart w:id="1173" w:name="_Toc234833154"/>
      <w:bookmarkStart w:id="1174" w:name="_Toc22517"/>
      <w:bookmarkStart w:id="1175" w:name="_Toc13649"/>
      <w:r>
        <w:rPr>
          <w:rFonts w:hint="default" w:ascii="Times New Roman" w:hAnsi="Times New Roman" w:eastAsia="黑体" w:cs="Times New Roman"/>
          <w:b w:val="0"/>
          <w:color w:val="auto"/>
          <w:sz w:val="28"/>
          <w:szCs w:val="28"/>
          <w:highlight w:val="none"/>
        </w:rPr>
        <w:t>9.施工安全、治安保卫和环境保护</w:t>
      </w:r>
      <w:bookmarkEnd w:id="1172"/>
      <w:bookmarkEnd w:id="1173"/>
      <w:bookmarkEnd w:id="1174"/>
      <w:bookmarkEnd w:id="1175"/>
    </w:p>
    <w:p w14:paraId="005BC0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76" w:name="_Toc15856"/>
      <w:bookmarkStart w:id="1177" w:name="_Toc22581"/>
      <w:bookmarkStart w:id="1178" w:name="_Toc234833155"/>
      <w:bookmarkStart w:id="1179" w:name="_Toc12442"/>
      <w:r>
        <w:rPr>
          <w:rFonts w:hint="default" w:ascii="Times New Roman" w:hAnsi="Times New Roman" w:eastAsia="黑体" w:cs="Times New Roman"/>
          <w:b w:val="0"/>
          <w:color w:val="auto"/>
          <w:sz w:val="24"/>
          <w:szCs w:val="24"/>
          <w:highlight w:val="none"/>
        </w:rPr>
        <w:t>9.2承包人的施工安全责任</w:t>
      </w:r>
      <w:bookmarkEnd w:id="1176"/>
      <w:bookmarkEnd w:id="1177"/>
      <w:bookmarkEnd w:id="1178"/>
      <w:bookmarkEnd w:id="1179"/>
    </w:p>
    <w:p w14:paraId="7FBBB31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第9.2.1项细化为：</w:t>
      </w:r>
    </w:p>
    <w:p w14:paraId="6D4AD93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10ABF1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96CFA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本项目需要编制专项施工方案的工程包括但不限于以下内容：</w:t>
      </w:r>
    </w:p>
    <w:p w14:paraId="04CD995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（1）不良地质条件下有潜在危险性的土方、石方开挖；</w:t>
      </w:r>
    </w:p>
    <w:p w14:paraId="42B713E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（2）滑坡和高边坡处理；</w:t>
      </w:r>
    </w:p>
    <w:p w14:paraId="7AFF59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（3）桩基础、挡墙基础、深水基础及围堰工程；</w:t>
      </w:r>
    </w:p>
    <w:p w14:paraId="619AD86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（4）桥梁工程中的梁、拱、柱等构件施工等；</w:t>
      </w:r>
    </w:p>
    <w:p w14:paraId="6202A7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（5）隧道工程中的不良地质隧道、高瓦斯隧道等；</w:t>
      </w:r>
    </w:p>
    <w:p w14:paraId="7A3842E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（6）水上工程中的打桩船作业、施工船作业、外海孤岛作业、边通航边施工作业等；</w:t>
      </w:r>
    </w:p>
    <w:p w14:paraId="48F5BB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（7）水下工程中的水下焊接、混凝土浇筑、爆破工程等；</w:t>
      </w:r>
    </w:p>
    <w:p w14:paraId="7B2C7A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（8）爆破工程；</w:t>
      </w:r>
    </w:p>
    <w:p w14:paraId="5581C21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（9）大型临时工程中的大型支架、模板、便桥的架设与拆除；桥梁、码头的加固与拆除；</w:t>
      </w:r>
    </w:p>
    <w:p w14:paraId="5BE9BEF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（10）其他危险性较大的工程。</w:t>
      </w:r>
    </w:p>
    <w:p w14:paraId="16E614F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监理人和发包人在检查中发现有安全问题或有违反安全管理规章制度的情况时，可视为承包人违约，应按第22.1款的规定办理。</w:t>
      </w:r>
    </w:p>
    <w:p w14:paraId="14E17145">
      <w:pPr>
        <w:pageBreakBefore w:val="0"/>
        <w:kinsoku/>
        <w:wordWrap w:val="0"/>
        <w:bidi w:val="0"/>
        <w:spacing w:line="440" w:lineRule="exac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第9.2.5项细化为：</w:t>
      </w:r>
    </w:p>
    <w:p w14:paraId="1BE5A0BF">
      <w:pPr>
        <w:pageBreakBefore w:val="0"/>
        <w:kinsoku/>
        <w:wordWrap w:val="0"/>
        <w:bidi w:val="0"/>
        <w:spacing w:line="440" w:lineRule="exac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5A1F34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本款补充第9.2.8项~第9.2.11项：</w:t>
      </w:r>
    </w:p>
    <w:p w14:paraId="527370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9.2.8承包人应充分关注和保障所有在现场工作的人员的安全，采取以下有效措施，使现场和本合同工程的实施保持有条不紊，以免使上述人员的安全受到威胁。</w:t>
      </w:r>
    </w:p>
    <w:p w14:paraId="766708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（1）按《公路水运工程安全生产监督管理办法》规定的最低数量和资质条件配备专职安全生产管理人员；</w:t>
      </w:r>
    </w:p>
    <w:p w14:paraId="0DE2FB5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C71087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（3）所有施工机具设备和高空作业设备均应定期检查，并有安全员的签字记录；</w:t>
      </w:r>
    </w:p>
    <w:p w14:paraId="213C027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（4）根据本合同各单位工程的施工特点，严格执行《公路水运工程安全生产监督管理办法》《公路工程施工安全技术规范》等有关规定。</w:t>
      </w:r>
    </w:p>
    <w:p w14:paraId="7EA6B04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06A2175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9.2.10在通航水域施工时，承包人应与当地主管部门取得联系，设置必要的导航标志，及时发布航行通告，确保施工水域安全。</w:t>
      </w:r>
    </w:p>
    <w:p w14:paraId="1A7EC8F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C50A89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80" w:name="_Toc4067"/>
      <w:bookmarkStart w:id="1181" w:name="_Toc234833156"/>
      <w:bookmarkStart w:id="1182" w:name="_Toc23200"/>
      <w:bookmarkStart w:id="1183" w:name="_Toc22668"/>
      <w:r>
        <w:rPr>
          <w:rFonts w:hint="default" w:ascii="Times New Roman" w:hAnsi="Times New Roman" w:eastAsia="黑体" w:cs="Times New Roman"/>
          <w:b w:val="0"/>
          <w:color w:val="auto"/>
          <w:sz w:val="24"/>
          <w:szCs w:val="24"/>
          <w:highlight w:val="none"/>
        </w:rPr>
        <w:t>9.4环境保护</w:t>
      </w:r>
      <w:bookmarkEnd w:id="1180"/>
      <w:bookmarkEnd w:id="1181"/>
      <w:bookmarkEnd w:id="1182"/>
      <w:bookmarkEnd w:id="1183"/>
    </w:p>
    <w:p w14:paraId="4A0C0D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本款补充第9.4.7项~第9.4.11项：</w:t>
      </w:r>
    </w:p>
    <w:p w14:paraId="69ED43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9.4.7承包人应切实执行技术规范中有关环境保护方面的条款和规定。</w:t>
      </w:r>
    </w:p>
    <w:p w14:paraId="01C571B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01F0687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（2）对于公路施工中粉尘污染的主要污染源――灰土拌和、施工车辆和筑路机械运行及运输产生的扬尘，应采取有效措施减轻其对施工现场的大气污染，保护人民健康，如：</w:t>
      </w:r>
    </w:p>
    <w:p w14:paraId="34A0D8F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a.拌和设备应有较好的密封，或有防尘设备。</w:t>
      </w:r>
    </w:p>
    <w:p w14:paraId="6A16421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b.施工通道、沥青混凝土拌和站及灰土拌和站应经常进行洒水降尘。</w:t>
      </w:r>
    </w:p>
    <w:p w14:paraId="2AB75B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c.路面施工应注意保持水分，以免扬尘。</w:t>
      </w:r>
    </w:p>
    <w:p w14:paraId="1E2241D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d.隧道出渣和桥梁钻孔灌注桩施工时排出的泥浆要进行妥善处理，严禁向河流或农田排放。</w:t>
      </w:r>
    </w:p>
    <w:p w14:paraId="3CB61A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（3）采取可靠措施保证原有交通的正常通行，维持沿线村镇的居民饮水、农田灌溉、生产生活用电及通信等管线的正常使用。</w:t>
      </w:r>
    </w:p>
    <w:p w14:paraId="251D52A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AC259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9.4.9在施工期间，承包人应随时保持现场整洁，施工设备和材料、工程设备应整齐妥善存放和储存，废料与垃圾及不再需要的临时设施应及时从现场清除、拆除并运走。</w:t>
      </w:r>
    </w:p>
    <w:p w14:paraId="3F79933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28CA5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06FFA644">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84" w:name="_Toc14910"/>
      <w:bookmarkStart w:id="1185" w:name="_Toc31300"/>
      <w:bookmarkStart w:id="1186" w:name="_Toc2443"/>
      <w:bookmarkStart w:id="1187" w:name="_Toc234833157"/>
      <w:r>
        <w:rPr>
          <w:rFonts w:hint="default" w:ascii="Times New Roman" w:hAnsi="Times New Roman" w:eastAsia="黑体" w:cs="Times New Roman"/>
          <w:b w:val="0"/>
          <w:color w:val="auto"/>
          <w:sz w:val="28"/>
          <w:szCs w:val="28"/>
          <w:highlight w:val="none"/>
        </w:rPr>
        <w:t>10.进度计划</w:t>
      </w:r>
      <w:bookmarkEnd w:id="1184"/>
      <w:bookmarkEnd w:id="1185"/>
      <w:bookmarkEnd w:id="1186"/>
      <w:bookmarkEnd w:id="1187"/>
    </w:p>
    <w:p w14:paraId="7773AB7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88" w:name="_Toc13304"/>
      <w:bookmarkStart w:id="1189" w:name="_Toc31463"/>
      <w:bookmarkStart w:id="1190" w:name="_Toc234833158"/>
      <w:bookmarkStart w:id="1191" w:name="_Toc19701"/>
      <w:r>
        <w:rPr>
          <w:rFonts w:hint="default" w:ascii="Times New Roman" w:hAnsi="Times New Roman" w:eastAsia="黑体" w:cs="Times New Roman"/>
          <w:b w:val="0"/>
          <w:color w:val="auto"/>
          <w:sz w:val="24"/>
          <w:szCs w:val="24"/>
          <w:highlight w:val="none"/>
        </w:rPr>
        <w:t>10.1合同进度计划</w:t>
      </w:r>
      <w:bookmarkEnd w:id="1188"/>
      <w:bookmarkEnd w:id="1189"/>
      <w:bookmarkEnd w:id="1190"/>
      <w:bookmarkEnd w:id="1191"/>
    </w:p>
    <w:p w14:paraId="50CDF20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r>
        <w:rPr>
          <w:rFonts w:hint="eastAsia" w:cs="Times New Roman"/>
          <w:color w:val="auto"/>
          <w:sz w:val="24"/>
          <w:highlight w:val="none"/>
          <w:lang w:val="en-US" w:eastAsia="zh-CN"/>
        </w:rPr>
        <w:t>如下</w:t>
      </w:r>
      <w:r>
        <w:rPr>
          <w:rFonts w:hint="default" w:ascii="Times New Roman" w:hAnsi="Times New Roman" w:cs="Times New Roman"/>
          <w:color w:val="auto"/>
          <w:sz w:val="24"/>
          <w:highlight w:val="none"/>
        </w:rPr>
        <w:t>：</w:t>
      </w:r>
    </w:p>
    <w:p w14:paraId="79AAAA3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承包人编制施工方案说明的内容见项目专用合同条款。</w:t>
      </w:r>
    </w:p>
    <w:p w14:paraId="4F7886E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承包人向监理人报送施工进度计划和施工方案说明的期限：签订合同协议书后28天之内。</w:t>
      </w:r>
    </w:p>
    <w:p w14:paraId="4FDD6BD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监理人应在14天内对承包人施工进度计划和施工方案说明予以批复或提出修改意见。</w:t>
      </w:r>
    </w:p>
    <w:p w14:paraId="2670B03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合同进度计划应按照关键线路网络图和主要工作横道图两种形式分别编绘，并应包括每月预计完成的工作量和形象进度。</w:t>
      </w:r>
    </w:p>
    <w:p w14:paraId="66C16ED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92" w:name="_Toc234833159"/>
      <w:bookmarkStart w:id="1193" w:name="_Toc24615"/>
      <w:bookmarkStart w:id="1194" w:name="_Toc16914"/>
      <w:bookmarkStart w:id="1195" w:name="_Toc22600"/>
      <w:r>
        <w:rPr>
          <w:rFonts w:hint="default" w:ascii="Times New Roman" w:hAnsi="Times New Roman" w:eastAsia="黑体" w:cs="Times New Roman"/>
          <w:b w:val="0"/>
          <w:color w:val="auto"/>
          <w:sz w:val="24"/>
          <w:szCs w:val="24"/>
          <w:highlight w:val="none"/>
        </w:rPr>
        <w:t>10.2合同进度计划的修订</w:t>
      </w:r>
      <w:bookmarkEnd w:id="1192"/>
      <w:bookmarkEnd w:id="1193"/>
      <w:bookmarkEnd w:id="1194"/>
      <w:bookmarkEnd w:id="1195"/>
    </w:p>
    <w:p w14:paraId="75B27F3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6141AB3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承包人提交合同进度计划修订申请报告，并附有关措施和相关资料的期限：实际进度发生滞后的当月25日前。</w:t>
      </w:r>
    </w:p>
    <w:p w14:paraId="51FE9009">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监理人批复修订合同进度计划的期限：收到修订合同进度计划后14天内。</w:t>
      </w:r>
    </w:p>
    <w:p w14:paraId="59D66B19">
      <w:pPr>
        <w:pageBreakBefore w:val="0"/>
        <w:kinsoku/>
        <w:wordWrap w:val="0"/>
        <w:bidi w:val="0"/>
        <w:spacing w:before="240" w:beforeLines="100"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本条补充第10.3款、第10.4款：</w:t>
      </w:r>
    </w:p>
    <w:p w14:paraId="3FE42D6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96" w:name="_Toc5845"/>
      <w:bookmarkStart w:id="1197" w:name="_Toc234833160"/>
      <w:bookmarkStart w:id="1198" w:name="_Toc12343"/>
      <w:bookmarkStart w:id="1199" w:name="_Toc638"/>
      <w:r>
        <w:rPr>
          <w:rFonts w:hint="default" w:ascii="Times New Roman" w:hAnsi="Times New Roman" w:eastAsia="黑体" w:cs="Times New Roman"/>
          <w:b w:val="0"/>
          <w:color w:val="auto"/>
          <w:sz w:val="24"/>
          <w:szCs w:val="24"/>
          <w:highlight w:val="none"/>
        </w:rPr>
        <w:t>10.3年度施工计划</w:t>
      </w:r>
      <w:bookmarkEnd w:id="1196"/>
      <w:bookmarkEnd w:id="1197"/>
      <w:bookmarkEnd w:id="1198"/>
      <w:bookmarkEnd w:id="1199"/>
    </w:p>
    <w:p w14:paraId="775610B0">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6B30555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00" w:name="_Toc3557"/>
      <w:bookmarkStart w:id="1201" w:name="_Toc234833161"/>
      <w:bookmarkStart w:id="1202" w:name="_Toc28266"/>
      <w:bookmarkStart w:id="1203" w:name="_Toc26059"/>
      <w:r>
        <w:rPr>
          <w:rFonts w:hint="default" w:ascii="Times New Roman" w:hAnsi="Times New Roman" w:eastAsia="黑体" w:cs="Times New Roman"/>
          <w:b w:val="0"/>
          <w:color w:val="auto"/>
          <w:sz w:val="24"/>
          <w:szCs w:val="24"/>
          <w:highlight w:val="none"/>
        </w:rPr>
        <w:t>10.4合同用款计划</w:t>
      </w:r>
      <w:bookmarkEnd w:id="1200"/>
      <w:bookmarkEnd w:id="1201"/>
      <w:bookmarkEnd w:id="1202"/>
      <w:bookmarkEnd w:id="1203"/>
    </w:p>
    <w:p w14:paraId="765A8E9C">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23AA14AE">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04" w:name="_Toc29145"/>
      <w:bookmarkStart w:id="1205" w:name="_Toc16858"/>
      <w:bookmarkStart w:id="1206" w:name="_Toc234833162"/>
      <w:bookmarkStart w:id="1207" w:name="_Toc24381"/>
      <w:r>
        <w:rPr>
          <w:rFonts w:hint="default" w:ascii="Times New Roman" w:hAnsi="Times New Roman" w:eastAsia="黑体" w:cs="Times New Roman"/>
          <w:b w:val="0"/>
          <w:color w:val="auto"/>
          <w:sz w:val="28"/>
          <w:szCs w:val="28"/>
          <w:highlight w:val="none"/>
        </w:rPr>
        <w:t>11.开工和交工</w:t>
      </w:r>
      <w:bookmarkEnd w:id="1204"/>
      <w:bookmarkEnd w:id="1205"/>
      <w:bookmarkEnd w:id="1206"/>
      <w:bookmarkEnd w:id="1207"/>
    </w:p>
    <w:p w14:paraId="0BD8E28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08" w:name="_Toc234833163"/>
      <w:bookmarkStart w:id="1209" w:name="_Toc23342"/>
      <w:bookmarkStart w:id="1210" w:name="_Toc211"/>
      <w:bookmarkStart w:id="1211" w:name="_Toc21034"/>
      <w:r>
        <w:rPr>
          <w:rFonts w:hint="default" w:ascii="Times New Roman" w:hAnsi="Times New Roman" w:eastAsia="黑体" w:cs="Times New Roman"/>
          <w:b w:val="0"/>
          <w:color w:val="auto"/>
          <w:sz w:val="24"/>
          <w:szCs w:val="24"/>
          <w:highlight w:val="none"/>
        </w:rPr>
        <w:t>11.1开工</w:t>
      </w:r>
      <w:bookmarkEnd w:id="1208"/>
      <w:bookmarkEnd w:id="1209"/>
      <w:bookmarkEnd w:id="1210"/>
      <w:bookmarkEnd w:id="1211"/>
    </w:p>
    <w:p w14:paraId="247413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第11.1.2项补充：</w:t>
      </w:r>
    </w:p>
    <w:p w14:paraId="4B04DEC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640F96D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12" w:name="_Toc2188"/>
      <w:bookmarkStart w:id="1213" w:name="_Toc8362"/>
      <w:bookmarkStart w:id="1214" w:name="_Toc4642"/>
      <w:bookmarkStart w:id="1215" w:name="_Toc234833164"/>
      <w:r>
        <w:rPr>
          <w:rFonts w:hint="default" w:ascii="Times New Roman" w:hAnsi="Times New Roman" w:eastAsia="黑体" w:cs="Times New Roman"/>
          <w:b w:val="0"/>
          <w:color w:val="auto"/>
          <w:sz w:val="24"/>
          <w:szCs w:val="24"/>
          <w:highlight w:val="none"/>
        </w:rPr>
        <w:t>11.3发包人的工期延误</w:t>
      </w:r>
      <w:bookmarkEnd w:id="1212"/>
      <w:bookmarkEnd w:id="1213"/>
      <w:bookmarkEnd w:id="1214"/>
      <w:bookmarkEnd w:id="1215"/>
    </w:p>
    <w:p w14:paraId="357DFCA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17FED01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即使由于上述原因造成工期延误，如果受影响的工程并非处在工程施工进度网络计划的关键线路上，则承包人无权要求延长总工期。</w:t>
      </w:r>
    </w:p>
    <w:p w14:paraId="68543CD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16" w:name="_Toc2448"/>
      <w:bookmarkStart w:id="1217" w:name="_Toc234833165"/>
      <w:bookmarkStart w:id="1218" w:name="_Toc26694"/>
      <w:bookmarkStart w:id="1219" w:name="_Toc3372"/>
      <w:r>
        <w:rPr>
          <w:rFonts w:hint="default" w:ascii="Times New Roman" w:hAnsi="Times New Roman" w:eastAsia="黑体" w:cs="Times New Roman"/>
          <w:b w:val="0"/>
          <w:color w:val="auto"/>
          <w:sz w:val="24"/>
          <w:szCs w:val="24"/>
          <w:highlight w:val="none"/>
        </w:rPr>
        <w:t>11.4异常恶劣的气候条件</w:t>
      </w:r>
      <w:bookmarkEnd w:id="1216"/>
      <w:bookmarkEnd w:id="1217"/>
      <w:bookmarkEnd w:id="1218"/>
      <w:bookmarkEnd w:id="1219"/>
    </w:p>
    <w:p w14:paraId="05B8C9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74E069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异常气候是指项目所在地30年以上一遇的罕见气候现象（包括</w:t>
      </w:r>
      <w:r>
        <w:rPr>
          <w:rFonts w:hint="default" w:ascii="Times New Roman" w:hAnsi="Times New Roman" w:cs="Times New Roman"/>
          <w:color w:val="auto"/>
          <w:sz w:val="24"/>
          <w:highlight w:val="none"/>
          <w:u w:val="none"/>
        </w:rPr>
        <w:t>温度</w:t>
      </w:r>
      <w:r>
        <w:rPr>
          <w:rFonts w:hint="default" w:ascii="Times New Roman" w:hAnsi="Times New Roman" w:cs="Times New Roman"/>
          <w:color w:val="auto"/>
          <w:sz w:val="24"/>
          <w:highlight w:val="none"/>
        </w:rPr>
        <w:t>、降水、降雪、风等）。异常恶劣的气候条件在项目专用合同条款中作具体约定。</w:t>
      </w:r>
    </w:p>
    <w:p w14:paraId="6335B79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20" w:name="_Toc19354"/>
      <w:bookmarkStart w:id="1221" w:name="_Toc7083"/>
      <w:bookmarkStart w:id="1222" w:name="_Toc234833166"/>
      <w:bookmarkStart w:id="1223" w:name="_Toc13242"/>
      <w:r>
        <w:rPr>
          <w:rFonts w:hint="default" w:ascii="Times New Roman" w:hAnsi="Times New Roman" w:eastAsia="黑体" w:cs="Times New Roman"/>
          <w:b w:val="0"/>
          <w:color w:val="auto"/>
          <w:sz w:val="24"/>
          <w:szCs w:val="24"/>
          <w:highlight w:val="none"/>
        </w:rPr>
        <w:t>11.5承包人的工期延误</w:t>
      </w:r>
      <w:bookmarkEnd w:id="1220"/>
      <w:bookmarkEnd w:id="1221"/>
      <w:bookmarkEnd w:id="1222"/>
      <w:bookmarkEnd w:id="1223"/>
    </w:p>
    <w:p w14:paraId="2A35329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2782B8C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26018D6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699DF8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F395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（4）承包人支付逾期交工违约金，不免除承包人完成工程及修补缺陷的义务。</w:t>
      </w:r>
    </w:p>
    <w:p w14:paraId="71714B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1FF24FC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24" w:name="_Toc25459"/>
      <w:bookmarkStart w:id="1225" w:name="_Toc8201"/>
      <w:bookmarkStart w:id="1226" w:name="_Toc234833167"/>
      <w:bookmarkStart w:id="1227" w:name="_Toc21733"/>
      <w:r>
        <w:rPr>
          <w:rFonts w:hint="default" w:ascii="Times New Roman" w:hAnsi="Times New Roman" w:eastAsia="黑体" w:cs="Times New Roman"/>
          <w:b w:val="0"/>
          <w:color w:val="auto"/>
          <w:sz w:val="24"/>
          <w:szCs w:val="24"/>
          <w:highlight w:val="none"/>
        </w:rPr>
        <w:t>11.6工期提前</w:t>
      </w:r>
      <w:bookmarkEnd w:id="1224"/>
      <w:bookmarkEnd w:id="1225"/>
      <w:bookmarkEnd w:id="1226"/>
      <w:bookmarkEnd w:id="1227"/>
    </w:p>
    <w:p w14:paraId="25508C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6CF6441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239B008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27D36FA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p>
    <w:p w14:paraId="32DBD09E">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本条补充第11.7款：</w:t>
      </w:r>
    </w:p>
    <w:p w14:paraId="645215B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28" w:name="_Toc14155"/>
      <w:bookmarkStart w:id="1229" w:name="_Toc234833168"/>
      <w:bookmarkStart w:id="1230" w:name="_Toc29501"/>
      <w:bookmarkStart w:id="1231" w:name="_Toc11965"/>
      <w:r>
        <w:rPr>
          <w:rFonts w:hint="default" w:ascii="Times New Roman" w:hAnsi="Times New Roman" w:eastAsia="黑体" w:cs="Times New Roman"/>
          <w:b w:val="0"/>
          <w:color w:val="auto"/>
          <w:sz w:val="24"/>
          <w:szCs w:val="24"/>
          <w:highlight w:val="none"/>
        </w:rPr>
        <w:t>11.7工作时间的限制</w:t>
      </w:r>
      <w:bookmarkEnd w:id="1228"/>
      <w:bookmarkEnd w:id="1229"/>
      <w:bookmarkEnd w:id="1230"/>
      <w:bookmarkEnd w:id="1231"/>
    </w:p>
    <w:p w14:paraId="20F531C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承包人在夜间或国家规定的节假日进行永久工程的施工，应向监理人报告，以便监理人履行监理职责和义务。</w:t>
      </w:r>
    </w:p>
    <w:p w14:paraId="134DA78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但是，为了抢救生命或保护财产，或为了工程的安全、质量而不可避免地短暂作业，则不必事先向监理人报告。但承包人应在事后立即向监理人报告。</w:t>
      </w:r>
    </w:p>
    <w:p w14:paraId="45FDCE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本款规定不适用于习惯上或施工本身要求实行连续生产的作业。</w:t>
      </w:r>
    </w:p>
    <w:p w14:paraId="1B719D0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32" w:name="_Toc10404"/>
      <w:bookmarkStart w:id="1233" w:name="_Toc234833169"/>
      <w:bookmarkStart w:id="1234" w:name="_Toc10095"/>
      <w:bookmarkStart w:id="1235" w:name="_Toc21568"/>
      <w:r>
        <w:rPr>
          <w:rFonts w:hint="default" w:ascii="Times New Roman" w:hAnsi="Times New Roman" w:eastAsia="黑体" w:cs="Times New Roman"/>
          <w:b w:val="0"/>
          <w:color w:val="auto"/>
          <w:sz w:val="28"/>
          <w:szCs w:val="28"/>
          <w:highlight w:val="none"/>
        </w:rPr>
        <w:t>12.暂停施工</w:t>
      </w:r>
      <w:bookmarkEnd w:id="1232"/>
      <w:bookmarkEnd w:id="1233"/>
      <w:bookmarkEnd w:id="1234"/>
      <w:bookmarkEnd w:id="1235"/>
    </w:p>
    <w:p w14:paraId="1BC6848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36" w:name="_Toc24281"/>
      <w:bookmarkStart w:id="1237" w:name="_Toc19976"/>
      <w:bookmarkStart w:id="1238" w:name="_Toc234833170"/>
      <w:bookmarkStart w:id="1239" w:name="_Toc686"/>
      <w:r>
        <w:rPr>
          <w:rFonts w:hint="default" w:ascii="Times New Roman" w:hAnsi="Times New Roman" w:eastAsia="黑体" w:cs="Times New Roman"/>
          <w:b w:val="0"/>
          <w:color w:val="auto"/>
          <w:sz w:val="24"/>
          <w:szCs w:val="24"/>
          <w:highlight w:val="none"/>
        </w:rPr>
        <w:t>12.1承包人暂停施工的责任</w:t>
      </w:r>
      <w:bookmarkEnd w:id="1236"/>
      <w:bookmarkEnd w:id="1237"/>
      <w:bookmarkEnd w:id="1238"/>
      <w:bookmarkEnd w:id="1239"/>
    </w:p>
    <w:p w14:paraId="7D75BE4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本款第（5）项细化为：</w:t>
      </w:r>
    </w:p>
    <w:p w14:paraId="1E52C7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（5）现场气候条件导致的必要停工（第11.4款约定的异常恶劣的气候条件除外）；</w:t>
      </w:r>
    </w:p>
    <w:p w14:paraId="17ADF63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（6）项目专用合同条款可能约定的由承包人承担的其他暂停施工。</w:t>
      </w:r>
    </w:p>
    <w:p w14:paraId="3F71929D">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40" w:name="_Toc22379"/>
      <w:bookmarkStart w:id="1241" w:name="_Toc234833171"/>
      <w:bookmarkStart w:id="1242" w:name="_Toc139"/>
      <w:bookmarkStart w:id="1243" w:name="_Toc12288"/>
      <w:r>
        <w:rPr>
          <w:rFonts w:hint="default" w:ascii="Times New Roman" w:hAnsi="Times New Roman" w:eastAsia="黑体" w:cs="Times New Roman"/>
          <w:b w:val="0"/>
          <w:color w:val="auto"/>
          <w:sz w:val="28"/>
          <w:szCs w:val="28"/>
          <w:highlight w:val="none"/>
        </w:rPr>
        <w:t>13.工程质量</w:t>
      </w:r>
      <w:bookmarkEnd w:id="1240"/>
      <w:bookmarkEnd w:id="1241"/>
      <w:bookmarkEnd w:id="1242"/>
      <w:bookmarkEnd w:id="1243"/>
    </w:p>
    <w:p w14:paraId="58A37A1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44" w:name="_Toc234833172"/>
      <w:bookmarkStart w:id="1245" w:name="_Toc14295"/>
      <w:bookmarkStart w:id="1246" w:name="_Toc25773"/>
      <w:bookmarkStart w:id="1247" w:name="_Toc30210"/>
      <w:r>
        <w:rPr>
          <w:rFonts w:hint="default" w:ascii="Times New Roman" w:hAnsi="Times New Roman" w:eastAsia="黑体" w:cs="Times New Roman"/>
          <w:b w:val="0"/>
          <w:color w:val="auto"/>
          <w:sz w:val="24"/>
          <w:szCs w:val="24"/>
          <w:highlight w:val="none"/>
        </w:rPr>
        <w:t>13.1工程质量要求</w:t>
      </w:r>
      <w:bookmarkEnd w:id="1244"/>
      <w:bookmarkEnd w:id="1245"/>
      <w:bookmarkEnd w:id="1246"/>
      <w:bookmarkEnd w:id="1247"/>
    </w:p>
    <w:p w14:paraId="245806F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第13.1.1项约定为：</w:t>
      </w:r>
    </w:p>
    <w:p w14:paraId="5F827E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工程质量验收按技术规范及《公路工程质量检验评定标准》执行。</w:t>
      </w:r>
    </w:p>
    <w:p w14:paraId="6FEEC60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本款补充第13.1.4项、第13.1.5项：</w:t>
      </w:r>
    </w:p>
    <w:p w14:paraId="0C5859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13.1.4发包人和承包人应严格遵守《关于严格落实公路工程质量责任制的若干意见》的相关规定，认真执行工程质量责任登记制度并</w:t>
      </w:r>
      <w:r>
        <w:rPr>
          <w:rFonts w:hint="default" w:ascii="Times New Roman" w:hAnsi="Times New Roman" w:cs="Times New Roman"/>
          <w:color w:val="auto"/>
          <w:kern w:val="0"/>
          <w:sz w:val="24"/>
          <w:highlight w:val="none"/>
        </w:rPr>
        <w:t>按要求填写工程质量责任登记表</w:t>
      </w:r>
      <w:r>
        <w:rPr>
          <w:rFonts w:hint="default" w:ascii="Times New Roman" w:hAnsi="Times New Roman" w:cs="Times New Roman"/>
          <w:color w:val="auto"/>
          <w:sz w:val="24"/>
          <w:highlight w:val="none"/>
        </w:rPr>
        <w:t>。</w:t>
      </w:r>
    </w:p>
    <w:p w14:paraId="4C447C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13.1.5本项目严格执行质量责任追究制度。质量事故处理实行</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四不放过</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原则：事故原因调查不清不放过；事故责任者没有受到教育不放过；没有防范措施不放过；相关责任人没受到处理不放过。</w:t>
      </w:r>
    </w:p>
    <w:p w14:paraId="0FB275F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48" w:name="_Toc8253"/>
      <w:bookmarkStart w:id="1249" w:name="_Toc234833173"/>
      <w:bookmarkStart w:id="1250" w:name="_Toc19759"/>
      <w:bookmarkStart w:id="1251" w:name="_Toc1003"/>
      <w:r>
        <w:rPr>
          <w:rFonts w:hint="default" w:ascii="Times New Roman" w:hAnsi="Times New Roman" w:eastAsia="黑体" w:cs="Times New Roman"/>
          <w:b w:val="0"/>
          <w:color w:val="auto"/>
          <w:sz w:val="24"/>
          <w:szCs w:val="24"/>
          <w:highlight w:val="none"/>
        </w:rPr>
        <w:t>13.2承包人的质量管理</w:t>
      </w:r>
      <w:bookmarkEnd w:id="1248"/>
      <w:bookmarkEnd w:id="1249"/>
      <w:bookmarkEnd w:id="1250"/>
      <w:bookmarkEnd w:id="1251"/>
    </w:p>
    <w:p w14:paraId="4C3760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第13.2.1项补充：</w:t>
      </w:r>
    </w:p>
    <w:p w14:paraId="4A72C59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承包人提交工程质量保证措施文件的期限：签订合同协议书后28天之内。</w:t>
      </w:r>
    </w:p>
    <w:p w14:paraId="41F44D6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本款补充第13.2.3项~第13.2.10项：</w:t>
      </w:r>
    </w:p>
    <w:p w14:paraId="004BA85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13.2.3公路工程施行质量责任终身制。承包人应当书面明确相应的项目负责人和质量负责人。承包人的相关人员按照国家法律法规和有关规定在工程合理使用年限内承担相应的质量责任。</w:t>
      </w:r>
    </w:p>
    <w:p w14:paraId="69ADF65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13.2.4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3F222E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13.2.5承包人对工程施工质量负责，应当按合同约定设立现场质量管理机构、配备工程技术人员和质量管理人员，落实工程施工质量责任制。</w:t>
      </w:r>
    </w:p>
    <w:p w14:paraId="27EEC9E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C2F70F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13.2.7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5EDA0C3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6C2050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13.2.9承包人应当依法规范分包行为，并对承担的工程质量负总责，分包单位对分包合同范围内的工程质量负责。</w:t>
      </w:r>
    </w:p>
    <w:p w14:paraId="3C75028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13.2.10承包人驻工程现场机构应在现场驻地和重要的分部、分项工程施工现场设置明显的工程质量责任登记表公示牌。</w:t>
      </w:r>
    </w:p>
    <w:p w14:paraId="21D6BE6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52" w:name="_Toc21708"/>
      <w:bookmarkStart w:id="1253" w:name="_Toc234833174"/>
      <w:bookmarkStart w:id="1254" w:name="_Toc20957"/>
      <w:bookmarkStart w:id="1255" w:name="_Toc17725"/>
      <w:r>
        <w:rPr>
          <w:rFonts w:hint="default" w:ascii="Times New Roman" w:hAnsi="Times New Roman" w:eastAsia="黑体" w:cs="Times New Roman"/>
          <w:b w:val="0"/>
          <w:color w:val="auto"/>
          <w:sz w:val="24"/>
          <w:szCs w:val="24"/>
          <w:highlight w:val="none"/>
        </w:rPr>
        <w:t>13.4监理人的质量检查</w:t>
      </w:r>
      <w:bookmarkEnd w:id="1252"/>
      <w:bookmarkEnd w:id="1253"/>
      <w:bookmarkEnd w:id="1254"/>
      <w:bookmarkEnd w:id="1255"/>
    </w:p>
    <w:p w14:paraId="00979A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712A88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6A6A56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7B3DF1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56" w:name="_Toc234833175"/>
      <w:bookmarkStart w:id="1257" w:name="_Toc31604"/>
      <w:bookmarkStart w:id="1258" w:name="_Toc25352"/>
      <w:bookmarkStart w:id="1259" w:name="_Toc24829"/>
      <w:r>
        <w:rPr>
          <w:rFonts w:hint="default" w:ascii="Times New Roman" w:hAnsi="Times New Roman" w:eastAsia="黑体" w:cs="Times New Roman"/>
          <w:b w:val="0"/>
          <w:color w:val="auto"/>
          <w:sz w:val="24"/>
          <w:szCs w:val="24"/>
          <w:highlight w:val="none"/>
        </w:rPr>
        <w:t>13.5工程隐蔽部位覆盖前的检查</w:t>
      </w:r>
      <w:bookmarkEnd w:id="1256"/>
      <w:bookmarkEnd w:id="1257"/>
      <w:bookmarkEnd w:id="1258"/>
      <w:bookmarkEnd w:id="1259"/>
    </w:p>
    <w:p w14:paraId="21919F3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第13.5.1项补充：</w:t>
      </w:r>
    </w:p>
    <w:p w14:paraId="34EAE7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0F364DC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60" w:name="_Toc19441"/>
      <w:bookmarkStart w:id="1261" w:name="_Toc1659"/>
      <w:bookmarkStart w:id="1262" w:name="_Toc234833176"/>
      <w:bookmarkStart w:id="1263" w:name="_Toc20396"/>
      <w:r>
        <w:rPr>
          <w:rFonts w:hint="default" w:ascii="Times New Roman" w:hAnsi="Times New Roman" w:eastAsia="黑体" w:cs="Times New Roman"/>
          <w:b w:val="0"/>
          <w:color w:val="auto"/>
          <w:sz w:val="24"/>
          <w:szCs w:val="24"/>
          <w:highlight w:val="none"/>
        </w:rPr>
        <w:t>13.6清除不合格工程</w:t>
      </w:r>
      <w:bookmarkEnd w:id="1260"/>
      <w:bookmarkEnd w:id="1261"/>
      <w:bookmarkEnd w:id="1262"/>
      <w:bookmarkEnd w:id="1263"/>
    </w:p>
    <w:p w14:paraId="57B260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第13.6.1项细化为：</w:t>
      </w:r>
    </w:p>
    <w:p w14:paraId="0B37B8C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1E344EA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（2）如果承包人未在规定时间内执行监理人的指示，发包人有权雇用他人执行，由此增加的费用和（或）工期延误由承包人承担。</w:t>
      </w:r>
    </w:p>
    <w:p w14:paraId="4ADAD16D">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64" w:name="_Toc234833177"/>
      <w:bookmarkStart w:id="1265" w:name="_Toc17523"/>
      <w:bookmarkStart w:id="1266" w:name="_Toc26653"/>
      <w:bookmarkStart w:id="1267" w:name="_Toc12972"/>
      <w:r>
        <w:rPr>
          <w:rFonts w:hint="default" w:ascii="Times New Roman" w:hAnsi="Times New Roman" w:eastAsia="黑体" w:cs="Times New Roman"/>
          <w:b w:val="0"/>
          <w:color w:val="auto"/>
          <w:sz w:val="28"/>
          <w:szCs w:val="28"/>
          <w:highlight w:val="none"/>
        </w:rPr>
        <w:t>14.试验和检验</w:t>
      </w:r>
      <w:bookmarkEnd w:id="1264"/>
      <w:bookmarkEnd w:id="1265"/>
      <w:bookmarkEnd w:id="1266"/>
      <w:bookmarkEnd w:id="1267"/>
    </w:p>
    <w:p w14:paraId="65A61D0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本条补充第14.4款：</w:t>
      </w:r>
    </w:p>
    <w:p w14:paraId="114365F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68" w:name="_Toc8486"/>
      <w:bookmarkStart w:id="1269" w:name="_Toc18957"/>
      <w:bookmarkStart w:id="1270" w:name="_Toc9837"/>
      <w:bookmarkStart w:id="1271" w:name="_Toc234833178"/>
      <w:r>
        <w:rPr>
          <w:rFonts w:hint="default" w:ascii="Times New Roman" w:hAnsi="Times New Roman" w:eastAsia="黑体" w:cs="Times New Roman"/>
          <w:b w:val="0"/>
          <w:color w:val="auto"/>
          <w:sz w:val="24"/>
          <w:szCs w:val="24"/>
          <w:highlight w:val="none"/>
        </w:rPr>
        <w:t>14.4试验和检验费用</w:t>
      </w:r>
      <w:bookmarkEnd w:id="1268"/>
      <w:bookmarkEnd w:id="1269"/>
      <w:bookmarkEnd w:id="1270"/>
      <w:bookmarkEnd w:id="1271"/>
    </w:p>
    <w:p w14:paraId="1F64B8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（1）承包人应负责提供合同和技术规范规定的试验和检验所需的全部样品，并承担其费用。</w:t>
      </w:r>
    </w:p>
    <w:p w14:paraId="78BBDE8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（2）在合同中明确规定的试验和检验，包括无须在工程量清单中单独列项和已在工程量清单中单独列项的试验和检验，其试验和检验的费用由承包人承担。</w:t>
      </w:r>
    </w:p>
    <w:p w14:paraId="2FC63F8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608D613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72" w:name="_Toc8627"/>
      <w:bookmarkStart w:id="1273" w:name="_Toc9387"/>
      <w:bookmarkStart w:id="1274" w:name="_Toc234833179"/>
      <w:bookmarkStart w:id="1275" w:name="_Toc24940"/>
      <w:r>
        <w:rPr>
          <w:rFonts w:hint="default" w:ascii="Times New Roman" w:hAnsi="Times New Roman" w:eastAsia="黑体" w:cs="Times New Roman"/>
          <w:b w:val="0"/>
          <w:color w:val="auto"/>
          <w:sz w:val="28"/>
          <w:szCs w:val="28"/>
          <w:highlight w:val="none"/>
        </w:rPr>
        <w:t>15.变更</w:t>
      </w:r>
      <w:bookmarkEnd w:id="1272"/>
      <w:bookmarkEnd w:id="1273"/>
      <w:bookmarkEnd w:id="1274"/>
      <w:bookmarkEnd w:id="1275"/>
    </w:p>
    <w:p w14:paraId="22152B8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76" w:name="_Toc11885"/>
      <w:bookmarkStart w:id="1277" w:name="_Toc25196"/>
      <w:bookmarkStart w:id="1278" w:name="_Toc5311"/>
      <w:bookmarkStart w:id="1279" w:name="_Toc234833180"/>
      <w:r>
        <w:rPr>
          <w:rFonts w:hint="default" w:ascii="Times New Roman" w:hAnsi="Times New Roman" w:eastAsia="黑体" w:cs="Times New Roman"/>
          <w:b w:val="0"/>
          <w:color w:val="auto"/>
          <w:sz w:val="24"/>
          <w:szCs w:val="24"/>
          <w:highlight w:val="none"/>
        </w:rPr>
        <w:t>15.1变更的范围和内容</w:t>
      </w:r>
      <w:bookmarkEnd w:id="1276"/>
      <w:bookmarkEnd w:id="1277"/>
      <w:bookmarkEnd w:id="1278"/>
      <w:bookmarkEnd w:id="1279"/>
    </w:p>
    <w:p w14:paraId="5D5FC4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本款第（1）项细化为：</w:t>
      </w:r>
    </w:p>
    <w:p w14:paraId="0B91772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（1）取消合同中任何一项工作，但被取消的工作不能转由发包人或其他人实施，由于承包人违约造成的情况除外；</w:t>
      </w:r>
    </w:p>
    <w:p w14:paraId="52C499E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80" w:name="_Toc234833181"/>
      <w:bookmarkStart w:id="1281" w:name="_Toc15909"/>
      <w:bookmarkStart w:id="1282" w:name="_Toc11045"/>
      <w:bookmarkStart w:id="1283" w:name="_Toc26890"/>
      <w:r>
        <w:rPr>
          <w:rFonts w:hint="default" w:ascii="Times New Roman" w:hAnsi="Times New Roman" w:eastAsia="黑体" w:cs="Times New Roman"/>
          <w:b w:val="0"/>
          <w:color w:val="auto"/>
          <w:sz w:val="24"/>
          <w:szCs w:val="24"/>
          <w:highlight w:val="none"/>
        </w:rPr>
        <w:t>15.3变更程序</w:t>
      </w:r>
      <w:bookmarkEnd w:id="1280"/>
      <w:bookmarkEnd w:id="1281"/>
      <w:bookmarkEnd w:id="1282"/>
      <w:bookmarkEnd w:id="1283"/>
    </w:p>
    <w:p w14:paraId="2C702A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本款补充第15.3.4项：</w:t>
      </w:r>
    </w:p>
    <w:p w14:paraId="4B3D3A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15.3.4设计变更程序应执行《公路工程设计变更管理办法》的相关规定。</w:t>
      </w:r>
    </w:p>
    <w:p w14:paraId="6585C5F4">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284" w:name="_Toc234833182"/>
      <w:bookmarkStart w:id="1285" w:name="_Toc10432"/>
      <w:bookmarkStart w:id="1286" w:name="_Toc16771"/>
      <w:bookmarkStart w:id="1287" w:name="_Toc31295"/>
      <w:r>
        <w:rPr>
          <w:rFonts w:hint="default" w:ascii="Times New Roman" w:hAnsi="Times New Roman" w:eastAsia="黑体" w:cs="Times New Roman"/>
          <w:b w:val="0"/>
          <w:color w:val="auto"/>
          <w:sz w:val="24"/>
          <w:szCs w:val="24"/>
          <w:highlight w:val="none"/>
        </w:rPr>
        <w:t>15.4变更的估价原则</w:t>
      </w:r>
      <w:bookmarkEnd w:id="1284"/>
      <w:bookmarkEnd w:id="1285"/>
      <w:bookmarkEnd w:id="1286"/>
      <w:bookmarkEnd w:id="1287"/>
    </w:p>
    <w:p w14:paraId="7109612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01ECAFE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除项目专用合同条款另有约定外，因变更引起的价格调整按照本款约定处理。</w:t>
      </w:r>
    </w:p>
    <w:p w14:paraId="0B55710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15.4.1如果取消某项工作，则该项工作的总额价不予支付。</w:t>
      </w:r>
    </w:p>
    <w:p w14:paraId="0077BC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15.4.2已标价工程量清单中有适用于变更工作的子目的，采用该子目的单价。</w:t>
      </w:r>
    </w:p>
    <w:p w14:paraId="4047FB0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15.4.3已标价工程量清单中无适用于变更工作的子目，但有类似子目的，可在合理范围内参照类似子目的单价，由监理人按第3.5款商定或确定变更工作的单价。</w:t>
      </w:r>
    </w:p>
    <w:p w14:paraId="0F5EC22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15.4.4已标价工程量清单中无适用或类似子目的单价，可在综合考虑承包人在投标时所提供的单价分析表的基础上，由监理人按第3.5款商定或确定变更工作的单价。</w:t>
      </w:r>
    </w:p>
    <w:p w14:paraId="6080FA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15.4.5如果本工程的变更指示是因承包人过错、承包人违反合同或承包人责任造成的，则这种违约引起的任何额外费用应由承包人承担。</w:t>
      </w:r>
    </w:p>
    <w:p w14:paraId="60B2F07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88" w:name="_Toc31098"/>
      <w:bookmarkStart w:id="1289" w:name="_Toc24348"/>
      <w:bookmarkStart w:id="1290" w:name="_Toc234833183"/>
      <w:bookmarkStart w:id="1291" w:name="_Toc11214"/>
      <w:r>
        <w:rPr>
          <w:rFonts w:hint="default" w:ascii="Times New Roman" w:hAnsi="Times New Roman" w:eastAsia="黑体" w:cs="Times New Roman"/>
          <w:b w:val="0"/>
          <w:color w:val="auto"/>
          <w:sz w:val="24"/>
          <w:szCs w:val="24"/>
          <w:highlight w:val="none"/>
        </w:rPr>
        <w:t>15.5承包人的合理化建议</w:t>
      </w:r>
      <w:bookmarkEnd w:id="1288"/>
      <w:bookmarkEnd w:id="1289"/>
      <w:bookmarkEnd w:id="1290"/>
      <w:bookmarkEnd w:id="1291"/>
    </w:p>
    <w:p w14:paraId="4E65F6A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第15.5.2项约定为：</w:t>
      </w:r>
    </w:p>
    <w:p w14:paraId="1208ED5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承包人提出的合理化建议缩短了工期，发包人按第11.6款的规定给予奖励。</w:t>
      </w:r>
    </w:p>
    <w:p w14:paraId="34FF87B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承包人提出的合理化建议降低了合同价格或者提高了工程经济效益的，发包人按项目专用合同条款数据表中规定的金额给予奖励。</w:t>
      </w:r>
    </w:p>
    <w:p w14:paraId="7F9AC1E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92" w:name="_Toc18139"/>
      <w:bookmarkStart w:id="1293" w:name="_Toc234833184"/>
      <w:bookmarkStart w:id="1294" w:name="_Toc10877"/>
      <w:bookmarkStart w:id="1295" w:name="_Toc4473"/>
      <w:r>
        <w:rPr>
          <w:rFonts w:hint="default" w:ascii="Times New Roman" w:hAnsi="Times New Roman" w:eastAsia="黑体" w:cs="Times New Roman"/>
          <w:b w:val="0"/>
          <w:color w:val="auto"/>
          <w:sz w:val="24"/>
          <w:szCs w:val="24"/>
          <w:highlight w:val="none"/>
        </w:rPr>
        <w:t>15.6暂列金额</w:t>
      </w:r>
      <w:bookmarkEnd w:id="1292"/>
      <w:bookmarkEnd w:id="1293"/>
      <w:bookmarkEnd w:id="1294"/>
      <w:bookmarkEnd w:id="1295"/>
    </w:p>
    <w:p w14:paraId="577280C0">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1859619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15.6.1暂列金额应由监理人报发包人批准后指令全部或部分地使用，或者根本不予动用。</w:t>
      </w:r>
    </w:p>
    <w:p w14:paraId="770C1E2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4EAF5FC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15.6.3当监理人提出要求时，承包人应提供有关暂列金额支出的所有报价单、发票、凭证和账单或收据，除非该工作是根据已标价工程量清单列明的单价或总额价进行的估价。</w:t>
      </w:r>
    </w:p>
    <w:p w14:paraId="6AE67B7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96" w:name="_Toc25734"/>
      <w:bookmarkStart w:id="1297" w:name="_Toc234833185"/>
      <w:bookmarkStart w:id="1298" w:name="_Toc3192"/>
      <w:bookmarkStart w:id="1299" w:name="_Toc6229"/>
      <w:r>
        <w:rPr>
          <w:rFonts w:hint="default" w:ascii="Times New Roman" w:hAnsi="Times New Roman" w:eastAsia="黑体" w:cs="Times New Roman"/>
          <w:b w:val="0"/>
          <w:color w:val="auto"/>
          <w:sz w:val="28"/>
          <w:szCs w:val="28"/>
          <w:highlight w:val="none"/>
        </w:rPr>
        <w:t>16.价格调整</w:t>
      </w:r>
      <w:bookmarkEnd w:id="1296"/>
      <w:bookmarkEnd w:id="1297"/>
      <w:bookmarkEnd w:id="1298"/>
      <w:bookmarkEnd w:id="1299"/>
    </w:p>
    <w:p w14:paraId="7357285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00" w:name="_Toc11540"/>
      <w:bookmarkStart w:id="1301" w:name="_Toc11157"/>
      <w:bookmarkStart w:id="1302" w:name="_Toc925"/>
      <w:bookmarkStart w:id="1303" w:name="_Toc234833186"/>
      <w:r>
        <w:rPr>
          <w:rFonts w:hint="default" w:ascii="Times New Roman" w:hAnsi="Times New Roman" w:eastAsia="黑体" w:cs="Times New Roman"/>
          <w:b w:val="0"/>
          <w:color w:val="auto"/>
          <w:sz w:val="24"/>
          <w:szCs w:val="24"/>
          <w:highlight w:val="none"/>
        </w:rPr>
        <w:t>16.1物价波动引起的价格调整</w:t>
      </w:r>
      <w:bookmarkEnd w:id="1300"/>
      <w:bookmarkEnd w:id="1301"/>
      <w:bookmarkEnd w:id="1302"/>
      <w:bookmarkEnd w:id="1303"/>
    </w:p>
    <w:p w14:paraId="3E2575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24718E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（1）除项目专用合同条款另有约定外，因物价波动引起的价格调整应按项目专用合同条款数据表的规定，按照第16.1.1项或第16.1.2项约定的原则处理；或者</w:t>
      </w:r>
    </w:p>
    <w:p w14:paraId="3262E51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（2）在合同执行期间（包括工期拖延期间）由于人工、材料和设备价格的上涨而引起工程施工成本增加的风险由承包人自行承担，合同价格不会因此而调整。</w:t>
      </w:r>
    </w:p>
    <w:p w14:paraId="23B5D0C0">
      <w:pPr>
        <w:pageBreakBefore w:val="0"/>
        <w:kinsoku/>
        <w:wordWrap w:val="0"/>
        <w:bidi w:val="0"/>
        <w:spacing w:line="400" w:lineRule="atLeast"/>
        <w:ind w:firstLine="470" w:firstLineChars="196"/>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16.1.1</w:t>
      </w:r>
      <w:r>
        <w:rPr>
          <w:rFonts w:hint="default" w:ascii="Times New Roman" w:hAnsi="Times New Roman" w:eastAsia="黑体" w:cs="Times New Roman"/>
          <w:color w:val="auto"/>
          <w:sz w:val="24"/>
          <w:highlight w:val="none"/>
        </w:rPr>
        <w:t>采用价格指数调整价格差额</w:t>
      </w:r>
    </w:p>
    <w:p w14:paraId="3DEE2752">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16.1.1.1价格调整公式</w:t>
      </w:r>
    </w:p>
    <w:p w14:paraId="66B19121">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价格调整公式后增加备注如下：</w:t>
      </w:r>
    </w:p>
    <w:p w14:paraId="082EB49A">
      <w:pPr>
        <w:pageBreakBefore w:val="0"/>
        <w:kinsoku/>
        <w:wordWrap w:val="0"/>
        <w:bidi w:val="0"/>
        <w:spacing w:line="400" w:lineRule="atLeast"/>
        <w:ind w:firstLine="746" w:firstLineChars="311"/>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式中，</w:t>
      </w:r>
      <w:r>
        <w:rPr>
          <w:rFonts w:hint="default" w:ascii="Times New Roman" w:hAnsi="Times New Roman" w:cs="Times New Roman"/>
          <w:b/>
          <w:bCs/>
          <w:color w:val="auto"/>
          <w:sz w:val="24"/>
          <w:highlight w:val="none"/>
        </w:rPr>
        <w:t>A=1－（B</w:t>
      </w:r>
      <w:r>
        <w:rPr>
          <w:rFonts w:hint="default" w:ascii="Times New Roman" w:hAnsi="Times New Roman" w:cs="Times New Roman"/>
          <w:b/>
          <w:bCs/>
          <w:color w:val="auto"/>
          <w:sz w:val="24"/>
          <w:highlight w:val="none"/>
          <w:vertAlign w:val="subscript"/>
        </w:rPr>
        <w:t>1</w:t>
      </w:r>
      <w:r>
        <w:rPr>
          <w:rFonts w:hint="default" w:ascii="Times New Roman" w:hAnsi="Times New Roman" w:cs="Times New Roman"/>
          <w:b/>
          <w:bCs/>
          <w:color w:val="auto"/>
          <w:sz w:val="24"/>
          <w:highlight w:val="none"/>
        </w:rPr>
        <w:t>＋B</w:t>
      </w:r>
      <w:r>
        <w:rPr>
          <w:rFonts w:hint="default" w:ascii="Times New Roman" w:hAnsi="Times New Roman" w:cs="Times New Roman"/>
          <w:b/>
          <w:bCs/>
          <w:color w:val="auto"/>
          <w:sz w:val="24"/>
          <w:highlight w:val="none"/>
          <w:vertAlign w:val="subscript"/>
        </w:rPr>
        <w:t>2</w:t>
      </w:r>
      <w:r>
        <w:rPr>
          <w:rFonts w:hint="default" w:ascii="Times New Roman" w:hAnsi="Times New Roman" w:cs="Times New Roman"/>
          <w:b/>
          <w:bCs/>
          <w:color w:val="auto"/>
          <w:sz w:val="24"/>
          <w:highlight w:val="none"/>
        </w:rPr>
        <w:t>＋B</w:t>
      </w:r>
      <w:r>
        <w:rPr>
          <w:rFonts w:hint="default" w:ascii="Times New Roman" w:hAnsi="Times New Roman" w:cs="Times New Roman"/>
          <w:b/>
          <w:bCs/>
          <w:color w:val="auto"/>
          <w:sz w:val="24"/>
          <w:highlight w:val="none"/>
          <w:vertAlign w:val="subscript"/>
        </w:rPr>
        <w:t>3</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vertAlign w:val="subscript"/>
        </w:rPr>
        <w:t>……</w:t>
      </w:r>
      <w:r>
        <w:rPr>
          <w:rFonts w:hint="default" w:ascii="Times New Roman" w:hAnsi="Times New Roman" w:cs="Times New Roman"/>
          <w:b/>
          <w:bCs/>
          <w:color w:val="auto"/>
          <w:sz w:val="24"/>
          <w:highlight w:val="none"/>
        </w:rPr>
        <w:t>＋B</w:t>
      </w:r>
      <w:r>
        <w:rPr>
          <w:rFonts w:hint="default" w:ascii="Times New Roman" w:hAnsi="Times New Roman" w:cs="Times New Roman"/>
          <w:b/>
          <w:bCs/>
          <w:color w:val="auto"/>
          <w:sz w:val="24"/>
          <w:highlight w:val="none"/>
          <w:vertAlign w:val="subscript"/>
        </w:rPr>
        <w:t>n</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w:t>
      </w:r>
    </w:p>
    <w:p w14:paraId="3DC8DF64">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本目最后一段文字细化为：</w:t>
      </w:r>
    </w:p>
    <w:p w14:paraId="070CB8E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在采用价格调整公式进行调价时，还应遵守以下规定：</w:t>
      </w:r>
    </w:p>
    <w:p w14:paraId="55C046DD">
      <w:pPr>
        <w:pageBreakBefore w:val="0"/>
        <w:kinsoku/>
        <w:wordWrap w:val="0"/>
        <w:bidi w:val="0"/>
        <w:spacing w:line="400" w:lineRule="atLeast"/>
        <w:ind w:firstLine="477" w:firstLineChars="19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480B1B07">
      <w:pPr>
        <w:pageBreakBefore w:val="0"/>
        <w:kinsoku/>
        <w:wordWrap w:val="0"/>
        <w:bidi w:val="0"/>
        <w:spacing w:line="400" w:lineRule="atLeast"/>
        <w:ind w:firstLine="477" w:firstLineChars="19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5CB106F3">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04" w:name="_Toc18133"/>
      <w:bookmarkStart w:id="1305" w:name="_Toc12404"/>
      <w:bookmarkStart w:id="1306" w:name="_Toc234833187"/>
      <w:bookmarkStart w:id="1307" w:name="_Toc13648"/>
      <w:r>
        <w:rPr>
          <w:rFonts w:hint="default" w:ascii="Times New Roman" w:hAnsi="Times New Roman" w:eastAsia="黑体" w:cs="Times New Roman"/>
          <w:b w:val="0"/>
          <w:color w:val="auto"/>
          <w:sz w:val="28"/>
          <w:szCs w:val="28"/>
          <w:highlight w:val="none"/>
        </w:rPr>
        <w:t>17.计量与支付</w:t>
      </w:r>
      <w:bookmarkEnd w:id="1304"/>
      <w:bookmarkEnd w:id="1305"/>
      <w:bookmarkEnd w:id="1306"/>
      <w:bookmarkEnd w:id="1307"/>
    </w:p>
    <w:p w14:paraId="7398305E">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308" w:name="_Toc30341"/>
      <w:bookmarkStart w:id="1309" w:name="_Toc22272"/>
      <w:bookmarkStart w:id="1310" w:name="_Toc234833188"/>
      <w:bookmarkStart w:id="1311" w:name="_Toc23776"/>
      <w:r>
        <w:rPr>
          <w:rFonts w:hint="default" w:ascii="Times New Roman" w:hAnsi="Times New Roman" w:eastAsia="黑体" w:cs="Times New Roman"/>
          <w:b w:val="0"/>
          <w:color w:val="auto"/>
          <w:sz w:val="24"/>
          <w:szCs w:val="24"/>
          <w:highlight w:val="none"/>
        </w:rPr>
        <w:t>17.1计量</w:t>
      </w:r>
      <w:bookmarkEnd w:id="1308"/>
      <w:bookmarkEnd w:id="1309"/>
      <w:bookmarkEnd w:id="1310"/>
      <w:bookmarkEnd w:id="1311"/>
    </w:p>
    <w:p w14:paraId="1F9FA280">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17.1.2</w:t>
      </w:r>
      <w:r>
        <w:rPr>
          <w:rFonts w:hint="default" w:ascii="Times New Roman" w:hAnsi="Times New Roman" w:eastAsia="黑体" w:cs="Times New Roman"/>
          <w:color w:val="auto"/>
          <w:sz w:val="24"/>
          <w:highlight w:val="none"/>
        </w:rPr>
        <w:t>计量方法</w:t>
      </w:r>
    </w:p>
    <w:p w14:paraId="6DED9FE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5DD53BD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工程的计量应以净值为准，除非项目专用合同条款另有约定。工程量清单中各个子目的具体计量方法按本合同文件工程量清单计量规则中的规定执行。</w:t>
      </w:r>
    </w:p>
    <w:p w14:paraId="2F2A396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17.1.4</w:t>
      </w:r>
      <w:r>
        <w:rPr>
          <w:rFonts w:hint="default" w:ascii="Times New Roman" w:hAnsi="Times New Roman" w:eastAsia="黑体" w:cs="Times New Roman"/>
          <w:color w:val="auto"/>
          <w:sz w:val="24"/>
          <w:highlight w:val="none"/>
        </w:rPr>
        <w:t>单价子目的计量</w:t>
      </w:r>
    </w:p>
    <w:p w14:paraId="551CE8F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w:t>
      </w:r>
    </w:p>
    <w:p w14:paraId="442F48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（7）承包人未在已标价工程量清单中填入单价或总额价的工程子目，将被认为其已包含在本合同的其他子目的单价和总额价中，发包人将不另行支付。</w:t>
      </w:r>
    </w:p>
    <w:p w14:paraId="6B28E138">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17.1.5</w:t>
      </w:r>
      <w:r>
        <w:rPr>
          <w:rFonts w:hint="default" w:ascii="Times New Roman" w:hAnsi="Times New Roman" w:eastAsia="黑体" w:cs="Times New Roman"/>
          <w:color w:val="auto"/>
          <w:sz w:val="24"/>
          <w:highlight w:val="none"/>
        </w:rPr>
        <w:t>总价子目的计量</w:t>
      </w:r>
    </w:p>
    <w:p w14:paraId="18403676">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本项补充：</w:t>
      </w:r>
    </w:p>
    <w:p w14:paraId="0E56E286">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本项目工程量清单中要求承包人以</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总额</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方式报价的子目，各子目的支付原则和支付进度按项目专用合同条款的规定执行。</w:t>
      </w:r>
    </w:p>
    <w:p w14:paraId="747A2C7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12" w:name="_Toc23977"/>
      <w:bookmarkStart w:id="1313" w:name="_Toc15810"/>
      <w:bookmarkStart w:id="1314" w:name="_Toc234833189"/>
      <w:bookmarkStart w:id="1315" w:name="_Toc10842"/>
      <w:r>
        <w:rPr>
          <w:rFonts w:hint="default" w:ascii="Times New Roman" w:hAnsi="Times New Roman" w:eastAsia="黑体" w:cs="Times New Roman"/>
          <w:b w:val="0"/>
          <w:color w:val="auto"/>
          <w:sz w:val="24"/>
          <w:szCs w:val="24"/>
          <w:highlight w:val="none"/>
        </w:rPr>
        <w:t>17.2预付款</w:t>
      </w:r>
      <w:bookmarkEnd w:id="1312"/>
      <w:bookmarkEnd w:id="1313"/>
      <w:bookmarkEnd w:id="1314"/>
      <w:bookmarkEnd w:id="1315"/>
    </w:p>
    <w:p w14:paraId="11431B2C">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17.2.1</w:t>
      </w:r>
      <w:r>
        <w:rPr>
          <w:rFonts w:hint="default" w:ascii="Times New Roman" w:hAnsi="Times New Roman" w:eastAsia="黑体" w:cs="Times New Roman"/>
          <w:color w:val="auto"/>
          <w:sz w:val="24"/>
          <w:highlight w:val="none"/>
        </w:rPr>
        <w:t>预付款</w:t>
      </w:r>
    </w:p>
    <w:p w14:paraId="412A92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2254AAC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预付款包括开工预付款和材料、设备预付款。具体额度和预付办法如下：</w:t>
      </w:r>
    </w:p>
    <w:p w14:paraId="376EB3F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685EA8C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6883E78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（2）材料、设备预付款按项目专用合同条款数据表中所列主要材料、设备</w:t>
      </w:r>
      <w:r>
        <w:rPr>
          <w:rFonts w:hint="eastAsia" w:cs="Times New Roman"/>
          <w:color w:val="auto"/>
          <w:sz w:val="24"/>
          <w:highlight w:val="none"/>
          <w:lang w:val="en-US" w:eastAsia="zh-CN"/>
        </w:rPr>
        <w:t>清单</w:t>
      </w:r>
      <w:r>
        <w:rPr>
          <w:rFonts w:hint="default" w:ascii="Times New Roman" w:hAnsi="Times New Roman" w:cs="Times New Roman"/>
          <w:color w:val="auto"/>
          <w:sz w:val="24"/>
          <w:highlight w:val="none"/>
        </w:rPr>
        <w:t>费用（进口的材料、设备为到岸价，国内采购的为出厂价或销售价，地方材料为堆场价）的百分比支付。其预付条件为：</w:t>
      </w:r>
    </w:p>
    <w:p w14:paraId="632128C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a.材料、设备符合规范要求并经监理人认可；</w:t>
      </w:r>
    </w:p>
    <w:p w14:paraId="7A6637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b.承包人已出具材料、设备费用凭证或支付单据；</w:t>
      </w:r>
    </w:p>
    <w:p w14:paraId="6499028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c.材料、设备已在现场交货，且存储良好，监理人认为材料、设备的存储方法符合要求。</w:t>
      </w:r>
    </w:p>
    <w:p w14:paraId="3A0BB62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则监理人应将此项金额作为材料、设备预付款计入下一次的进度付款证书中。在预计交工前3个月，将不再支付材料、设备预付款。</w:t>
      </w:r>
    </w:p>
    <w:p w14:paraId="320274F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17.2.2</w:t>
      </w:r>
      <w:r>
        <w:rPr>
          <w:rFonts w:hint="default" w:ascii="Times New Roman" w:hAnsi="Times New Roman" w:eastAsia="黑体" w:cs="Times New Roman"/>
          <w:color w:val="auto"/>
          <w:sz w:val="24"/>
          <w:highlight w:val="none"/>
        </w:rPr>
        <w:t>预付款保函</w:t>
      </w:r>
    </w:p>
    <w:p w14:paraId="667D80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23DC2C7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承包人无须向发包人提交预付款保函。发包人向承包人支付的预付款，应按照本合同第17.2.1项规定使用，承包人提交的履约保证金对预付款的正常使用承担保证责任。</w:t>
      </w:r>
    </w:p>
    <w:p w14:paraId="33EA409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17.2.3</w:t>
      </w:r>
      <w:r>
        <w:rPr>
          <w:rFonts w:hint="default" w:ascii="Times New Roman" w:hAnsi="Times New Roman" w:eastAsia="黑体" w:cs="Times New Roman"/>
          <w:color w:val="auto"/>
          <w:sz w:val="24"/>
          <w:highlight w:val="none"/>
        </w:rPr>
        <w:t>预付款的扣回与还清</w:t>
      </w:r>
    </w:p>
    <w:p w14:paraId="07FD99CE">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215E290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E9A2AFD">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（2）当材料、设备已用于或安装在永久工程之中时，材料、设备预付款应从进度付款证书中扣回，扣回期不超过3个月。已经支付材料、设备预付款的材料、设备的所有权应属于发包人。</w:t>
      </w:r>
    </w:p>
    <w:p w14:paraId="74E734B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16" w:name="_Toc30179"/>
      <w:bookmarkStart w:id="1317" w:name="_Toc24114"/>
      <w:bookmarkStart w:id="1318" w:name="_Toc234833190"/>
      <w:bookmarkStart w:id="1319" w:name="_Toc32286"/>
      <w:r>
        <w:rPr>
          <w:rFonts w:hint="default" w:ascii="Times New Roman" w:hAnsi="Times New Roman" w:eastAsia="黑体" w:cs="Times New Roman"/>
          <w:b w:val="0"/>
          <w:color w:val="auto"/>
          <w:sz w:val="24"/>
          <w:szCs w:val="24"/>
          <w:highlight w:val="none"/>
        </w:rPr>
        <w:t>17.3工程进度付款</w:t>
      </w:r>
      <w:bookmarkEnd w:id="1316"/>
      <w:bookmarkEnd w:id="1317"/>
      <w:bookmarkEnd w:id="1318"/>
      <w:bookmarkEnd w:id="1319"/>
    </w:p>
    <w:p w14:paraId="066E0D1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17.3.3</w:t>
      </w:r>
      <w:r>
        <w:rPr>
          <w:rFonts w:hint="default" w:ascii="Times New Roman" w:hAnsi="Times New Roman" w:eastAsia="黑体" w:cs="Times New Roman"/>
          <w:color w:val="auto"/>
          <w:sz w:val="24"/>
          <w:highlight w:val="none"/>
        </w:rPr>
        <w:t>进度付款证书和支付时间</w:t>
      </w:r>
    </w:p>
    <w:p w14:paraId="216B616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本项（1）目补充：</w:t>
      </w:r>
    </w:p>
    <w:p w14:paraId="7E9E10A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11F09CD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D4DDE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发包人应在监理人收到进度付款申请单且承包人提交了合格的增值税专用发票后的28天内，将进度应付款支付给承包人。</w:t>
      </w:r>
    </w:p>
    <w:p w14:paraId="0D4A01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264DAB8A">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本款补充第17.3.5项：</w:t>
      </w:r>
    </w:p>
    <w:p w14:paraId="35287F33">
      <w:pPr>
        <w:pageBreakBefore w:val="0"/>
        <w:kinsoku/>
        <w:wordWrap w:val="0"/>
        <w:bidi w:val="0"/>
        <w:spacing w:line="42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17.3.5</w:t>
      </w:r>
      <w:r>
        <w:rPr>
          <w:rFonts w:hint="default" w:ascii="Times New Roman" w:hAnsi="Times New Roman" w:eastAsia="黑体" w:cs="Times New Roman"/>
          <w:color w:val="auto"/>
          <w:sz w:val="24"/>
          <w:highlight w:val="none"/>
        </w:rPr>
        <w:t>农民工工资保证金</w:t>
      </w:r>
    </w:p>
    <w:p w14:paraId="15D94E8B">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（1）为确保施工过程中农民工工资实时、足额发放到位，承包人应按照项目专用合同条款约定的时间和金额缴存农民工工资保证金。</w:t>
      </w:r>
    </w:p>
    <w:p w14:paraId="2C36889D">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（2）农民工工资保证金可采用银行保函或现金、支票形式。采用银行保函时，出具保函的银行须具有相应担保能力，且按照发包人批准的格式出具，所需费用由承包人承担。</w:t>
      </w:r>
    </w:p>
    <w:p w14:paraId="73038BCB">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（3）农民工工资保证金的扣留条件、返还时间按照项目专用合同条款的约定执行。</w:t>
      </w:r>
    </w:p>
    <w:p w14:paraId="30C0C84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20" w:name="_Toc234833191"/>
      <w:bookmarkStart w:id="1321" w:name="_Toc29743"/>
      <w:bookmarkStart w:id="1322" w:name="_Toc4893"/>
      <w:bookmarkStart w:id="1323" w:name="_Toc29571"/>
      <w:r>
        <w:rPr>
          <w:rFonts w:hint="default" w:ascii="Times New Roman" w:hAnsi="Times New Roman" w:eastAsia="黑体" w:cs="Times New Roman"/>
          <w:b w:val="0"/>
          <w:color w:val="auto"/>
          <w:sz w:val="24"/>
          <w:szCs w:val="24"/>
          <w:highlight w:val="none"/>
        </w:rPr>
        <w:t>17.4质量保证金</w:t>
      </w:r>
      <w:bookmarkEnd w:id="1320"/>
      <w:bookmarkEnd w:id="1321"/>
      <w:bookmarkEnd w:id="1322"/>
      <w:bookmarkEnd w:id="1323"/>
    </w:p>
    <w:p w14:paraId="29C0572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第17.4.1项、第17.4.2项细化为：</w:t>
      </w:r>
    </w:p>
    <w:p w14:paraId="304935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152730E2">
      <w:pPr>
        <w:pageBreakBefore w:val="0"/>
        <w:kinsoku/>
        <w:wordWrap w:val="0"/>
        <w:bidi w:val="0"/>
        <w:spacing w:line="400" w:lineRule="atLeast"/>
        <w:ind w:firstLine="480" w:firstLineChars="200"/>
        <w:outlineLvl w:val="9"/>
        <w:rPr>
          <w:rFonts w:hint="default" w:ascii="Times New Roman" w:hAnsi="Times New Roman" w:eastAsia="宋体 ，Arial" w:cs="Times New Roman"/>
          <w:color w:val="auto"/>
          <w:kern w:val="0"/>
          <w:sz w:val="24"/>
          <w:highlight w:val="none"/>
        </w:rPr>
      </w:pPr>
      <w:r>
        <w:rPr>
          <w:rFonts w:hint="default" w:ascii="Times New Roman" w:hAnsi="Times New Roman" w:cs="Times New Roman"/>
          <w:color w:val="auto"/>
          <w:sz w:val="24"/>
          <w:highlight w:val="none"/>
        </w:rPr>
        <w:t>质量保证金采用现金、支票形式提交的，发包人应在项目专用合同条款数据表中明确是否</w:t>
      </w:r>
      <w:r>
        <w:rPr>
          <w:rFonts w:hint="default" w:ascii="Times New Roman" w:hAnsi="Times New Roman" w:eastAsia="宋体 ，Arial" w:cs="Times New Roman"/>
          <w:color w:val="auto"/>
          <w:kern w:val="0"/>
          <w:sz w:val="24"/>
          <w:highlight w:val="none"/>
        </w:rPr>
        <w:t>计付利息以及利息的计算方式。</w:t>
      </w:r>
    </w:p>
    <w:p w14:paraId="0478A2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17.4.2在第1.1.4.5</w:t>
      </w:r>
      <w:r>
        <w:rPr>
          <w:rFonts w:hint="eastAsia" w:cs="Times New Roman"/>
          <w:color w:val="auto"/>
          <w:sz w:val="24"/>
          <w:highlight w:val="none"/>
          <w:lang w:val="en-US" w:eastAsia="zh-CN"/>
        </w:rPr>
        <w:t>款项</w:t>
      </w:r>
      <w:r>
        <w:rPr>
          <w:rFonts w:hint="default" w:ascii="Times New Roman" w:hAnsi="Times New Roman" w:cs="Times New Roman"/>
          <w:color w:val="auto"/>
          <w:sz w:val="24"/>
          <w:highlight w:val="none"/>
        </w:rPr>
        <w:t>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24C041D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24" w:name="_Toc1771"/>
      <w:bookmarkStart w:id="1325" w:name="_Toc234833192"/>
      <w:bookmarkStart w:id="1326" w:name="_Toc1942"/>
      <w:bookmarkStart w:id="1327" w:name="_Toc3090"/>
      <w:r>
        <w:rPr>
          <w:rFonts w:hint="default" w:ascii="Times New Roman" w:hAnsi="Times New Roman" w:eastAsia="黑体" w:cs="Times New Roman"/>
          <w:b w:val="0"/>
          <w:color w:val="auto"/>
          <w:sz w:val="24"/>
          <w:szCs w:val="24"/>
          <w:highlight w:val="none"/>
        </w:rPr>
        <w:t>17.5交工结算</w:t>
      </w:r>
      <w:bookmarkEnd w:id="1324"/>
      <w:bookmarkEnd w:id="1325"/>
      <w:bookmarkEnd w:id="1326"/>
      <w:bookmarkEnd w:id="1327"/>
    </w:p>
    <w:p w14:paraId="4D1B980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17.5.1</w:t>
      </w:r>
      <w:r>
        <w:rPr>
          <w:rFonts w:hint="default" w:ascii="Times New Roman" w:hAnsi="Times New Roman" w:eastAsia="黑体" w:cs="Times New Roman"/>
          <w:color w:val="auto"/>
          <w:sz w:val="24"/>
          <w:highlight w:val="none"/>
        </w:rPr>
        <w:t>交工付款申请单</w:t>
      </w:r>
    </w:p>
    <w:p w14:paraId="051856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本项（1）目约定为：</w:t>
      </w:r>
    </w:p>
    <w:p w14:paraId="045CAD7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承包人向监理人提交交工付款申请单（包括相关证明材料）的份数在项目专用合同条款数据表中约定；期限：交工验收证书签发后42天内。</w:t>
      </w:r>
    </w:p>
    <w:p w14:paraId="4B2AD39D">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17.5.2</w:t>
      </w:r>
      <w:r>
        <w:rPr>
          <w:rFonts w:hint="default" w:ascii="Times New Roman" w:hAnsi="Times New Roman" w:eastAsia="黑体" w:cs="Times New Roman"/>
          <w:color w:val="auto"/>
          <w:sz w:val="24"/>
          <w:highlight w:val="none"/>
        </w:rPr>
        <w:t>交工付款证书及支付时间</w:t>
      </w:r>
    </w:p>
    <w:p w14:paraId="3A93A77F">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本项（2）目细化为：</w:t>
      </w:r>
    </w:p>
    <w:p w14:paraId="0432436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发包人应在监理人出具交工付款证书且承包人提交了合格的增值税专用发票后的14天内，将应支付款支付给承包人。发包人不按期支付的，按第17.3.3（2）</w:t>
      </w:r>
      <w:r>
        <w:rPr>
          <w:rFonts w:hint="eastAsia" w:cs="Times New Roman"/>
          <w:color w:val="auto"/>
          <w:sz w:val="24"/>
          <w:highlight w:val="none"/>
          <w:lang w:val="en-US" w:eastAsia="zh-CN"/>
        </w:rPr>
        <w:t>项的目</w:t>
      </w:r>
      <w:r>
        <w:rPr>
          <w:rFonts w:hint="default" w:ascii="Times New Roman" w:hAnsi="Times New Roman" w:cs="Times New Roman"/>
          <w:color w:val="auto"/>
          <w:sz w:val="24"/>
          <w:highlight w:val="none"/>
        </w:rPr>
        <w:t>的约定，将逾期付款违约金支付给承包人。</w:t>
      </w:r>
    </w:p>
    <w:p w14:paraId="34ECFB8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28" w:name="_Toc234833193"/>
      <w:bookmarkStart w:id="1329" w:name="_Toc11156"/>
      <w:bookmarkStart w:id="1330" w:name="_Toc11950"/>
      <w:bookmarkStart w:id="1331" w:name="_Toc19025"/>
      <w:r>
        <w:rPr>
          <w:rFonts w:hint="default" w:ascii="Times New Roman" w:hAnsi="Times New Roman" w:eastAsia="黑体" w:cs="Times New Roman"/>
          <w:b w:val="0"/>
          <w:color w:val="auto"/>
          <w:sz w:val="24"/>
          <w:szCs w:val="24"/>
          <w:highlight w:val="none"/>
        </w:rPr>
        <w:t>17.6最终结清</w:t>
      </w:r>
      <w:bookmarkEnd w:id="1328"/>
      <w:bookmarkEnd w:id="1329"/>
      <w:bookmarkEnd w:id="1330"/>
      <w:bookmarkEnd w:id="1331"/>
    </w:p>
    <w:p w14:paraId="3759AEEC">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17.6.1</w:t>
      </w:r>
      <w:r>
        <w:rPr>
          <w:rFonts w:hint="default" w:ascii="Times New Roman" w:hAnsi="Times New Roman" w:eastAsia="黑体" w:cs="Times New Roman"/>
          <w:color w:val="auto"/>
          <w:sz w:val="24"/>
          <w:highlight w:val="none"/>
        </w:rPr>
        <w:t>最终结清申请单</w:t>
      </w:r>
    </w:p>
    <w:p w14:paraId="75C4810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本项（1）目约定为：</w:t>
      </w:r>
    </w:p>
    <w:p w14:paraId="7680AC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承包人向监理人提交最终结清申请单（包括相关证明材料）的份数在项目专用合同条款数据表中约定；期限：缺陷责任期终止证书签发后28天内。</w:t>
      </w:r>
    </w:p>
    <w:p w14:paraId="2919EF6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最终结清申请单中的总金额应认为是代表了根据合同规定应付给承包人的全部款项的最后结算。</w:t>
      </w:r>
    </w:p>
    <w:p w14:paraId="492D0D36">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17.6.2</w:t>
      </w:r>
      <w:r>
        <w:rPr>
          <w:rFonts w:hint="default" w:ascii="Times New Roman" w:hAnsi="Times New Roman" w:eastAsia="黑体" w:cs="Times New Roman"/>
          <w:color w:val="auto"/>
          <w:sz w:val="24"/>
          <w:highlight w:val="none"/>
        </w:rPr>
        <w:t>最终结清证书和支付时间</w:t>
      </w:r>
    </w:p>
    <w:p w14:paraId="77D866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58F7BC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736CDE9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32" w:name="_Toc234833194"/>
      <w:bookmarkStart w:id="1333" w:name="_Toc12621"/>
      <w:bookmarkStart w:id="1334" w:name="_Toc22331"/>
      <w:bookmarkStart w:id="1335" w:name="_Toc24563"/>
      <w:r>
        <w:rPr>
          <w:rFonts w:hint="default" w:ascii="Times New Roman" w:hAnsi="Times New Roman" w:eastAsia="黑体" w:cs="Times New Roman"/>
          <w:b w:val="0"/>
          <w:color w:val="auto"/>
          <w:sz w:val="28"/>
          <w:szCs w:val="28"/>
          <w:highlight w:val="none"/>
        </w:rPr>
        <w:t>18.交工验收</w:t>
      </w:r>
      <w:bookmarkEnd w:id="1332"/>
      <w:bookmarkEnd w:id="1333"/>
      <w:bookmarkEnd w:id="1334"/>
      <w:bookmarkEnd w:id="1335"/>
    </w:p>
    <w:p w14:paraId="146A4D9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36" w:name="_Toc29033"/>
      <w:bookmarkStart w:id="1337" w:name="_Toc234833195"/>
      <w:bookmarkStart w:id="1338" w:name="_Toc13694"/>
      <w:bookmarkStart w:id="1339" w:name="_Toc14002"/>
      <w:r>
        <w:rPr>
          <w:rFonts w:hint="default" w:ascii="Times New Roman" w:hAnsi="Times New Roman" w:eastAsia="黑体" w:cs="Times New Roman"/>
          <w:b w:val="0"/>
          <w:color w:val="auto"/>
          <w:sz w:val="24"/>
          <w:szCs w:val="24"/>
          <w:highlight w:val="none"/>
        </w:rPr>
        <w:t>18.2交工验收申请报告</w:t>
      </w:r>
      <w:bookmarkEnd w:id="1336"/>
      <w:bookmarkEnd w:id="1337"/>
      <w:bookmarkEnd w:id="1338"/>
      <w:bookmarkEnd w:id="1339"/>
    </w:p>
    <w:p w14:paraId="0B0C0C2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本款第（2）项约定为：</w:t>
      </w:r>
    </w:p>
    <w:p w14:paraId="1CDB8E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竣工资料的内容：承包人应按照《公路工程竣（交）工验收办法》和相关规定编制竣工资料。</w:t>
      </w:r>
    </w:p>
    <w:p w14:paraId="37D9FC7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竣工资料的份数在项目专用合同条款数据表中约定。</w:t>
      </w:r>
    </w:p>
    <w:p w14:paraId="1381CEB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40" w:name="_Toc234833196"/>
      <w:bookmarkStart w:id="1341" w:name="_Toc11830"/>
      <w:bookmarkStart w:id="1342" w:name="_Toc2589"/>
      <w:bookmarkStart w:id="1343" w:name="_Toc4025"/>
      <w:r>
        <w:rPr>
          <w:rFonts w:hint="default" w:ascii="Times New Roman" w:hAnsi="Times New Roman" w:eastAsia="黑体" w:cs="Times New Roman"/>
          <w:b w:val="0"/>
          <w:color w:val="auto"/>
          <w:sz w:val="24"/>
          <w:szCs w:val="24"/>
          <w:highlight w:val="none"/>
        </w:rPr>
        <w:t>18.3验收</w:t>
      </w:r>
      <w:bookmarkEnd w:id="1340"/>
      <w:bookmarkEnd w:id="1341"/>
      <w:bookmarkEnd w:id="1342"/>
      <w:bookmarkEnd w:id="1343"/>
    </w:p>
    <w:p w14:paraId="2329F65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第18.3.2项补充：</w:t>
      </w:r>
    </w:p>
    <w:p w14:paraId="07E7A9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C93B41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第18.3.5项约定为：</w:t>
      </w:r>
    </w:p>
    <w:p w14:paraId="47800D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经验收合格工程的实际交工日期，以最终提交交工验收申请报告的日期为准，并在交工验收证书中写明。</w:t>
      </w:r>
    </w:p>
    <w:p w14:paraId="212ECE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本款补充第18.3.7项：</w:t>
      </w:r>
    </w:p>
    <w:p w14:paraId="76E61B6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组织办理交工验收和签发交工验收证书的费用由发包人承担。但按照第18.3.4项规定达不到合格标准的交工验收费用由承包人承担。</w:t>
      </w:r>
    </w:p>
    <w:p w14:paraId="50F0951B">
      <w:pPr>
        <w:pageBreakBefore w:val="0"/>
        <w:kinsoku/>
        <w:wordWrap w:val="0"/>
        <w:bidi w:val="0"/>
        <w:spacing w:before="240" w:beforeLines="100" w:line="400" w:lineRule="atLeast"/>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本条补充第18.9款：</w:t>
      </w:r>
    </w:p>
    <w:p w14:paraId="5A96256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44" w:name="_Toc25110"/>
      <w:bookmarkStart w:id="1345" w:name="_Toc234833197"/>
      <w:bookmarkStart w:id="1346" w:name="_Toc21991"/>
      <w:bookmarkStart w:id="1347" w:name="_Toc3682"/>
      <w:r>
        <w:rPr>
          <w:rFonts w:hint="default" w:ascii="Times New Roman" w:hAnsi="Times New Roman" w:eastAsia="黑体" w:cs="Times New Roman"/>
          <w:b w:val="0"/>
          <w:color w:val="auto"/>
          <w:sz w:val="24"/>
          <w:szCs w:val="24"/>
          <w:highlight w:val="none"/>
        </w:rPr>
        <w:t>18.9竣工文件</w:t>
      </w:r>
      <w:bookmarkEnd w:id="1344"/>
      <w:bookmarkEnd w:id="1345"/>
      <w:bookmarkEnd w:id="1346"/>
      <w:bookmarkEnd w:id="1347"/>
    </w:p>
    <w:p w14:paraId="43FAED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承包人应按照《公路工程竣（交）工验收办法》的相关规定，在缺陷责任期内为竣工验收补充竣工资料，并在签发缺陷责任期终止证书之前提交。</w:t>
      </w:r>
    </w:p>
    <w:p w14:paraId="4F8F2C0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48" w:name="_Toc5229"/>
      <w:bookmarkStart w:id="1349" w:name="_Toc11360"/>
      <w:bookmarkStart w:id="1350" w:name="_Toc16481"/>
      <w:bookmarkStart w:id="1351" w:name="_Toc234833198"/>
      <w:r>
        <w:rPr>
          <w:rFonts w:hint="default" w:ascii="Times New Roman" w:hAnsi="Times New Roman" w:eastAsia="黑体" w:cs="Times New Roman"/>
          <w:b w:val="0"/>
          <w:color w:val="auto"/>
          <w:sz w:val="28"/>
          <w:szCs w:val="28"/>
          <w:highlight w:val="none"/>
        </w:rPr>
        <w:t>19.缺陷责任与保修责任</w:t>
      </w:r>
      <w:bookmarkEnd w:id="1348"/>
      <w:bookmarkEnd w:id="1349"/>
      <w:bookmarkEnd w:id="1350"/>
      <w:bookmarkEnd w:id="1351"/>
    </w:p>
    <w:p w14:paraId="2E2732B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52" w:name="_Toc28049"/>
      <w:bookmarkStart w:id="1353" w:name="_Toc32462"/>
      <w:bookmarkStart w:id="1354" w:name="_Toc234833199"/>
      <w:bookmarkStart w:id="1355" w:name="_Toc13979"/>
      <w:r>
        <w:rPr>
          <w:rFonts w:hint="default" w:ascii="Times New Roman" w:hAnsi="Times New Roman" w:eastAsia="黑体" w:cs="Times New Roman"/>
          <w:b w:val="0"/>
          <w:color w:val="auto"/>
          <w:sz w:val="24"/>
          <w:szCs w:val="24"/>
          <w:highlight w:val="none"/>
        </w:rPr>
        <w:t>19.2缺陷责任</w:t>
      </w:r>
      <w:bookmarkEnd w:id="1352"/>
      <w:bookmarkEnd w:id="1353"/>
      <w:bookmarkEnd w:id="1354"/>
      <w:bookmarkEnd w:id="1355"/>
    </w:p>
    <w:p w14:paraId="24B3593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第19.2.2项补充：</w:t>
      </w:r>
    </w:p>
    <w:p w14:paraId="459305A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在缺陷责任期内，承包人应尽快完成在交工验收证书中写明的未完成工作，并完成对本工程缺陷的修复或监理人指令的修补工作。</w:t>
      </w:r>
    </w:p>
    <w:p w14:paraId="4CEAACEB">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356" w:name="_Toc17860"/>
      <w:bookmarkStart w:id="1357" w:name="_Toc234833200"/>
      <w:bookmarkStart w:id="1358" w:name="_Toc8826"/>
      <w:bookmarkStart w:id="1359" w:name="_Toc17405"/>
      <w:r>
        <w:rPr>
          <w:rFonts w:hint="default" w:ascii="Times New Roman" w:hAnsi="Times New Roman" w:eastAsia="黑体" w:cs="Times New Roman"/>
          <w:b w:val="0"/>
          <w:color w:val="auto"/>
          <w:sz w:val="24"/>
          <w:szCs w:val="24"/>
          <w:highlight w:val="none"/>
        </w:rPr>
        <w:t>19.5承包人的进入权</w:t>
      </w:r>
      <w:bookmarkEnd w:id="1356"/>
      <w:bookmarkEnd w:id="1357"/>
      <w:bookmarkEnd w:id="1358"/>
      <w:bookmarkEnd w:id="1359"/>
    </w:p>
    <w:p w14:paraId="17CB4C14">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本款补充</w:t>
      </w:r>
      <w:r>
        <w:rPr>
          <w:rFonts w:hint="eastAsia" w:cs="Times New Roman"/>
          <w:color w:val="auto"/>
          <w:sz w:val="24"/>
          <w:highlight w:val="none"/>
          <w:lang w:val="en-US" w:eastAsia="zh-CN"/>
        </w:rPr>
        <w:t>如下：</w:t>
      </w:r>
    </w:p>
    <w:p w14:paraId="6537BEE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承包人在缺陷修复施工过程中，应服从管养单位的有关安全管理规定，由于承包人自身原因造成的人员伤亡、设备和材料的损毁及罚款等责任由承包人自负。</w:t>
      </w:r>
    </w:p>
    <w:p w14:paraId="5A15E0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60" w:name="_Toc234833201"/>
      <w:bookmarkStart w:id="1361" w:name="_Toc13835"/>
      <w:bookmarkStart w:id="1362" w:name="_Toc17931"/>
      <w:bookmarkStart w:id="1363" w:name="_Toc22662"/>
      <w:r>
        <w:rPr>
          <w:rFonts w:hint="default" w:ascii="Times New Roman" w:hAnsi="Times New Roman" w:eastAsia="黑体" w:cs="Times New Roman"/>
          <w:b w:val="0"/>
          <w:color w:val="auto"/>
          <w:sz w:val="24"/>
          <w:szCs w:val="24"/>
          <w:highlight w:val="none"/>
        </w:rPr>
        <w:t>19.7保修责任</w:t>
      </w:r>
      <w:bookmarkEnd w:id="1360"/>
      <w:bookmarkEnd w:id="1361"/>
      <w:bookmarkEnd w:id="1362"/>
      <w:bookmarkEnd w:id="1363"/>
    </w:p>
    <w:p w14:paraId="208ED5F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2E46AC0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E309C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（2）在全部工程交工验收前，已经发包人提前验收的单位工程，其保修期的起算日期相应提前。</w:t>
      </w:r>
    </w:p>
    <w:p w14:paraId="01E467A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（3）工程保修期终止后28天内，监理人签发保修期终止证书。</w:t>
      </w:r>
    </w:p>
    <w:p w14:paraId="478450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（4）若承包人不履行保修义务和责任，则承包人应承担由于违约造成的法律后果，并由发包人将其违约行为上报省级交通运输主管部门，作为不良记录纳入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047ABAE6">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64" w:name="_Toc23441"/>
      <w:bookmarkStart w:id="1365" w:name="_Toc22022"/>
      <w:bookmarkStart w:id="1366" w:name="_Toc27979"/>
      <w:bookmarkStart w:id="1367" w:name="_Toc234833202"/>
      <w:r>
        <w:rPr>
          <w:rFonts w:hint="default" w:ascii="Times New Roman" w:hAnsi="Times New Roman" w:eastAsia="黑体" w:cs="Times New Roman"/>
          <w:b w:val="0"/>
          <w:color w:val="auto"/>
          <w:sz w:val="28"/>
          <w:szCs w:val="28"/>
          <w:highlight w:val="none"/>
        </w:rPr>
        <w:t>20.保险</w:t>
      </w:r>
      <w:bookmarkEnd w:id="1364"/>
      <w:bookmarkEnd w:id="1365"/>
      <w:bookmarkEnd w:id="1366"/>
      <w:bookmarkEnd w:id="1367"/>
    </w:p>
    <w:p w14:paraId="43F31E3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68" w:name="_Toc20820"/>
      <w:bookmarkStart w:id="1369" w:name="_Toc27757"/>
      <w:bookmarkStart w:id="1370" w:name="_Toc18588"/>
      <w:bookmarkStart w:id="1371" w:name="_Toc234833203"/>
      <w:r>
        <w:rPr>
          <w:rFonts w:hint="default" w:ascii="Times New Roman" w:hAnsi="Times New Roman" w:eastAsia="黑体" w:cs="Times New Roman"/>
          <w:b w:val="0"/>
          <w:color w:val="auto"/>
          <w:sz w:val="24"/>
          <w:szCs w:val="24"/>
          <w:highlight w:val="none"/>
        </w:rPr>
        <w:t>20.1工程保险</w:t>
      </w:r>
      <w:bookmarkEnd w:id="1368"/>
      <w:bookmarkEnd w:id="1369"/>
      <w:bookmarkEnd w:id="1370"/>
      <w:bookmarkEnd w:id="1371"/>
    </w:p>
    <w:p w14:paraId="79447EA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14DD540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建筑工程一切险的投保内容：为本合同工程的永久工程、临时工程和设备及已运至施工工地用于永久工程的材料和设备所投的保险。</w:t>
      </w:r>
    </w:p>
    <w:p w14:paraId="39A02A1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保险金额：工程量清单第100章（不含建筑工程一切险及第三者责任险的保险费）至第700章的合计金额。</w:t>
      </w:r>
    </w:p>
    <w:p w14:paraId="084FD06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保险费率：在项目专用合同条款数据表中约定。</w:t>
      </w:r>
    </w:p>
    <w:p w14:paraId="2762967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保险期限：开工日起直至本合同工程签发缺陷责任期终止证书止（即合同工期＋缺陷责任期）。</w:t>
      </w:r>
    </w:p>
    <w:p w14:paraId="3689984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2C981B8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72" w:name="_Toc1174"/>
      <w:bookmarkStart w:id="1373" w:name="_Toc28327"/>
      <w:bookmarkStart w:id="1374" w:name="_Toc6160"/>
      <w:bookmarkStart w:id="1375" w:name="_Toc234833204"/>
      <w:r>
        <w:rPr>
          <w:rFonts w:hint="default" w:ascii="Times New Roman" w:hAnsi="Times New Roman" w:eastAsia="黑体" w:cs="Times New Roman"/>
          <w:b w:val="0"/>
          <w:color w:val="auto"/>
          <w:sz w:val="24"/>
          <w:szCs w:val="24"/>
          <w:highlight w:val="none"/>
        </w:rPr>
        <w:t>20.4第三者责任险</w:t>
      </w:r>
      <w:bookmarkEnd w:id="1372"/>
      <w:bookmarkEnd w:id="1373"/>
      <w:bookmarkEnd w:id="1374"/>
      <w:bookmarkEnd w:id="1375"/>
    </w:p>
    <w:p w14:paraId="1F0C499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第20.4.2项补充：</w:t>
      </w:r>
    </w:p>
    <w:p w14:paraId="21C5A1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第三者责任险的保险费由承包人报价时列入工程量清单第100章内。发包人在接到保险单后，将按照保险单的费用直接向承包人支付。</w:t>
      </w:r>
    </w:p>
    <w:p w14:paraId="4D86244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76" w:name="_Toc4864"/>
      <w:bookmarkStart w:id="1377" w:name="_Toc5754"/>
      <w:bookmarkStart w:id="1378" w:name="_Toc234833205"/>
      <w:bookmarkStart w:id="1379" w:name="_Toc13808"/>
      <w:r>
        <w:rPr>
          <w:rFonts w:hint="default" w:ascii="Times New Roman" w:hAnsi="Times New Roman" w:eastAsia="黑体" w:cs="Times New Roman"/>
          <w:b w:val="0"/>
          <w:color w:val="auto"/>
          <w:sz w:val="24"/>
          <w:szCs w:val="24"/>
          <w:highlight w:val="none"/>
        </w:rPr>
        <w:t>20.5其他保险</w:t>
      </w:r>
      <w:bookmarkEnd w:id="1376"/>
      <w:bookmarkEnd w:id="1377"/>
      <w:bookmarkEnd w:id="1378"/>
      <w:bookmarkEnd w:id="1379"/>
    </w:p>
    <w:p w14:paraId="076A561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383A3476">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承包人应为其施工设备等办理保险，其投保金额应足以现场重置。办理本款保险的一切费用均由承包人承担，并包括在工程量清单的单价及总额价中，发包人不单独支付。</w:t>
      </w:r>
    </w:p>
    <w:p w14:paraId="609ECFF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80" w:name="_Toc234833206"/>
      <w:bookmarkStart w:id="1381" w:name="_Toc1959"/>
      <w:bookmarkStart w:id="1382" w:name="_Toc22712"/>
      <w:bookmarkStart w:id="1383" w:name="_Toc19524"/>
      <w:r>
        <w:rPr>
          <w:rFonts w:hint="default" w:ascii="Times New Roman" w:hAnsi="Times New Roman" w:eastAsia="黑体" w:cs="Times New Roman"/>
          <w:b w:val="0"/>
          <w:color w:val="auto"/>
          <w:sz w:val="24"/>
          <w:szCs w:val="24"/>
          <w:highlight w:val="none"/>
        </w:rPr>
        <w:t>20.6对各项保险的一般要求</w:t>
      </w:r>
      <w:bookmarkEnd w:id="1380"/>
      <w:bookmarkEnd w:id="1381"/>
      <w:bookmarkEnd w:id="1382"/>
      <w:bookmarkEnd w:id="1383"/>
    </w:p>
    <w:p w14:paraId="1F1CEB6F">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20.6.1保险凭证</w:t>
      </w:r>
    </w:p>
    <w:p w14:paraId="0BC6278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4B97522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承包人向发包人提交各项保险生效的证据和保险单副本的期限：开工后56天内。</w:t>
      </w:r>
    </w:p>
    <w:p w14:paraId="6CAFCB7A">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20.6.3持续保险</w:t>
      </w:r>
    </w:p>
    <w:p w14:paraId="6A1283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w:t>
      </w:r>
    </w:p>
    <w:p w14:paraId="2310537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在整个合同期内，承包人应按合同条款规定保证足够的保险额。</w:t>
      </w:r>
    </w:p>
    <w:p w14:paraId="2C3C9975">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20.6.4保险金不足的补偿</w:t>
      </w:r>
    </w:p>
    <w:p w14:paraId="3636171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7FBA3AB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保险金不足以补偿损失的（包括免赔额和超过赔偿限额的部分），应由承包人和（或）发包人按合同约定负责补偿。</w:t>
      </w:r>
    </w:p>
    <w:p w14:paraId="179501D2">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20.6.5未按约定投保的补救</w:t>
      </w:r>
    </w:p>
    <w:p w14:paraId="2ED1BBF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C91A35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2A7A79F8">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84" w:name="_Toc25592"/>
      <w:bookmarkStart w:id="1385" w:name="_Toc23861"/>
      <w:bookmarkStart w:id="1386" w:name="_Toc10087"/>
      <w:bookmarkStart w:id="1387" w:name="_Toc234833207"/>
      <w:r>
        <w:rPr>
          <w:rFonts w:hint="default" w:ascii="Times New Roman" w:hAnsi="Times New Roman" w:eastAsia="黑体" w:cs="Times New Roman"/>
          <w:b w:val="0"/>
          <w:color w:val="auto"/>
          <w:sz w:val="28"/>
          <w:szCs w:val="28"/>
          <w:highlight w:val="none"/>
        </w:rPr>
        <w:t>21.不可抗力</w:t>
      </w:r>
      <w:bookmarkEnd w:id="1384"/>
      <w:bookmarkEnd w:id="1385"/>
      <w:bookmarkEnd w:id="1386"/>
      <w:bookmarkEnd w:id="1387"/>
    </w:p>
    <w:p w14:paraId="6841AAA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88" w:name="_Toc30052"/>
      <w:bookmarkStart w:id="1389" w:name="_Toc25698"/>
      <w:bookmarkStart w:id="1390" w:name="_Toc234833208"/>
      <w:bookmarkStart w:id="1391" w:name="_Toc1192"/>
      <w:r>
        <w:rPr>
          <w:rFonts w:hint="default" w:ascii="Times New Roman" w:hAnsi="Times New Roman" w:eastAsia="黑体" w:cs="Times New Roman"/>
          <w:b w:val="0"/>
          <w:color w:val="auto"/>
          <w:sz w:val="24"/>
          <w:szCs w:val="24"/>
          <w:highlight w:val="none"/>
        </w:rPr>
        <w:t>21.1不可抗力的确认</w:t>
      </w:r>
      <w:bookmarkEnd w:id="1388"/>
      <w:bookmarkEnd w:id="1389"/>
      <w:bookmarkEnd w:id="1390"/>
      <w:bookmarkEnd w:id="1391"/>
    </w:p>
    <w:p w14:paraId="2FD5635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第21.1.1项细化为：</w:t>
      </w:r>
    </w:p>
    <w:p w14:paraId="115751D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不可抗力是指承包人和发包人在订立合同时不可预见，在工程施工过程中不可避免发生并不能克服的自然灾害和社会性突发事件。包括但不限于：</w:t>
      </w:r>
    </w:p>
    <w:p w14:paraId="71DE94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（1）地震、海啸、火山爆发、泥石流、暴雨（雪）、台风、龙卷风、水灾等自然灾害；</w:t>
      </w:r>
    </w:p>
    <w:p w14:paraId="4EC4517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（2）战争、骚乱、暴动，但纯属承包人或其分包人派遣与雇用的人员由于本合同工程施工原因引起者除外；</w:t>
      </w:r>
    </w:p>
    <w:p w14:paraId="23877B8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（3）核反应、辐射或放射性污染；</w:t>
      </w:r>
    </w:p>
    <w:p w14:paraId="58C0EDF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（4）空中飞行物体坠落或非发包人或承包人责任造成的爆炸、火灾；</w:t>
      </w:r>
    </w:p>
    <w:p w14:paraId="4B2C14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（5）瘟疫；</w:t>
      </w:r>
    </w:p>
    <w:p w14:paraId="77C22B4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（6）项目专用合同条款约定的其他情形。</w:t>
      </w:r>
    </w:p>
    <w:p w14:paraId="4CB125F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92" w:name="_Toc1492"/>
      <w:bookmarkStart w:id="1393" w:name="_Toc234833209"/>
      <w:bookmarkStart w:id="1394" w:name="_Toc26115"/>
      <w:bookmarkStart w:id="1395" w:name="_Toc30802"/>
      <w:r>
        <w:rPr>
          <w:rFonts w:hint="default" w:ascii="Times New Roman" w:hAnsi="Times New Roman" w:eastAsia="黑体" w:cs="Times New Roman"/>
          <w:b w:val="0"/>
          <w:color w:val="auto"/>
          <w:sz w:val="24"/>
          <w:szCs w:val="24"/>
          <w:highlight w:val="none"/>
        </w:rPr>
        <w:t>21.3不可抗力后果及其处理</w:t>
      </w:r>
      <w:bookmarkEnd w:id="1392"/>
      <w:bookmarkEnd w:id="1393"/>
      <w:bookmarkEnd w:id="1394"/>
      <w:bookmarkEnd w:id="1395"/>
    </w:p>
    <w:p w14:paraId="7279F875">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w:t>
      </w:r>
      <w:r>
        <w:rPr>
          <w:rFonts w:hint="default" w:ascii="Times New Roman" w:hAnsi="Times New Roman" w:eastAsia="黑体" w:cs="Times New Roman"/>
          <w:color w:val="auto"/>
          <w:sz w:val="24"/>
          <w:highlight w:val="none"/>
        </w:rPr>
        <w:t>因不可抗力解除合同</w:t>
      </w:r>
    </w:p>
    <w:p w14:paraId="79911E2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61F0B3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4C086585">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96" w:name="_Toc3129"/>
      <w:bookmarkStart w:id="1397" w:name="_Toc23055"/>
      <w:bookmarkStart w:id="1398" w:name="_Toc234833210"/>
      <w:bookmarkStart w:id="1399" w:name="_Toc18919"/>
      <w:r>
        <w:rPr>
          <w:rFonts w:hint="default" w:ascii="Times New Roman" w:hAnsi="Times New Roman" w:eastAsia="黑体" w:cs="Times New Roman"/>
          <w:b w:val="0"/>
          <w:color w:val="auto"/>
          <w:sz w:val="28"/>
          <w:szCs w:val="28"/>
          <w:highlight w:val="none"/>
        </w:rPr>
        <w:t>22.违约</w:t>
      </w:r>
      <w:bookmarkEnd w:id="1396"/>
      <w:bookmarkEnd w:id="1397"/>
      <w:bookmarkEnd w:id="1398"/>
      <w:bookmarkEnd w:id="1399"/>
    </w:p>
    <w:p w14:paraId="5F17014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00" w:name="_Toc1580"/>
      <w:bookmarkStart w:id="1401" w:name="_Toc6115"/>
      <w:bookmarkStart w:id="1402" w:name="_Toc7490"/>
      <w:bookmarkStart w:id="1403" w:name="_Toc234833211"/>
      <w:r>
        <w:rPr>
          <w:rFonts w:hint="default" w:ascii="Times New Roman" w:hAnsi="Times New Roman" w:eastAsia="黑体" w:cs="Times New Roman"/>
          <w:b w:val="0"/>
          <w:color w:val="auto"/>
          <w:sz w:val="24"/>
          <w:szCs w:val="24"/>
          <w:highlight w:val="none"/>
        </w:rPr>
        <w:t>22.1承包人违约</w:t>
      </w:r>
      <w:bookmarkEnd w:id="1400"/>
      <w:bookmarkEnd w:id="1401"/>
      <w:bookmarkEnd w:id="1402"/>
      <w:bookmarkEnd w:id="1403"/>
    </w:p>
    <w:p w14:paraId="58B3530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22.1.1</w:t>
      </w:r>
      <w:r>
        <w:rPr>
          <w:rFonts w:hint="default" w:ascii="Times New Roman" w:hAnsi="Times New Roman" w:eastAsia="黑体" w:cs="Times New Roman"/>
          <w:color w:val="auto"/>
          <w:sz w:val="24"/>
          <w:highlight w:val="none"/>
        </w:rPr>
        <w:t>承包人违约的情形</w:t>
      </w:r>
    </w:p>
    <w:p w14:paraId="4D6E88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5884F1B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（2）承包人违反第5.3款或第6.4款的约定，未经监理人批准，私自将已按合同约定进入施工场地的施工设备、临时设施、材料或工程设备撤离施工场地；</w:t>
      </w:r>
    </w:p>
    <w:p w14:paraId="57F8FE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本项（7）目细化为：</w:t>
      </w:r>
    </w:p>
    <w:p w14:paraId="7AAA2DC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（7）承包人未能按期开工；</w:t>
      </w:r>
    </w:p>
    <w:p w14:paraId="068992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（8）承包人违反第4.6款或第6.3款的规定，未按承诺或未按监理人的要求及时配备称职的主要管理人员、技术骨干或关键施工设备；</w:t>
      </w:r>
    </w:p>
    <w:p w14:paraId="08157A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（9）经监理人和发包人检查，发现承包人有安全问题或有违反安全管理规章制度的情况；</w:t>
      </w:r>
    </w:p>
    <w:p w14:paraId="1C7E36B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（10）承包人不按合同约定履行义务的其他情况。</w:t>
      </w:r>
    </w:p>
    <w:p w14:paraId="09E635F8">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22.1.2</w:t>
      </w:r>
      <w:r>
        <w:rPr>
          <w:rFonts w:hint="default" w:ascii="Times New Roman" w:hAnsi="Times New Roman" w:eastAsia="黑体" w:cs="Times New Roman"/>
          <w:color w:val="auto"/>
          <w:sz w:val="24"/>
          <w:highlight w:val="none"/>
        </w:rPr>
        <w:t>对承包人违约的处理</w:t>
      </w:r>
    </w:p>
    <w:p w14:paraId="16719A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w:t>
      </w:r>
    </w:p>
    <w:p w14:paraId="1490A9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2E7CFAD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04" w:name="_Toc30636"/>
      <w:bookmarkStart w:id="1405" w:name="_Toc234833212"/>
      <w:bookmarkStart w:id="1406" w:name="_Toc29380"/>
      <w:bookmarkStart w:id="1407" w:name="_Toc3432"/>
      <w:r>
        <w:rPr>
          <w:rFonts w:hint="default" w:ascii="Times New Roman" w:hAnsi="Times New Roman" w:eastAsia="黑体" w:cs="Times New Roman"/>
          <w:b w:val="0"/>
          <w:color w:val="auto"/>
          <w:sz w:val="24"/>
          <w:szCs w:val="24"/>
          <w:highlight w:val="none"/>
        </w:rPr>
        <w:t>22.2发包人违约</w:t>
      </w:r>
      <w:bookmarkEnd w:id="1404"/>
      <w:bookmarkEnd w:id="1405"/>
      <w:bookmarkEnd w:id="1406"/>
      <w:bookmarkEnd w:id="1407"/>
    </w:p>
    <w:p w14:paraId="42ED34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22.2.1</w:t>
      </w:r>
      <w:r>
        <w:rPr>
          <w:rFonts w:hint="default" w:ascii="Times New Roman" w:hAnsi="Times New Roman" w:eastAsia="黑体" w:cs="Times New Roman"/>
          <w:color w:val="auto"/>
          <w:sz w:val="24"/>
          <w:highlight w:val="none"/>
        </w:rPr>
        <w:t>发包人违约的情形</w:t>
      </w:r>
    </w:p>
    <w:p w14:paraId="0ABC4E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本项（5）目细化为：</w:t>
      </w:r>
    </w:p>
    <w:p w14:paraId="198BEF5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（5）发包人无正当理由不按时返还履约保证金、质量保证金或农民工工资保证金的；</w:t>
      </w:r>
    </w:p>
    <w:p w14:paraId="2954846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（6）发包人不履行合同约定其他义务的。</w:t>
      </w:r>
    </w:p>
    <w:p w14:paraId="06C28B51">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22.2.2</w:t>
      </w:r>
      <w:r>
        <w:rPr>
          <w:rFonts w:hint="default" w:ascii="Times New Roman" w:hAnsi="Times New Roman" w:eastAsia="黑体" w:cs="Times New Roman"/>
          <w:color w:val="auto"/>
          <w:sz w:val="24"/>
          <w:highlight w:val="none"/>
        </w:rPr>
        <w:t>承包人有权暂停施工</w:t>
      </w:r>
    </w:p>
    <w:p w14:paraId="3C18A02B">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43A8EB1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D9D9F4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450B1937">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22.2.4</w:t>
      </w:r>
      <w:r>
        <w:rPr>
          <w:rFonts w:hint="default" w:ascii="Times New Roman" w:hAnsi="Times New Roman" w:eastAsia="黑体" w:cs="Times New Roman"/>
          <w:color w:val="auto"/>
          <w:sz w:val="24"/>
          <w:highlight w:val="none"/>
        </w:rPr>
        <w:t>解除合同后的付款</w:t>
      </w:r>
    </w:p>
    <w:p w14:paraId="5D7510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196FF7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（2）承包人为该工程施工订购并已付款的材料、工程设备和其他物品的金额。发包人付款后，该材料、工程设备和其他物品归发包人所有；</w:t>
      </w:r>
    </w:p>
    <w:p w14:paraId="5CC9B63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408" w:name="_Toc234833213"/>
      <w:bookmarkStart w:id="1409" w:name="_Toc26887"/>
      <w:bookmarkStart w:id="1410" w:name="_Toc4428"/>
      <w:bookmarkStart w:id="1411" w:name="_Toc27505"/>
      <w:r>
        <w:rPr>
          <w:rFonts w:hint="default" w:ascii="Times New Roman" w:hAnsi="Times New Roman" w:eastAsia="黑体" w:cs="Times New Roman"/>
          <w:b w:val="0"/>
          <w:color w:val="auto"/>
          <w:sz w:val="28"/>
          <w:szCs w:val="28"/>
          <w:highlight w:val="none"/>
        </w:rPr>
        <w:t>23.索赔</w:t>
      </w:r>
      <w:bookmarkEnd w:id="1408"/>
      <w:bookmarkEnd w:id="1409"/>
      <w:bookmarkEnd w:id="1410"/>
      <w:bookmarkEnd w:id="1411"/>
    </w:p>
    <w:p w14:paraId="0181996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12" w:name="_Toc1551"/>
      <w:bookmarkStart w:id="1413" w:name="_Toc5503"/>
      <w:bookmarkStart w:id="1414" w:name="_Toc234833214"/>
      <w:bookmarkStart w:id="1415" w:name="_Toc7676"/>
      <w:r>
        <w:rPr>
          <w:rFonts w:hint="default" w:ascii="Times New Roman" w:hAnsi="Times New Roman" w:eastAsia="黑体" w:cs="Times New Roman"/>
          <w:b w:val="0"/>
          <w:color w:val="auto"/>
          <w:sz w:val="24"/>
          <w:szCs w:val="24"/>
          <w:highlight w:val="none"/>
        </w:rPr>
        <w:t>23.1承包人索赔的提出</w:t>
      </w:r>
      <w:bookmarkEnd w:id="1412"/>
      <w:bookmarkEnd w:id="1413"/>
      <w:bookmarkEnd w:id="1414"/>
      <w:bookmarkEnd w:id="1415"/>
    </w:p>
    <w:p w14:paraId="5AB34C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本款第（4）项细化为：</w:t>
      </w:r>
    </w:p>
    <w:p w14:paraId="4BC7FD5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（4）在索赔事件影响结束后的28天内，承包人应向监理人递交最终索赔通知书，说明最终要求索赔的追加付款金额和（或）延长的工期，并附必要的记录和证明材料。</w:t>
      </w:r>
    </w:p>
    <w:p w14:paraId="731A134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16" w:name="_Toc26842"/>
      <w:bookmarkStart w:id="1417" w:name="_Toc234833215"/>
      <w:bookmarkStart w:id="1418" w:name="_Toc12793"/>
      <w:bookmarkStart w:id="1419" w:name="_Toc29342"/>
      <w:r>
        <w:rPr>
          <w:rFonts w:hint="default" w:ascii="Times New Roman" w:hAnsi="Times New Roman" w:eastAsia="黑体" w:cs="Times New Roman"/>
          <w:b w:val="0"/>
          <w:color w:val="auto"/>
          <w:sz w:val="24"/>
          <w:szCs w:val="24"/>
          <w:highlight w:val="none"/>
        </w:rPr>
        <w:t>23.2承包人索赔处理程序</w:t>
      </w:r>
      <w:bookmarkEnd w:id="1416"/>
      <w:bookmarkEnd w:id="1417"/>
      <w:bookmarkEnd w:id="1418"/>
      <w:bookmarkEnd w:id="1419"/>
    </w:p>
    <w:p w14:paraId="1A18CBA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本款第（2）项细化为：</w:t>
      </w:r>
    </w:p>
    <w:p w14:paraId="38E6B5D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089D9D99">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420" w:name="_Toc11561"/>
      <w:bookmarkStart w:id="1421" w:name="_Toc18247"/>
      <w:bookmarkStart w:id="1422" w:name="_Toc30770"/>
      <w:bookmarkStart w:id="1423" w:name="_Toc234833216"/>
      <w:r>
        <w:rPr>
          <w:rFonts w:hint="default" w:ascii="Times New Roman" w:hAnsi="Times New Roman" w:eastAsia="黑体" w:cs="Times New Roman"/>
          <w:b w:val="0"/>
          <w:color w:val="auto"/>
          <w:sz w:val="28"/>
          <w:szCs w:val="28"/>
          <w:highlight w:val="none"/>
        </w:rPr>
        <w:t>24.争议的解决</w:t>
      </w:r>
      <w:bookmarkEnd w:id="1420"/>
      <w:bookmarkEnd w:id="1421"/>
      <w:bookmarkEnd w:id="1422"/>
      <w:bookmarkEnd w:id="1423"/>
    </w:p>
    <w:p w14:paraId="7F6C5E2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24" w:name="_Toc26371"/>
      <w:bookmarkStart w:id="1425" w:name="_Toc29697"/>
      <w:bookmarkStart w:id="1426" w:name="_Toc18858"/>
      <w:bookmarkStart w:id="1427" w:name="_Toc234833217"/>
      <w:r>
        <w:rPr>
          <w:rFonts w:hint="default" w:ascii="Times New Roman" w:hAnsi="Times New Roman" w:eastAsia="黑体" w:cs="Times New Roman"/>
          <w:b w:val="0"/>
          <w:color w:val="auto"/>
          <w:sz w:val="24"/>
          <w:szCs w:val="24"/>
          <w:highlight w:val="none"/>
        </w:rPr>
        <w:t>24.3争议评审</w:t>
      </w:r>
      <w:bookmarkEnd w:id="1424"/>
      <w:bookmarkEnd w:id="1425"/>
      <w:bookmarkEnd w:id="1426"/>
      <w:bookmarkEnd w:id="1427"/>
    </w:p>
    <w:p w14:paraId="0037B1C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第24.3.1项补充：</w:t>
      </w:r>
    </w:p>
    <w:p w14:paraId="3E4556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6202AFE">
      <w:pPr>
        <w:pageBreakBefore w:val="0"/>
        <w:kinsoku/>
        <w:wordWrap w:val="0"/>
        <w:bidi w:val="0"/>
        <w:spacing w:before="240" w:beforeLines="100" w:line="400" w:lineRule="atLeast"/>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本条补充第24.4款、第24.5款（适用于采用仲裁方式最终解决争议的项目）：</w:t>
      </w:r>
    </w:p>
    <w:p w14:paraId="4E65CEB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28" w:name="_Toc234833218"/>
      <w:bookmarkStart w:id="1429" w:name="_Toc32419"/>
      <w:bookmarkStart w:id="1430" w:name="_Toc22012"/>
      <w:bookmarkStart w:id="1431" w:name="_Toc13339"/>
      <w:r>
        <w:rPr>
          <w:rFonts w:hint="default" w:ascii="Times New Roman" w:hAnsi="Times New Roman" w:eastAsia="黑体" w:cs="Times New Roman"/>
          <w:b w:val="0"/>
          <w:color w:val="auto"/>
          <w:sz w:val="24"/>
          <w:szCs w:val="24"/>
          <w:highlight w:val="none"/>
        </w:rPr>
        <w:t>24.4仲裁</w:t>
      </w:r>
      <w:bookmarkEnd w:id="1428"/>
      <w:bookmarkEnd w:id="1429"/>
      <w:bookmarkEnd w:id="1430"/>
      <w:bookmarkEnd w:id="1431"/>
    </w:p>
    <w:p w14:paraId="5B5974E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（1）对于未能友好解决或未能通过争议评审解决的争议，发包人或承包人任一方均有权提交给第24.1款约定的仲裁委员会仲裁。</w:t>
      </w:r>
    </w:p>
    <w:p w14:paraId="367967C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060B0B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（3）仲裁裁决是终局性的并对发包人和承包人双方具有约束力。</w:t>
      </w:r>
    </w:p>
    <w:p w14:paraId="2B88787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（4）全部仲裁费用应由败诉方承担；或按仲裁委员会裁决的比例分担。</w:t>
      </w:r>
    </w:p>
    <w:p w14:paraId="3540E75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32" w:name="_Toc20967"/>
      <w:bookmarkStart w:id="1433" w:name="_Toc30469"/>
      <w:bookmarkStart w:id="1434" w:name="_Toc2028"/>
      <w:bookmarkStart w:id="1435" w:name="_Toc234833219"/>
      <w:r>
        <w:rPr>
          <w:rFonts w:hint="default" w:ascii="Times New Roman" w:hAnsi="Times New Roman" w:eastAsia="黑体" w:cs="Times New Roman"/>
          <w:b w:val="0"/>
          <w:color w:val="auto"/>
          <w:sz w:val="24"/>
          <w:szCs w:val="24"/>
          <w:highlight w:val="none"/>
        </w:rPr>
        <w:t>24.5仲裁的执行</w:t>
      </w:r>
      <w:bookmarkEnd w:id="1432"/>
      <w:bookmarkEnd w:id="1433"/>
      <w:bookmarkEnd w:id="1434"/>
      <w:bookmarkEnd w:id="1435"/>
    </w:p>
    <w:p w14:paraId="1BBF081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（1）任何一方不履行仲裁机构的裁决的，对方可以向有管辖权的人民法院申请执行。</w:t>
      </w:r>
    </w:p>
    <w:p w14:paraId="261738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BF159E0">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24"/>
          <w:highlight w:val="none"/>
        </w:rPr>
        <w:br w:type="page"/>
      </w:r>
      <w:bookmarkStart w:id="1436" w:name="_Toc234833220"/>
      <w:bookmarkStart w:id="1437" w:name="_Toc10610"/>
      <w:bookmarkStart w:id="1438" w:name="_Toc3230"/>
      <w:r>
        <w:rPr>
          <w:rFonts w:hint="default" w:ascii="Times New Roman" w:hAnsi="Times New Roman" w:eastAsia="黑体" w:cs="Times New Roman"/>
          <w:b w:val="0"/>
          <w:color w:val="auto"/>
          <w:sz w:val="32"/>
          <w:szCs w:val="32"/>
          <w:highlight w:val="none"/>
        </w:rPr>
        <w:t>B.项目专用合同条款</w:t>
      </w:r>
      <w:bookmarkEnd w:id="1436"/>
      <w:bookmarkEnd w:id="1437"/>
      <w:bookmarkEnd w:id="1438"/>
    </w:p>
    <w:p w14:paraId="46251C5F">
      <w:pPr>
        <w:pageBreakBefore w:val="0"/>
        <w:kinsoku/>
        <w:wordWrap w:val="0"/>
        <w:bidi w:val="0"/>
        <w:spacing w:line="440" w:lineRule="exact"/>
        <w:rPr>
          <w:rFonts w:hint="default" w:ascii="Times New Roman" w:hAnsi="Times New Roman" w:eastAsia="黑体" w:cs="Times New Roman"/>
          <w:color w:val="auto"/>
          <w:sz w:val="27"/>
          <w:szCs w:val="27"/>
          <w:highlight w:val="none"/>
        </w:rPr>
      </w:pPr>
    </w:p>
    <w:p w14:paraId="73610985">
      <w:pPr>
        <w:pStyle w:val="18"/>
        <w:pageBreakBefore w:val="0"/>
        <w:kinsoku/>
        <w:wordWrap w:val="0"/>
        <w:bidi w:val="0"/>
        <w:snapToGrid w:val="0"/>
        <w:spacing w:line="400" w:lineRule="atLeast"/>
        <w:ind w:left="0" w:leftChars="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说明：</w:t>
      </w:r>
    </w:p>
    <w:p w14:paraId="45FEAB90">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1.招标人在根据《</w:t>
      </w:r>
      <w:r>
        <w:rPr>
          <w:rFonts w:hint="eastAsia" w:ascii="宋体" w:hAnsi="宋体" w:eastAsia="宋体" w:cs="宋体"/>
          <w:color w:val="auto"/>
          <w:sz w:val="24"/>
          <w:highlight w:val="none"/>
          <w:lang w:val="en-US" w:eastAsia="zh-CN"/>
        </w:rPr>
        <w:t>标准文件</w:t>
      </w:r>
      <w:r>
        <w:rPr>
          <w:rFonts w:hint="eastAsia" w:ascii="宋体" w:hAnsi="宋体" w:eastAsia="宋体" w:cs="宋体"/>
          <w:color w:val="auto"/>
          <w:sz w:val="24"/>
          <w:highlight w:val="none"/>
        </w:rPr>
        <w:t>》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补充、细化或约定的内容，不得违反法律、行政法规的强制性规定和平等、自愿、公平和诚实信用原则。</w:t>
      </w:r>
    </w:p>
    <w:p w14:paraId="6D6AA819">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2.项目专用合同条款的编号应与通用合同条款和公路工程专用合同条款一致。</w:t>
      </w:r>
    </w:p>
    <w:p w14:paraId="65AD9544">
      <w:pPr>
        <w:pStyle w:val="18"/>
        <w:pageBreakBefore w:val="0"/>
        <w:kinsoku/>
        <w:wordWrap w:val="0"/>
        <w:bidi w:val="0"/>
        <w:snapToGrid w:val="0"/>
        <w:spacing w:line="400" w:lineRule="atLeast"/>
        <w:ind w:left="0" w:leftChars="0" w:firstLine="720" w:firstLineChars="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3.项目专用合同条款可对下列内容进行补充和细化：</w:t>
      </w:r>
    </w:p>
    <w:p w14:paraId="1A7E34E9">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67FEB3E0">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227A4894">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（3）其他需要补充、细化的内容。</w:t>
      </w:r>
    </w:p>
    <w:p w14:paraId="7E75D16B">
      <w:pPr>
        <w:pStyle w:val="18"/>
        <w:pageBreakBefore w:val="0"/>
        <w:kinsoku/>
        <w:wordWrap w:val="0"/>
        <w:bidi w:val="0"/>
        <w:snapToGrid w:val="0"/>
        <w:spacing w:line="400" w:lineRule="atLeast"/>
        <w:ind w:left="0" w:leftChars="0" w:firstLine="720" w:firstLineChars="300"/>
        <w:rPr>
          <w:rFonts w:hint="default" w:ascii="Times New Roman" w:hAnsi="Times New Roman" w:eastAsia="黑体" w:cs="Times New Roman"/>
          <w:color w:val="auto"/>
          <w:sz w:val="24"/>
          <w:highlight w:val="none"/>
        </w:rPr>
      </w:pPr>
    </w:p>
    <w:p w14:paraId="2002AAE2">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28"/>
          <w:highlight w:val="none"/>
        </w:rPr>
        <w:br w:type="page"/>
      </w:r>
      <w:bookmarkStart w:id="1439" w:name="_Toc7284"/>
      <w:bookmarkStart w:id="1440" w:name="_Toc30237"/>
      <w:bookmarkStart w:id="1441" w:name="_Toc234833221"/>
      <w:bookmarkStart w:id="1442" w:name="_Toc21057"/>
      <w:r>
        <w:rPr>
          <w:rFonts w:hint="default" w:ascii="Times New Roman" w:hAnsi="Times New Roman" w:eastAsia="黑体" w:cs="Times New Roman"/>
          <w:b w:val="0"/>
          <w:color w:val="auto"/>
          <w:sz w:val="32"/>
          <w:szCs w:val="32"/>
          <w:highlight w:val="none"/>
        </w:rPr>
        <w:t>项目专用合同条款数据表</w:t>
      </w:r>
      <w:bookmarkEnd w:id="1439"/>
      <w:bookmarkEnd w:id="1440"/>
      <w:bookmarkEnd w:id="1441"/>
      <w:bookmarkEnd w:id="1442"/>
    </w:p>
    <w:p w14:paraId="5F56DA33">
      <w:pPr>
        <w:pStyle w:val="18"/>
        <w:pageBreakBefore w:val="0"/>
        <w:kinsoku/>
        <w:wordWrap w:val="0"/>
        <w:bidi w:val="0"/>
        <w:snapToGrid w:val="0"/>
        <w:spacing w:after="0" w:line="400" w:lineRule="atLeast"/>
        <w:ind w:left="660" w:leftChars="0" w:hanging="660" w:hangingChars="275"/>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说明：</w:t>
      </w:r>
      <w:r>
        <w:rPr>
          <w:rFonts w:hint="eastAsia" w:ascii="宋体" w:hAnsi="宋体" w:eastAsia="宋体" w:cs="宋体"/>
          <w:color w:val="auto"/>
          <w:sz w:val="24"/>
          <w:highlight w:val="none"/>
        </w:rPr>
        <w:t>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p w14:paraId="0B8EC5F7">
      <w:pPr>
        <w:pStyle w:val="18"/>
        <w:pageBreakBefore w:val="0"/>
        <w:kinsoku/>
        <w:wordWrap w:val="0"/>
        <w:bidi w:val="0"/>
        <w:snapToGrid w:val="0"/>
        <w:spacing w:after="0" w:line="400" w:lineRule="atLeast"/>
        <w:ind w:left="660" w:leftChars="0" w:hanging="660" w:hangingChars="275"/>
        <w:rPr>
          <w:rFonts w:hint="default" w:ascii="Times New Roman" w:hAnsi="Times New Roman" w:cs="Times New Roman"/>
          <w:color w:val="auto"/>
          <w:sz w:val="24"/>
          <w:highlight w:val="none"/>
        </w:rPr>
      </w:pPr>
    </w:p>
    <w:tbl>
      <w:tblPr>
        <w:tblStyle w:val="94"/>
        <w:tblW w:w="90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384"/>
        <w:gridCol w:w="705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24" w:type="dxa"/>
            <w:tcBorders>
              <w:left w:val="single" w:color="000000" w:sz="6" w:space="0"/>
            </w:tcBorders>
            <w:vAlign w:val="center"/>
          </w:tcPr>
          <w:p w14:paraId="21262F8F">
            <w:pPr>
              <w:keepLines w:val="0"/>
              <w:pageBreakBefore w:val="0"/>
              <w:widowControl w:val="0"/>
              <w:kinsoku/>
              <w:overflowPunct/>
              <w:topLinePunct w:val="0"/>
              <w:autoSpaceDE/>
              <w:autoSpaceDN/>
              <w:bidi w:val="0"/>
              <w:snapToGrid w:val="0"/>
              <w:spacing w:before="134" w:line="240" w:lineRule="auto"/>
              <w:ind w:left="105" w:leftChars="50" w:right="283"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pacing w:val="5"/>
                <w:sz w:val="21"/>
                <w:szCs w:val="21"/>
              </w:rPr>
              <w:t>序</w:t>
            </w:r>
            <w:r>
              <w:rPr>
                <w:rFonts w:hint="eastAsia" w:ascii="宋体" w:hAnsi="宋体" w:eastAsia="宋体" w:cs="宋体"/>
                <w:b/>
                <w:color w:val="auto"/>
                <w:spacing w:val="4"/>
                <w:sz w:val="21"/>
                <w:szCs w:val="21"/>
              </w:rPr>
              <w:t>号</w:t>
            </w:r>
          </w:p>
        </w:tc>
        <w:tc>
          <w:tcPr>
            <w:tcW w:w="1384" w:type="dxa"/>
            <w:vAlign w:val="center"/>
          </w:tcPr>
          <w:p w14:paraId="1720952B">
            <w:pPr>
              <w:keepLines w:val="0"/>
              <w:pageBreakBefore w:val="0"/>
              <w:widowControl w:val="0"/>
              <w:kinsoku/>
              <w:overflowPunct/>
              <w:topLinePunct w:val="0"/>
              <w:autoSpaceDE/>
              <w:autoSpaceDN/>
              <w:bidi w:val="0"/>
              <w:snapToGrid w:val="0"/>
              <w:spacing w:before="134" w:line="240" w:lineRule="auto"/>
              <w:ind w:left="105" w:leftChars="50" w:right="283"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pacing w:val="7"/>
                <w:sz w:val="21"/>
                <w:szCs w:val="21"/>
              </w:rPr>
              <w:t>条</w:t>
            </w:r>
            <w:r>
              <w:rPr>
                <w:rFonts w:hint="eastAsia" w:ascii="宋体" w:hAnsi="宋体" w:eastAsia="宋体" w:cs="宋体"/>
                <w:b/>
                <w:color w:val="auto"/>
                <w:spacing w:val="6"/>
                <w:sz w:val="21"/>
                <w:szCs w:val="21"/>
              </w:rPr>
              <w:t>目号</w:t>
            </w:r>
          </w:p>
        </w:tc>
        <w:tc>
          <w:tcPr>
            <w:tcW w:w="7054" w:type="dxa"/>
            <w:tcBorders>
              <w:right w:val="single" w:color="000000" w:sz="6" w:space="0"/>
            </w:tcBorders>
            <w:vAlign w:val="center"/>
          </w:tcPr>
          <w:p w14:paraId="4BFCAB44">
            <w:pPr>
              <w:keepLines w:val="0"/>
              <w:pageBreakBefore w:val="0"/>
              <w:widowControl w:val="0"/>
              <w:kinsoku/>
              <w:overflowPunct/>
              <w:topLinePunct w:val="0"/>
              <w:autoSpaceDE/>
              <w:autoSpaceDN/>
              <w:bidi w:val="0"/>
              <w:snapToGrid w:val="0"/>
              <w:spacing w:before="134" w:line="240" w:lineRule="auto"/>
              <w:ind w:left="105" w:leftChars="50" w:right="283"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pacing w:val="8"/>
                <w:sz w:val="21"/>
                <w:szCs w:val="21"/>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D4E7892">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84" w:type="dxa"/>
            <w:vAlign w:val="center"/>
          </w:tcPr>
          <w:p w14:paraId="404D0480">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1.</w:t>
            </w:r>
            <w:r>
              <w:rPr>
                <w:rFonts w:hint="eastAsia" w:ascii="宋体" w:hAnsi="宋体" w:eastAsia="宋体" w:cs="宋体"/>
                <w:color w:val="auto"/>
                <w:sz w:val="21"/>
                <w:szCs w:val="21"/>
              </w:rPr>
              <w:t>1.2.2</w:t>
            </w:r>
          </w:p>
        </w:tc>
        <w:tc>
          <w:tcPr>
            <w:tcW w:w="7054" w:type="dxa"/>
            <w:tcBorders>
              <w:right w:val="single" w:color="000000" w:sz="6" w:space="0"/>
            </w:tcBorders>
            <w:vAlign w:val="center"/>
          </w:tcPr>
          <w:p w14:paraId="5D3D6762">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rPr>
              <w:t>发</w:t>
            </w:r>
            <w:r>
              <w:rPr>
                <w:rFonts w:hint="eastAsia" w:ascii="宋体" w:hAnsi="宋体" w:eastAsia="宋体" w:cs="宋体"/>
                <w:color w:val="auto"/>
                <w:spacing w:val="8"/>
                <w:sz w:val="21"/>
                <w:szCs w:val="21"/>
                <w:highlight w:val="none"/>
              </w:rPr>
              <w:t>包人：</w:t>
            </w:r>
            <w:r>
              <w:rPr>
                <w:rFonts w:hint="eastAsia" w:ascii="宋体" w:hAnsi="宋体" w:cs="宋体"/>
                <w:color w:val="auto"/>
                <w:spacing w:val="8"/>
                <w:sz w:val="21"/>
                <w:szCs w:val="21"/>
                <w:highlight w:val="none"/>
                <w:u w:val="single" w:color="auto"/>
                <w:lang w:eastAsia="zh-CN"/>
              </w:rPr>
              <w:t>盖州市交通运输服务中心</w:t>
            </w:r>
          </w:p>
          <w:p w14:paraId="3678A9E1">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highlight w:val="none"/>
              </w:rPr>
              <w:t>地</w:t>
            </w:r>
            <w:r>
              <w:rPr>
                <w:rFonts w:hint="eastAsia" w:ascii="宋体" w:hAnsi="宋体" w:eastAsia="宋体" w:cs="宋体"/>
                <w:color w:val="auto"/>
                <w:spacing w:val="5"/>
                <w:sz w:val="21"/>
                <w:szCs w:val="21"/>
                <w:highlight w:val="none"/>
              </w:rPr>
              <w:t>址：</w:t>
            </w:r>
            <w:r>
              <w:rPr>
                <w:rFonts w:hint="eastAsia" w:ascii="宋体" w:hAnsi="宋体" w:eastAsia="宋体" w:cs="宋体"/>
                <w:color w:val="auto"/>
                <w:spacing w:val="5"/>
                <w:sz w:val="21"/>
                <w:szCs w:val="21"/>
                <w:highlight w:val="none"/>
                <w:u w:val="single" w:color="auto"/>
                <w:lang w:val="en-US" w:eastAsia="zh-CN"/>
              </w:rPr>
              <w:t>盖州市盖州路108号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9040CEF">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84" w:type="dxa"/>
            <w:vAlign w:val="center"/>
          </w:tcPr>
          <w:p w14:paraId="383B708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1.</w:t>
            </w:r>
            <w:r>
              <w:rPr>
                <w:rFonts w:hint="eastAsia" w:ascii="宋体" w:hAnsi="宋体" w:eastAsia="宋体" w:cs="宋体"/>
                <w:color w:val="auto"/>
                <w:sz w:val="21"/>
                <w:szCs w:val="21"/>
              </w:rPr>
              <w:t>1.2.6</w:t>
            </w:r>
          </w:p>
        </w:tc>
        <w:tc>
          <w:tcPr>
            <w:tcW w:w="7054" w:type="dxa"/>
            <w:tcBorders>
              <w:right w:val="single" w:color="000000" w:sz="6" w:space="0"/>
            </w:tcBorders>
            <w:vAlign w:val="center"/>
          </w:tcPr>
          <w:p w14:paraId="361689BC">
            <w:pPr>
              <w:keepLines w:val="0"/>
              <w:pageBreakBefore w:val="0"/>
              <w:widowControl w:val="0"/>
              <w:kinsoku/>
              <w:overflowPunct/>
              <w:topLinePunct w:val="0"/>
              <w:autoSpaceDE/>
              <w:autoSpaceDN/>
              <w:bidi w:val="0"/>
              <w:snapToGrid w:val="0"/>
              <w:spacing w:before="137"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监</w:t>
            </w:r>
            <w:r>
              <w:rPr>
                <w:rFonts w:hint="eastAsia" w:ascii="宋体" w:hAnsi="宋体" w:eastAsia="宋体" w:cs="宋体"/>
                <w:color w:val="auto"/>
                <w:spacing w:val="5"/>
                <w:sz w:val="21"/>
                <w:szCs w:val="21"/>
              </w:rPr>
              <w:t>理人：</w:t>
            </w:r>
          </w:p>
          <w:p w14:paraId="79013F11">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地址：</w:t>
            </w:r>
            <w:r>
              <w:rPr>
                <w:rFonts w:hint="eastAsia" w:ascii="宋体" w:hAnsi="宋体" w:cs="宋体"/>
                <w:color w:val="auto"/>
                <w:spacing w:val="-1"/>
                <w:sz w:val="21"/>
                <w:szCs w:val="21"/>
                <w:lang w:val="en-US" w:eastAsia="zh-CN"/>
              </w:rPr>
              <w:t xml:space="preserve">                </w:t>
            </w:r>
            <w:r>
              <w:rPr>
                <w:rFonts w:hint="eastAsia" w:ascii="宋体" w:hAnsi="宋体" w:eastAsia="宋体" w:cs="宋体"/>
                <w:color w:val="auto"/>
                <w:sz w:val="21"/>
                <w:szCs w:val="21"/>
              </w:rPr>
              <w:t>邮政编码：</w:t>
            </w:r>
          </w:p>
          <w:p w14:paraId="107630B9">
            <w:pPr>
              <w:keepLines w:val="0"/>
              <w:pageBreakBefore w:val="0"/>
              <w:widowControl w:val="0"/>
              <w:kinsoku/>
              <w:overflowPunct/>
              <w:topLinePunct w:val="0"/>
              <w:autoSpaceDE/>
              <w:autoSpaceDN/>
              <w:bidi w:val="0"/>
              <w:snapToGrid w:val="0"/>
              <w:spacing w:before="154"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4"/>
                <w:sz w:val="21"/>
                <w:szCs w:val="21"/>
              </w:rPr>
              <w:t>(</w:t>
            </w:r>
            <w:r>
              <w:rPr>
                <w:rFonts w:hint="eastAsia" w:ascii="宋体" w:hAnsi="宋体" w:eastAsia="宋体" w:cs="宋体"/>
                <w:color w:val="auto"/>
                <w:spacing w:val="14"/>
                <w:sz w:val="21"/>
                <w:szCs w:val="21"/>
              </w:rPr>
              <w:t>发</w:t>
            </w:r>
            <w:r>
              <w:rPr>
                <w:rFonts w:hint="eastAsia" w:ascii="宋体" w:hAnsi="宋体" w:eastAsia="宋体" w:cs="宋体"/>
                <w:color w:val="auto"/>
                <w:spacing w:val="12"/>
                <w:sz w:val="21"/>
                <w:szCs w:val="21"/>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1BBAAC06">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84" w:type="dxa"/>
            <w:vAlign w:val="center"/>
          </w:tcPr>
          <w:p w14:paraId="5AE8D278">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1.1.3.14</w:t>
            </w:r>
          </w:p>
        </w:tc>
        <w:tc>
          <w:tcPr>
            <w:tcW w:w="7054" w:type="dxa"/>
            <w:tcBorders>
              <w:right w:val="single" w:color="000000" w:sz="6" w:space="0"/>
            </w:tcBorders>
            <w:vAlign w:val="center"/>
          </w:tcPr>
          <w:p w14:paraId="3DEF7AD2">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本</w:t>
            </w:r>
            <w:r>
              <w:rPr>
                <w:rFonts w:hint="eastAsia" w:ascii="宋体" w:hAnsi="宋体" w:eastAsia="宋体" w:cs="宋体"/>
                <w:color w:val="auto"/>
                <w:spacing w:val="10"/>
                <w:sz w:val="21"/>
                <w:szCs w:val="21"/>
                <w:highlight w:val="none"/>
              </w:rPr>
              <w:t>工程的主体和关键性工作是指：</w:t>
            </w:r>
            <w:r>
              <w:rPr>
                <w:rFonts w:hint="eastAsia" w:ascii="宋体" w:hAnsi="宋体" w:eastAsia="宋体" w:cs="宋体"/>
                <w:color w:val="auto"/>
                <w:spacing w:val="10"/>
                <w:sz w:val="21"/>
                <w:szCs w:val="21"/>
                <w:highlight w:val="none"/>
                <w:u w:val="single" w:color="auto"/>
              </w:rPr>
              <w:t>路面维修改造工程。</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755531E">
            <w:pPr>
              <w:keepLines w:val="0"/>
              <w:pageBreakBefore w:val="0"/>
              <w:widowControl w:val="0"/>
              <w:kinsoku/>
              <w:overflowPunct/>
              <w:topLinePunct w:val="0"/>
              <w:autoSpaceDE/>
              <w:autoSpaceDN/>
              <w:bidi w:val="0"/>
              <w:snapToGrid w:val="0"/>
              <w:spacing w:before="129"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4</w:t>
            </w:r>
          </w:p>
        </w:tc>
        <w:tc>
          <w:tcPr>
            <w:tcW w:w="1384" w:type="dxa"/>
            <w:vAlign w:val="center"/>
          </w:tcPr>
          <w:p w14:paraId="76110DD6">
            <w:pPr>
              <w:keepLines w:val="0"/>
              <w:pageBreakBefore w:val="0"/>
              <w:widowControl w:val="0"/>
              <w:kinsoku/>
              <w:overflowPunct/>
              <w:topLinePunct w:val="0"/>
              <w:autoSpaceDE/>
              <w:autoSpaceDN/>
              <w:bidi w:val="0"/>
              <w:snapToGrid w:val="0"/>
              <w:spacing w:before="129"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1.4.5</w:t>
            </w:r>
          </w:p>
        </w:tc>
        <w:tc>
          <w:tcPr>
            <w:tcW w:w="7054" w:type="dxa"/>
            <w:tcBorders>
              <w:right w:val="single" w:color="000000" w:sz="6" w:space="0"/>
            </w:tcBorders>
            <w:vAlign w:val="center"/>
          </w:tcPr>
          <w:p w14:paraId="705EBBE5">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缺陷责任</w:t>
            </w:r>
            <w:r>
              <w:rPr>
                <w:rFonts w:hint="eastAsia" w:ascii="宋体" w:hAnsi="宋体" w:eastAsia="宋体" w:cs="宋体"/>
                <w:color w:val="auto"/>
                <w:spacing w:val="5"/>
                <w:sz w:val="21"/>
                <w:szCs w:val="21"/>
                <w:highlight w:val="none"/>
              </w:rPr>
              <w:t>期</w:t>
            </w:r>
            <w:r>
              <w:rPr>
                <w:rFonts w:hint="eastAsia" w:ascii="宋体" w:hAnsi="宋体" w:eastAsia="宋体" w:cs="宋体"/>
                <w:color w:val="auto"/>
                <w:spacing w:val="4"/>
                <w:sz w:val="21"/>
                <w:szCs w:val="21"/>
                <w:highlight w:val="none"/>
              </w:rPr>
              <w:t>：自实际交工验收合格之日起</w:t>
            </w:r>
            <w:r>
              <w:rPr>
                <w:rFonts w:hint="eastAsia" w:ascii="宋体" w:hAnsi="宋体" w:eastAsia="宋体" w:cs="宋体"/>
                <w:color w:val="auto"/>
                <w:sz w:val="21"/>
                <w:szCs w:val="21"/>
                <w:highlight w:val="none"/>
              </w:rPr>
              <w:t>计算</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Style w:val="48"/>
                <w:rFonts w:hint="eastAsia" w:ascii="宋体" w:hAnsi="宋体" w:eastAsia="宋体" w:cs="宋体"/>
                <w:color w:val="auto"/>
                <w:sz w:val="21"/>
                <w:szCs w:val="21"/>
                <w:highlight w:val="none"/>
              </w:rPr>
              <w:footnoteReference w:id="33"/>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C04F79A">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384" w:type="dxa"/>
            <w:vAlign w:val="center"/>
          </w:tcPr>
          <w:p w14:paraId="501C6CEB">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1"/>
                <w:sz w:val="21"/>
                <w:szCs w:val="21"/>
              </w:rPr>
              <w:t>.6.3</w:t>
            </w:r>
          </w:p>
        </w:tc>
        <w:tc>
          <w:tcPr>
            <w:tcW w:w="7054" w:type="dxa"/>
            <w:tcBorders>
              <w:right w:val="single" w:color="000000" w:sz="6" w:space="0"/>
            </w:tcBorders>
            <w:vAlign w:val="center"/>
          </w:tcPr>
          <w:p w14:paraId="02B0CBAC">
            <w:pPr>
              <w:keepLines w:val="0"/>
              <w:pageBreakBefore w:val="0"/>
              <w:widowControl w:val="0"/>
              <w:kinsoku/>
              <w:overflowPunct/>
              <w:topLinePunct w:val="0"/>
              <w:autoSpaceDE/>
              <w:autoSpaceDN/>
              <w:bidi w:val="0"/>
              <w:snapToGrid w:val="0"/>
              <w:spacing w:before="159"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2"/>
                <w:sz w:val="21"/>
                <w:szCs w:val="21"/>
              </w:rPr>
              <w:t>图</w:t>
            </w:r>
            <w:r>
              <w:rPr>
                <w:rFonts w:hint="eastAsia" w:ascii="宋体" w:hAnsi="宋体" w:eastAsia="宋体" w:cs="宋体"/>
                <w:color w:val="auto"/>
                <w:spacing w:val="16"/>
                <w:sz w:val="21"/>
                <w:szCs w:val="21"/>
              </w:rPr>
              <w:t>纸</w:t>
            </w:r>
            <w:r>
              <w:rPr>
                <w:rFonts w:hint="eastAsia" w:ascii="宋体" w:hAnsi="宋体" w:eastAsia="宋体" w:cs="宋体"/>
                <w:color w:val="auto"/>
                <w:spacing w:val="11"/>
                <w:sz w:val="21"/>
                <w:szCs w:val="21"/>
              </w:rPr>
              <w:t>需要修改和补充的，应由监理人取得发包人同意后，在该工程或工程相应</w:t>
            </w:r>
            <w:r>
              <w:rPr>
                <w:rFonts w:hint="eastAsia" w:ascii="宋体" w:hAnsi="宋体" w:eastAsia="宋体" w:cs="宋体"/>
                <w:color w:val="auto"/>
                <w:spacing w:val="12"/>
                <w:sz w:val="21"/>
                <w:szCs w:val="21"/>
              </w:rPr>
              <w:t>部</w:t>
            </w:r>
            <w:r>
              <w:rPr>
                <w:rFonts w:hint="eastAsia" w:ascii="宋体" w:hAnsi="宋体" w:eastAsia="宋体" w:cs="宋体"/>
                <w:color w:val="auto"/>
                <w:spacing w:val="6"/>
                <w:sz w:val="21"/>
                <w:szCs w:val="21"/>
              </w:rPr>
              <w:t>位施工前</w:t>
            </w:r>
            <w:r>
              <w:rPr>
                <w:rFonts w:hint="eastAsia" w:ascii="宋体" w:hAnsi="宋体" w:eastAsia="宋体" w:cs="宋体"/>
                <w:color w:val="auto"/>
                <w:spacing w:val="6"/>
                <w:sz w:val="21"/>
                <w:szCs w:val="21"/>
                <w:u w:val="single" w:color="auto"/>
              </w:rPr>
              <w:t>7</w:t>
            </w:r>
            <w:r>
              <w:rPr>
                <w:rFonts w:hint="eastAsia" w:ascii="宋体" w:hAnsi="宋体" w:eastAsia="宋体" w:cs="宋体"/>
                <w:color w:val="auto"/>
                <w:spacing w:val="6"/>
                <w:sz w:val="21"/>
                <w:szCs w:val="21"/>
              </w:rPr>
              <w:t>天签发图纸修改图给承包人。承包人应按修改或补充(新增减工</w:t>
            </w:r>
            <w:r>
              <w:rPr>
                <w:rFonts w:hint="eastAsia" w:ascii="宋体" w:hAnsi="宋体" w:eastAsia="宋体" w:cs="宋体"/>
                <w:color w:val="auto"/>
                <w:spacing w:val="7"/>
                <w:sz w:val="21"/>
                <w:szCs w:val="21"/>
              </w:rPr>
              <w:t>程)后的图纸施工。</w:t>
            </w:r>
          </w:p>
          <w:p w14:paraId="44582A52">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在</w:t>
            </w:r>
            <w:r>
              <w:rPr>
                <w:rFonts w:hint="eastAsia" w:ascii="宋体" w:hAnsi="宋体" w:eastAsia="宋体" w:cs="宋体"/>
                <w:color w:val="auto"/>
                <w:spacing w:val="12"/>
                <w:sz w:val="21"/>
                <w:szCs w:val="21"/>
              </w:rPr>
              <w:t>没有发包人及监理人共同批准的前提下，承包人不得对施工图的任何部分进行修改，否则按承包人违约处理，并由承包人承担由此产生的一切后果和经济</w:t>
            </w:r>
            <w:r>
              <w:rPr>
                <w:rFonts w:hint="eastAsia" w:ascii="宋体" w:hAnsi="宋体" w:eastAsia="宋体" w:cs="宋体"/>
                <w:color w:val="auto"/>
                <w:spacing w:val="10"/>
                <w:sz w:val="21"/>
                <w:szCs w:val="21"/>
              </w:rPr>
              <w:t>责</w:t>
            </w:r>
            <w:r>
              <w:rPr>
                <w:rFonts w:hint="eastAsia" w:ascii="宋体" w:hAnsi="宋体" w:eastAsia="宋体" w:cs="宋体"/>
                <w:color w:val="auto"/>
                <w:spacing w:val="1"/>
                <w:sz w:val="21"/>
                <w:szCs w:val="21"/>
              </w:rPr>
              <w:t>任</w:t>
            </w:r>
            <w:r>
              <w:rPr>
                <w:rFonts w:hint="eastAsia" w:ascii="宋体" w:hAnsi="宋体" w:eastAsia="宋体" w:cs="宋体"/>
                <w:color w:val="auto"/>
                <w:sz w:val="21"/>
                <w:szCs w:val="21"/>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E894A95">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384" w:type="dxa"/>
            <w:vAlign w:val="center"/>
          </w:tcPr>
          <w:p w14:paraId="278F167B">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.7.2</w:t>
            </w:r>
          </w:p>
        </w:tc>
        <w:tc>
          <w:tcPr>
            <w:tcW w:w="7054" w:type="dxa"/>
            <w:tcBorders>
              <w:right w:val="single" w:color="000000" w:sz="6" w:space="0"/>
            </w:tcBorders>
            <w:vAlign w:val="center"/>
          </w:tcPr>
          <w:p w14:paraId="36CCE454">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rPr>
              <w:t>来往函件送达的期限：</w:t>
            </w:r>
            <w:r>
              <w:rPr>
                <w:rFonts w:hint="eastAsia" w:ascii="宋体" w:hAnsi="宋体" w:eastAsia="宋体" w:cs="宋体"/>
                <w:color w:val="auto"/>
                <w:spacing w:val="6"/>
                <w:sz w:val="21"/>
                <w:szCs w:val="21"/>
                <w:u w:val="single" w:color="auto"/>
              </w:rPr>
              <w:t>函件发出24小时</w:t>
            </w:r>
            <w:r>
              <w:rPr>
                <w:rFonts w:hint="eastAsia" w:ascii="宋体" w:hAnsi="宋体" w:eastAsia="宋体" w:cs="宋体"/>
                <w:color w:val="auto"/>
                <w:spacing w:val="3"/>
                <w:sz w:val="21"/>
                <w:szCs w:val="21"/>
                <w:u w:val="single" w:color="auto"/>
              </w:rPr>
              <w:t>内</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CB55419">
            <w:pPr>
              <w:keepLines w:val="0"/>
              <w:pageBreakBefore w:val="0"/>
              <w:widowControl w:val="0"/>
              <w:kinsoku/>
              <w:overflowPunct/>
              <w:topLinePunct w:val="0"/>
              <w:autoSpaceDE/>
              <w:autoSpaceDN/>
              <w:bidi w:val="0"/>
              <w:snapToGrid w:val="0"/>
              <w:spacing w:before="135"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384" w:type="dxa"/>
            <w:vAlign w:val="center"/>
          </w:tcPr>
          <w:p w14:paraId="28CFF5B6">
            <w:pPr>
              <w:keepLines w:val="0"/>
              <w:pageBreakBefore w:val="0"/>
              <w:widowControl w:val="0"/>
              <w:kinsoku/>
              <w:overflowPunct/>
              <w:topLinePunct w:val="0"/>
              <w:autoSpaceDE/>
              <w:autoSpaceDN/>
              <w:bidi w:val="0"/>
              <w:snapToGrid w:val="0"/>
              <w:spacing w:before="132"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2.6</w:t>
            </w:r>
          </w:p>
        </w:tc>
        <w:tc>
          <w:tcPr>
            <w:tcW w:w="7054" w:type="dxa"/>
            <w:tcBorders>
              <w:right w:val="single" w:color="000000" w:sz="6" w:space="0"/>
            </w:tcBorders>
            <w:vAlign w:val="center"/>
          </w:tcPr>
          <w:p w14:paraId="6F4CC32F">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rPr>
              <w:t>本工程资金来源</w:t>
            </w:r>
            <w:r>
              <w:rPr>
                <w:rFonts w:hint="eastAsia" w:ascii="宋体" w:hAnsi="宋体" w:cs="宋体"/>
                <w:color w:val="auto"/>
                <w:spacing w:val="9"/>
                <w:sz w:val="21"/>
                <w:szCs w:val="21"/>
                <w:highlight w:val="none"/>
                <w:lang w:eastAsia="zh-CN"/>
              </w:rPr>
              <w:t>：</w:t>
            </w:r>
            <w:r>
              <w:rPr>
                <w:rFonts w:hint="eastAsia" w:ascii="宋体" w:hAnsi="宋体" w:cs="宋体"/>
                <w:color w:val="auto"/>
                <w:spacing w:val="9"/>
                <w:sz w:val="21"/>
                <w:szCs w:val="21"/>
                <w:highlight w:val="none"/>
                <w:u w:val="single"/>
                <w:shd w:val="clear"/>
                <w:lang w:val="en-US" w:eastAsia="zh-CN"/>
              </w:rPr>
              <w:t xml:space="preserve"> 中央资金、省补资金和地方政府配套资金</w:t>
            </w:r>
            <w:r>
              <w:rPr>
                <w:rFonts w:hint="eastAsia" w:ascii="宋体" w:hAnsi="宋体" w:eastAsia="宋体" w:cs="宋体"/>
                <w:color w:val="auto"/>
                <w:spacing w:val="8"/>
                <w:sz w:val="21"/>
                <w:szCs w:val="21"/>
                <w:highlight w:val="none"/>
                <w:u w:val="single"/>
                <w:shd w:val="clear"/>
              </w:rPr>
              <w:t>。</w:t>
            </w:r>
            <w:r>
              <w:rPr>
                <w:rFonts w:hint="eastAsia" w:ascii="宋体" w:hAnsi="宋体" w:cs="宋体"/>
                <w:color w:val="auto"/>
                <w:spacing w:val="8"/>
                <w:sz w:val="21"/>
                <w:szCs w:val="21"/>
                <w:highlight w:val="none"/>
                <w:u w:val="single"/>
                <w:shd w:val="clear"/>
                <w:lang w:val="en-US" w:eastAsia="zh-CN"/>
              </w:rPr>
              <w:t xml:space="preserve"> </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FE9BAE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384" w:type="dxa"/>
            <w:vAlign w:val="center"/>
          </w:tcPr>
          <w:p w14:paraId="0B69FE96">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3.1.1</w:t>
            </w:r>
          </w:p>
        </w:tc>
        <w:tc>
          <w:tcPr>
            <w:tcW w:w="7054" w:type="dxa"/>
            <w:tcBorders>
              <w:right w:val="single" w:color="000000" w:sz="6" w:space="0"/>
            </w:tcBorders>
            <w:vAlign w:val="center"/>
          </w:tcPr>
          <w:p w14:paraId="66312A43">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监</w:t>
            </w:r>
            <w:r>
              <w:rPr>
                <w:rFonts w:hint="eastAsia" w:ascii="宋体" w:hAnsi="宋体" w:eastAsia="宋体" w:cs="宋体"/>
                <w:color w:val="auto"/>
                <w:spacing w:val="9"/>
                <w:sz w:val="21"/>
                <w:szCs w:val="21"/>
              </w:rPr>
              <w:t>理人在行使下列权力前需要经发包人事先批准：</w:t>
            </w:r>
          </w:p>
          <w:p w14:paraId="792129D8">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(6</w:t>
            </w:r>
            <w:r>
              <w:rPr>
                <w:rFonts w:hint="eastAsia" w:ascii="宋体" w:hAnsi="宋体" w:eastAsia="宋体" w:cs="宋体"/>
                <w:color w:val="auto"/>
                <w:spacing w:val="5"/>
                <w:sz w:val="21"/>
                <w:szCs w:val="21"/>
              </w:rPr>
              <w:t>)</w:t>
            </w:r>
            <w:r>
              <w:rPr>
                <w:rFonts w:hint="eastAsia" w:ascii="宋体" w:hAnsi="宋体" w:eastAsia="宋体" w:cs="宋体"/>
                <w:color w:val="auto"/>
                <w:spacing w:val="4"/>
                <w:sz w:val="21"/>
                <w:szCs w:val="21"/>
              </w:rPr>
              <w:t>监理人在行使根据第15.3款发出的变更指示前需要经发包人事先批准。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2BB40B2">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384" w:type="dxa"/>
            <w:vAlign w:val="center"/>
          </w:tcPr>
          <w:p w14:paraId="4D384DB2">
            <w:pPr>
              <w:keepLines w:val="0"/>
              <w:pageBreakBefore w:val="0"/>
              <w:widowControl w:val="0"/>
              <w:kinsoku/>
              <w:overflowPunct/>
              <w:topLinePunct w:val="0"/>
              <w:autoSpaceDE/>
              <w:autoSpaceDN/>
              <w:bidi w:val="0"/>
              <w:snapToGrid w:val="0"/>
              <w:spacing w:before="65"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5"/>
                <w:sz w:val="21"/>
                <w:szCs w:val="21"/>
                <w:highlight w:val="none"/>
              </w:rPr>
              <w:t>.1.10(1)</w:t>
            </w:r>
          </w:p>
        </w:tc>
        <w:tc>
          <w:tcPr>
            <w:tcW w:w="7054" w:type="dxa"/>
            <w:tcBorders>
              <w:right w:val="single" w:color="000000" w:sz="6" w:space="0"/>
            </w:tcBorders>
            <w:vAlign w:val="center"/>
          </w:tcPr>
          <w:p w14:paraId="58428753">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临</w:t>
            </w:r>
            <w:r>
              <w:rPr>
                <w:rFonts w:hint="eastAsia" w:ascii="宋体" w:hAnsi="宋体" w:eastAsia="宋体" w:cs="宋体"/>
                <w:color w:val="auto"/>
                <w:spacing w:val="4"/>
                <w:sz w:val="21"/>
                <w:szCs w:val="21"/>
                <w:highlight w:val="none"/>
              </w:rPr>
              <w:t>时占地的租地费用实行总额包干，列入工程量清单第100章中由承包人按总额</w:t>
            </w:r>
            <w:r>
              <w:rPr>
                <w:rFonts w:hint="eastAsia" w:ascii="宋体" w:hAnsi="宋体" w:eastAsia="宋体" w:cs="宋体"/>
                <w:color w:val="auto"/>
                <w:spacing w:val="6"/>
                <w:sz w:val="21"/>
                <w:szCs w:val="21"/>
                <w:highlight w:val="none"/>
              </w:rPr>
              <w:t>报价。</w:t>
            </w:r>
            <w:r>
              <w:rPr>
                <w:rFonts w:hint="eastAsia" w:ascii="宋体" w:hAnsi="宋体" w:eastAsia="宋体" w:cs="宋体"/>
                <w:color w:val="auto"/>
                <w:spacing w:val="3"/>
                <w:sz w:val="21"/>
                <w:szCs w:val="21"/>
                <w:highlight w:val="none"/>
              </w:rPr>
              <w:t>临时占地费用计算方式：</w:t>
            </w:r>
            <w:r>
              <w:rPr>
                <w:rFonts w:hint="eastAsia" w:ascii="宋体" w:hAnsi="宋体" w:eastAsia="宋体" w:cs="宋体"/>
                <w:color w:val="auto"/>
                <w:spacing w:val="3"/>
                <w:sz w:val="21"/>
                <w:szCs w:val="21"/>
                <w:highlight w:val="none"/>
                <w:u w:val="single" w:color="auto"/>
              </w:rPr>
              <w:t>参考《关于实施征地区片综合地价的通知》(辽</w:t>
            </w:r>
            <w:r>
              <w:rPr>
                <w:rFonts w:hint="eastAsia" w:ascii="宋体" w:hAnsi="宋体" w:eastAsia="宋体" w:cs="宋体"/>
                <w:color w:val="auto"/>
                <w:spacing w:val="12"/>
                <w:sz w:val="21"/>
                <w:szCs w:val="21"/>
                <w:highlight w:val="none"/>
                <w:u w:val="single" w:color="auto"/>
              </w:rPr>
              <w:t>国土资发〔</w:t>
            </w:r>
            <w:r>
              <w:rPr>
                <w:rFonts w:hint="eastAsia" w:ascii="宋体" w:hAnsi="宋体" w:eastAsia="宋体" w:cs="宋体"/>
                <w:color w:val="auto"/>
                <w:spacing w:val="6"/>
                <w:sz w:val="21"/>
                <w:szCs w:val="21"/>
                <w:highlight w:val="none"/>
                <w:u w:val="single" w:color="auto"/>
              </w:rPr>
              <w:t>2015〕339号)以及项目所在地市县区政府公布的区片综合地价标准进</w:t>
            </w:r>
            <w:r>
              <w:rPr>
                <w:rFonts w:hint="eastAsia" w:ascii="宋体" w:hAnsi="宋体" w:eastAsia="宋体" w:cs="宋体"/>
                <w:color w:val="auto"/>
                <w:spacing w:val="2"/>
                <w:sz w:val="21"/>
                <w:szCs w:val="21"/>
                <w:highlight w:val="none"/>
                <w:u w:val="single" w:color="auto"/>
              </w:rPr>
              <w:t>行测算</w:t>
            </w:r>
            <w:r>
              <w:rPr>
                <w:rFonts w:hint="eastAsia" w:ascii="宋体" w:hAnsi="宋体" w:eastAsia="宋体" w:cs="宋体"/>
                <w:color w:val="auto"/>
                <w:spacing w:val="1"/>
                <w:sz w:val="21"/>
                <w:szCs w:val="21"/>
                <w:highlight w:val="none"/>
                <w:u w:val="single" w:color="auto"/>
              </w:rPr>
              <w:t>。</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7D928A1">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0</w:t>
            </w:r>
          </w:p>
        </w:tc>
        <w:tc>
          <w:tcPr>
            <w:tcW w:w="1384" w:type="dxa"/>
            <w:vAlign w:val="center"/>
          </w:tcPr>
          <w:p w14:paraId="2637097A">
            <w:pPr>
              <w:keepLines w:val="0"/>
              <w:pageBreakBefore w:val="0"/>
              <w:widowControl w:val="0"/>
              <w:kinsoku/>
              <w:overflowPunct/>
              <w:topLinePunct w:val="0"/>
              <w:autoSpaceDE/>
              <w:autoSpaceDN/>
              <w:bidi w:val="0"/>
              <w:snapToGrid w:val="0"/>
              <w:spacing w:before="65"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5"/>
                <w:sz w:val="21"/>
                <w:szCs w:val="21"/>
                <w:highlight w:val="none"/>
              </w:rPr>
              <w:t>.1.10(3)</w:t>
            </w:r>
          </w:p>
        </w:tc>
        <w:tc>
          <w:tcPr>
            <w:tcW w:w="7054" w:type="dxa"/>
            <w:tcBorders>
              <w:right w:val="single" w:color="000000" w:sz="6" w:space="0"/>
            </w:tcBorders>
            <w:vAlign w:val="center"/>
          </w:tcPr>
          <w:p w14:paraId="4993F056">
            <w:pPr>
              <w:keepLines w:val="0"/>
              <w:pageBreakBefore w:val="0"/>
              <w:widowControl w:val="0"/>
              <w:kinsoku/>
              <w:overflowPunct/>
              <w:topLinePunct w:val="0"/>
              <w:autoSpaceDE/>
              <w:autoSpaceDN/>
              <w:bidi w:val="0"/>
              <w:snapToGrid w:val="0"/>
              <w:spacing w:before="144"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承包人</w:t>
            </w:r>
            <w:r>
              <w:rPr>
                <w:rFonts w:hint="eastAsia" w:ascii="宋体" w:hAnsi="宋体" w:eastAsia="宋体" w:cs="宋体"/>
                <w:color w:val="auto"/>
                <w:spacing w:val="3"/>
                <w:sz w:val="21"/>
                <w:szCs w:val="21"/>
              </w:rPr>
              <w:t>对于农民工工资的发放应严格遵守《保障农民工工资支付条例》(国务院</w:t>
            </w:r>
            <w:r>
              <w:rPr>
                <w:rFonts w:hint="eastAsia" w:ascii="宋体" w:hAnsi="宋体" w:eastAsia="宋体" w:cs="宋体"/>
                <w:color w:val="auto"/>
                <w:spacing w:val="1"/>
                <w:sz w:val="21"/>
                <w:szCs w:val="21"/>
              </w:rPr>
              <w:t>令第724号</w:t>
            </w:r>
            <w:r>
              <w:rPr>
                <w:rFonts w:hint="eastAsia" w:ascii="宋体" w:hAnsi="宋体" w:eastAsia="宋体" w:cs="宋体"/>
                <w:color w:val="auto"/>
                <w:sz w:val="21"/>
                <w:szCs w:val="21"/>
              </w:rPr>
              <w:t>)、《工程建设领域农民工工资保证金规定》(人社部发〔2021〕65号)</w:t>
            </w:r>
            <w:r>
              <w:rPr>
                <w:rFonts w:hint="eastAsia" w:ascii="宋体" w:hAnsi="宋体" w:eastAsia="宋体" w:cs="宋体"/>
                <w:color w:val="auto"/>
                <w:spacing w:val="5"/>
                <w:sz w:val="21"/>
                <w:szCs w:val="21"/>
              </w:rPr>
              <w:t>《</w:t>
            </w:r>
            <w:r>
              <w:rPr>
                <w:rFonts w:hint="eastAsia" w:ascii="宋体" w:hAnsi="宋体" w:eastAsia="宋体" w:cs="宋体"/>
                <w:color w:val="auto"/>
                <w:spacing w:val="3"/>
                <w:sz w:val="21"/>
                <w:szCs w:val="21"/>
              </w:rPr>
              <w:t>辽宁省公路水运工程建设领域农民工工资支付管理办法》(辽交公水规〔2020〕1</w:t>
            </w:r>
            <w:r>
              <w:rPr>
                <w:rFonts w:hint="eastAsia" w:ascii="宋体" w:hAnsi="宋体" w:eastAsia="宋体" w:cs="宋体"/>
                <w:color w:val="auto"/>
                <w:spacing w:val="8"/>
                <w:sz w:val="21"/>
                <w:szCs w:val="21"/>
              </w:rPr>
              <w:t>号)</w:t>
            </w:r>
            <w:r>
              <w:rPr>
                <w:rFonts w:hint="eastAsia" w:ascii="宋体" w:hAnsi="宋体" w:eastAsia="宋体" w:cs="宋体"/>
                <w:color w:val="auto"/>
                <w:spacing w:val="5"/>
                <w:sz w:val="21"/>
                <w:szCs w:val="21"/>
              </w:rPr>
              <w:t>、</w:t>
            </w:r>
            <w:r>
              <w:rPr>
                <w:rFonts w:hint="eastAsia" w:ascii="宋体" w:hAnsi="宋体" w:eastAsia="宋体" w:cs="宋体"/>
                <w:color w:val="auto"/>
                <w:spacing w:val="4"/>
                <w:sz w:val="21"/>
                <w:szCs w:val="21"/>
              </w:rPr>
              <w:t>《辽宁省建设领域农民工工资支付管理办法》(辽人社规〔2018〕3号)、</w:t>
            </w:r>
            <w:r>
              <w:rPr>
                <w:rFonts w:hint="eastAsia" w:ascii="宋体" w:hAnsi="宋体" w:eastAsia="宋体" w:cs="宋体"/>
                <w:color w:val="auto"/>
                <w:spacing w:val="8"/>
                <w:sz w:val="21"/>
                <w:szCs w:val="21"/>
              </w:rPr>
              <w:t>《关于建</w:t>
            </w:r>
            <w:r>
              <w:rPr>
                <w:rFonts w:hint="eastAsia" w:ascii="宋体" w:hAnsi="宋体" w:eastAsia="宋体" w:cs="宋体"/>
                <w:color w:val="auto"/>
                <w:spacing w:val="7"/>
                <w:sz w:val="21"/>
                <w:szCs w:val="21"/>
              </w:rPr>
              <w:t>立</w:t>
            </w:r>
            <w:r>
              <w:rPr>
                <w:rFonts w:hint="eastAsia" w:ascii="宋体" w:hAnsi="宋体" w:eastAsia="宋体" w:cs="宋体"/>
                <w:color w:val="auto"/>
                <w:spacing w:val="4"/>
                <w:sz w:val="21"/>
                <w:szCs w:val="21"/>
              </w:rPr>
              <w:t>建设领域农民工工资保证金制度的通知》(辽人社规〔2018〕4号)、</w:t>
            </w:r>
            <w:r>
              <w:rPr>
                <w:rFonts w:hint="eastAsia" w:ascii="宋体" w:hAnsi="宋体" w:eastAsia="宋体" w:cs="宋体"/>
                <w:color w:val="auto"/>
                <w:spacing w:val="-1"/>
                <w:sz w:val="21"/>
                <w:szCs w:val="21"/>
              </w:rPr>
              <w:t>《辽宁省工程建设领域农民</w:t>
            </w:r>
            <w:r>
              <w:rPr>
                <w:rFonts w:hint="eastAsia" w:ascii="宋体" w:hAnsi="宋体" w:eastAsia="宋体" w:cs="宋体"/>
                <w:color w:val="auto"/>
                <w:sz w:val="21"/>
                <w:szCs w:val="21"/>
              </w:rPr>
              <w:t>工工资专用账户管理暂行办法实施细则》(辽人社〔2021〕</w:t>
            </w:r>
          </w:p>
          <w:p w14:paraId="5685124E">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3</w:t>
            </w:r>
            <w:r>
              <w:rPr>
                <w:rFonts w:hint="eastAsia" w:ascii="宋体" w:hAnsi="宋体" w:eastAsia="宋体" w:cs="宋体"/>
                <w:color w:val="auto"/>
                <w:spacing w:val="6"/>
                <w:sz w:val="21"/>
                <w:szCs w:val="21"/>
              </w:rPr>
              <w:t>1</w:t>
            </w:r>
            <w:r>
              <w:rPr>
                <w:rFonts w:hint="eastAsia" w:ascii="宋体" w:hAnsi="宋体" w:eastAsia="宋体" w:cs="宋体"/>
                <w:color w:val="auto"/>
                <w:spacing w:val="4"/>
                <w:sz w:val="21"/>
                <w:szCs w:val="21"/>
              </w:rPr>
              <w:t>号)、《辽宁省工程建设领域农民工工资保证金实施办法》(辽人社〔2022〕5</w:t>
            </w:r>
            <w:r>
              <w:rPr>
                <w:rFonts w:hint="eastAsia" w:ascii="宋体" w:hAnsi="宋体" w:eastAsia="宋体" w:cs="宋体"/>
                <w:color w:val="auto"/>
                <w:spacing w:val="10"/>
                <w:sz w:val="21"/>
                <w:szCs w:val="21"/>
              </w:rPr>
              <w:t>号</w:t>
            </w:r>
            <w:r>
              <w:rPr>
                <w:rFonts w:hint="eastAsia" w:ascii="宋体" w:hAnsi="宋体" w:eastAsia="宋体" w:cs="宋体"/>
                <w:color w:val="auto"/>
                <w:spacing w:val="7"/>
                <w:sz w:val="21"/>
                <w:szCs w:val="21"/>
              </w:rPr>
              <w:t>)</w:t>
            </w:r>
            <w:r>
              <w:rPr>
                <w:rFonts w:hint="eastAsia" w:ascii="宋体" w:hAnsi="宋体" w:eastAsia="宋体" w:cs="宋体"/>
                <w:color w:val="auto"/>
                <w:spacing w:val="5"/>
                <w:sz w:val="21"/>
                <w:szCs w:val="21"/>
              </w:rPr>
              <w:t>等国家和项目所在省、市相关主管部门施行的规定，主要包括：</w:t>
            </w:r>
          </w:p>
          <w:p w14:paraId="72734DA9">
            <w:pPr>
              <w:keepLines w:val="0"/>
              <w:pageBreakBefore w:val="0"/>
              <w:widowControl w:val="0"/>
              <w:kinsoku/>
              <w:overflowPunct/>
              <w:topLinePunct w:val="0"/>
              <w:autoSpaceDE/>
              <w:autoSpaceDN/>
              <w:bidi w:val="0"/>
              <w:snapToGrid w:val="0"/>
              <w:spacing w:before="152"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color w:val="auto"/>
                <w:spacing w:val="6"/>
                <w:sz w:val="21"/>
                <w:szCs w:val="21"/>
              </w:rPr>
              <w:t>、承包人(</w:t>
            </w:r>
            <w:r>
              <w:rPr>
                <w:rFonts w:hint="eastAsia" w:ascii="宋体" w:hAnsi="宋体" w:eastAsia="宋体" w:cs="宋体"/>
                <w:color w:val="auto"/>
                <w:spacing w:val="4"/>
                <w:sz w:val="21"/>
                <w:szCs w:val="21"/>
              </w:rPr>
              <w:t>包</w:t>
            </w:r>
            <w:r>
              <w:rPr>
                <w:rFonts w:hint="eastAsia" w:ascii="宋体" w:hAnsi="宋体" w:eastAsia="宋体" w:cs="宋体"/>
                <w:color w:val="auto"/>
                <w:spacing w:val="3"/>
                <w:sz w:val="21"/>
                <w:szCs w:val="21"/>
              </w:rPr>
              <w:t>括其分包人)应实行农民工劳动用工实名制管理，与招用的农民工</w:t>
            </w:r>
            <w:r>
              <w:rPr>
                <w:rFonts w:hint="eastAsia" w:ascii="宋体" w:hAnsi="宋体" w:eastAsia="宋体" w:cs="宋体"/>
                <w:color w:val="auto"/>
                <w:spacing w:val="10"/>
                <w:sz w:val="21"/>
                <w:szCs w:val="21"/>
              </w:rPr>
              <w:t>书</w:t>
            </w:r>
            <w:r>
              <w:rPr>
                <w:rFonts w:hint="eastAsia" w:ascii="宋体" w:hAnsi="宋体" w:eastAsia="宋体" w:cs="宋体"/>
                <w:color w:val="auto"/>
                <w:spacing w:val="6"/>
                <w:sz w:val="21"/>
                <w:szCs w:val="21"/>
              </w:rPr>
              <w:t>面约定或者通过依法制定的规章制度规定工资支付标准、支付时间、支付方式等</w:t>
            </w:r>
            <w:r>
              <w:rPr>
                <w:rFonts w:hint="eastAsia" w:ascii="宋体" w:hAnsi="宋体" w:eastAsia="宋体" w:cs="宋体"/>
                <w:color w:val="auto"/>
                <w:spacing w:val="10"/>
                <w:sz w:val="21"/>
                <w:szCs w:val="21"/>
              </w:rPr>
              <w:t>内容。承包人</w:t>
            </w:r>
            <w:r>
              <w:rPr>
                <w:rFonts w:hint="eastAsia" w:ascii="宋体" w:hAnsi="宋体" w:eastAsia="宋体" w:cs="宋体"/>
                <w:color w:val="auto"/>
                <w:spacing w:val="5"/>
                <w:sz w:val="21"/>
                <w:szCs w:val="21"/>
              </w:rPr>
              <w:t>(包括其分包人)应按照与农民工订立的劳动合同中约定的工资支付</w:t>
            </w:r>
          </w:p>
          <w:p w14:paraId="3C5D6E23">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9"/>
                <w:sz w:val="21"/>
                <w:szCs w:val="21"/>
              </w:rPr>
              <w:t>周</w:t>
            </w:r>
            <w:r>
              <w:rPr>
                <w:rFonts w:hint="eastAsia" w:ascii="宋体" w:hAnsi="宋体" w:eastAsia="宋体" w:cs="宋体"/>
                <w:color w:val="auto"/>
                <w:spacing w:val="5"/>
                <w:sz w:val="21"/>
                <w:szCs w:val="21"/>
              </w:rPr>
              <w:t>期和具体支付日期足额支付工资。</w:t>
            </w:r>
          </w:p>
          <w:p w14:paraId="42E4813B">
            <w:pPr>
              <w:keepLines w:val="0"/>
              <w:pageBreakBefore w:val="0"/>
              <w:widowControl w:val="0"/>
              <w:kinsoku/>
              <w:overflowPunct/>
              <w:topLinePunct w:val="0"/>
              <w:autoSpaceDE/>
              <w:autoSpaceDN/>
              <w:bidi w:val="0"/>
              <w:snapToGrid w:val="0"/>
              <w:spacing w:before="118"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eastAsia="宋体" w:cs="宋体"/>
                <w:color w:val="auto"/>
                <w:spacing w:val="6"/>
                <w:sz w:val="21"/>
                <w:szCs w:val="21"/>
              </w:rPr>
              <w:t>、农民工工资应</w:t>
            </w:r>
            <w:r>
              <w:rPr>
                <w:rFonts w:hint="eastAsia" w:ascii="宋体" w:hAnsi="宋体" w:eastAsia="宋体" w:cs="宋体"/>
                <w:color w:val="auto"/>
                <w:spacing w:val="3"/>
                <w:sz w:val="21"/>
                <w:szCs w:val="21"/>
              </w:rPr>
              <w:t>当以货币形式，通过银行转账或者现金支付给农民工本人，不得</w:t>
            </w:r>
            <w:r>
              <w:rPr>
                <w:rFonts w:hint="eastAsia" w:ascii="宋体" w:hAnsi="宋体" w:eastAsia="宋体" w:cs="宋体"/>
                <w:color w:val="auto"/>
                <w:spacing w:val="4"/>
                <w:sz w:val="21"/>
                <w:szCs w:val="21"/>
              </w:rPr>
              <w:t>以实物或者有价证券等其他形式替代</w:t>
            </w:r>
            <w:r>
              <w:rPr>
                <w:rFonts w:hint="eastAsia" w:ascii="宋体" w:hAnsi="宋体" w:eastAsia="宋体" w:cs="宋体"/>
                <w:color w:val="auto"/>
                <w:spacing w:val="1"/>
                <w:sz w:val="21"/>
                <w:szCs w:val="21"/>
              </w:rPr>
              <w:t>。</w:t>
            </w:r>
          </w:p>
          <w:p w14:paraId="0BE2972A">
            <w:pPr>
              <w:keepLines w:val="0"/>
              <w:pageBreakBefore w:val="0"/>
              <w:widowControl w:val="0"/>
              <w:kinsoku/>
              <w:overflowPunct/>
              <w:topLinePunct w:val="0"/>
              <w:autoSpaceDE/>
              <w:autoSpaceDN/>
              <w:bidi w:val="0"/>
              <w:snapToGrid w:val="0"/>
              <w:spacing w:before="14"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position w:val="17"/>
                <w:sz w:val="21"/>
                <w:szCs w:val="21"/>
              </w:rPr>
              <w:t>c</w:t>
            </w:r>
            <w:r>
              <w:rPr>
                <w:rFonts w:hint="eastAsia" w:ascii="宋体" w:hAnsi="宋体" w:eastAsia="宋体" w:cs="宋体"/>
                <w:color w:val="auto"/>
                <w:spacing w:val="6"/>
                <w:position w:val="17"/>
                <w:sz w:val="21"/>
                <w:szCs w:val="21"/>
              </w:rPr>
              <w:t>、承包人在每次申</w:t>
            </w:r>
            <w:r>
              <w:rPr>
                <w:rFonts w:hint="eastAsia" w:ascii="宋体" w:hAnsi="宋体" w:eastAsia="宋体" w:cs="宋体"/>
                <w:color w:val="auto"/>
                <w:spacing w:val="4"/>
                <w:position w:val="17"/>
                <w:sz w:val="21"/>
                <w:szCs w:val="21"/>
              </w:rPr>
              <w:t>报</w:t>
            </w:r>
            <w:r>
              <w:rPr>
                <w:rFonts w:hint="eastAsia" w:ascii="宋体" w:hAnsi="宋体" w:eastAsia="宋体" w:cs="宋体"/>
                <w:color w:val="auto"/>
                <w:spacing w:val="3"/>
                <w:position w:val="17"/>
                <w:sz w:val="21"/>
                <w:szCs w:val="21"/>
              </w:rPr>
              <w:t>计量支付时，应将农民工工资款单独列项，项目管理法人将</w:t>
            </w:r>
          </w:p>
          <w:p w14:paraId="68EE1D5B">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按照经</w:t>
            </w:r>
            <w:r>
              <w:rPr>
                <w:rFonts w:hint="eastAsia" w:ascii="宋体" w:hAnsi="宋体" w:eastAsia="宋体" w:cs="宋体"/>
                <w:color w:val="auto"/>
                <w:spacing w:val="8"/>
                <w:sz w:val="21"/>
                <w:szCs w:val="21"/>
              </w:rPr>
              <w:t>审</w:t>
            </w:r>
            <w:r>
              <w:rPr>
                <w:rFonts w:hint="eastAsia" w:ascii="宋体" w:hAnsi="宋体" w:eastAsia="宋体" w:cs="宋体"/>
                <w:color w:val="auto"/>
                <w:spacing w:val="5"/>
                <w:sz w:val="21"/>
                <w:szCs w:val="21"/>
              </w:rPr>
              <w:t>核后的数额将农民工工资拨付至承包人的农民工工资专用账户。</w:t>
            </w:r>
          </w:p>
          <w:p w14:paraId="3802A743">
            <w:pPr>
              <w:keepLines w:val="0"/>
              <w:pageBreakBefore w:val="0"/>
              <w:widowControl w:val="0"/>
              <w:kinsoku/>
              <w:overflowPunct/>
              <w:topLinePunct w:val="0"/>
              <w:autoSpaceDE/>
              <w:autoSpaceDN/>
              <w:bidi w:val="0"/>
              <w:snapToGrid w:val="0"/>
              <w:spacing w:before="118"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w:t>
            </w:r>
            <w:r>
              <w:rPr>
                <w:rFonts w:hint="eastAsia" w:ascii="宋体" w:hAnsi="宋体" w:eastAsia="宋体" w:cs="宋体"/>
                <w:color w:val="auto"/>
                <w:spacing w:val="2"/>
                <w:sz w:val="21"/>
                <w:szCs w:val="21"/>
              </w:rPr>
              <w:t>、承包人应当按照工资支付周期编制书面工资支付台账，并至少保存3年</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书面</w:t>
            </w:r>
            <w:r>
              <w:rPr>
                <w:rFonts w:hint="eastAsia" w:ascii="宋体" w:hAnsi="宋体" w:eastAsia="宋体" w:cs="宋体"/>
                <w:color w:val="auto"/>
                <w:spacing w:val="12"/>
                <w:sz w:val="21"/>
                <w:szCs w:val="21"/>
              </w:rPr>
              <w:t>工</w:t>
            </w:r>
            <w:r>
              <w:rPr>
                <w:rFonts w:hint="eastAsia" w:ascii="宋体" w:hAnsi="宋体" w:eastAsia="宋体" w:cs="宋体"/>
                <w:color w:val="auto"/>
                <w:spacing w:val="8"/>
                <w:sz w:val="21"/>
                <w:szCs w:val="21"/>
              </w:rPr>
              <w:t>资</w:t>
            </w:r>
            <w:r>
              <w:rPr>
                <w:rFonts w:hint="eastAsia" w:ascii="宋体" w:hAnsi="宋体" w:eastAsia="宋体" w:cs="宋体"/>
                <w:color w:val="auto"/>
                <w:spacing w:val="6"/>
                <w:sz w:val="21"/>
                <w:szCs w:val="21"/>
              </w:rPr>
              <w:t>支付台账应当包括用人单位名称，支付周期，支付日期，支付对象姓名、身份</w:t>
            </w:r>
            <w:r>
              <w:rPr>
                <w:rFonts w:hint="eastAsia" w:ascii="宋体" w:hAnsi="宋体" w:eastAsia="宋体" w:cs="宋体"/>
                <w:color w:val="auto"/>
                <w:spacing w:val="12"/>
                <w:sz w:val="21"/>
                <w:szCs w:val="21"/>
              </w:rPr>
              <w:t>证</w:t>
            </w:r>
            <w:r>
              <w:rPr>
                <w:rFonts w:hint="eastAsia" w:ascii="宋体" w:hAnsi="宋体" w:eastAsia="宋体" w:cs="宋体"/>
                <w:color w:val="auto"/>
                <w:spacing w:val="8"/>
                <w:sz w:val="21"/>
                <w:szCs w:val="21"/>
              </w:rPr>
              <w:t>号</w:t>
            </w:r>
            <w:r>
              <w:rPr>
                <w:rFonts w:hint="eastAsia" w:ascii="宋体" w:hAnsi="宋体" w:eastAsia="宋体" w:cs="宋体"/>
                <w:color w:val="auto"/>
                <w:spacing w:val="6"/>
                <w:sz w:val="21"/>
                <w:szCs w:val="21"/>
              </w:rPr>
              <w:t>码、联系方式，工作时间，应发工资项目及数额，代扣、代缴、扣除项目和数</w:t>
            </w:r>
            <w:r>
              <w:rPr>
                <w:rFonts w:hint="eastAsia" w:ascii="宋体" w:hAnsi="宋体" w:eastAsia="宋体" w:cs="宋体"/>
                <w:color w:val="auto"/>
                <w:spacing w:val="12"/>
                <w:sz w:val="21"/>
                <w:szCs w:val="21"/>
              </w:rPr>
              <w:t>额</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rPr>
              <w:t>实发工资数额，银行代发工资凭证或者农民工签字等内容。用人单位向农民工</w:t>
            </w:r>
            <w:r>
              <w:rPr>
                <w:rFonts w:hint="eastAsia" w:ascii="宋体" w:hAnsi="宋体" w:eastAsia="宋体" w:cs="宋体"/>
                <w:color w:val="auto"/>
                <w:spacing w:val="10"/>
                <w:sz w:val="21"/>
                <w:szCs w:val="21"/>
              </w:rPr>
              <w:t>支付</w:t>
            </w:r>
            <w:r>
              <w:rPr>
                <w:rFonts w:hint="eastAsia" w:ascii="宋体" w:hAnsi="宋体" w:eastAsia="宋体" w:cs="宋体"/>
                <w:color w:val="auto"/>
                <w:spacing w:val="5"/>
                <w:sz w:val="21"/>
                <w:szCs w:val="21"/>
              </w:rPr>
              <w:t>工资时，应当提供农民工本人的工资清单。</w:t>
            </w:r>
          </w:p>
          <w:p w14:paraId="2973A984">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pacing w:val="5"/>
                <w:sz w:val="21"/>
                <w:szCs w:val="21"/>
              </w:rPr>
              <w:t>、承包人应分解工程价款中的人工费用，在本合同签订后15日内按照有关规</w:t>
            </w:r>
            <w:r>
              <w:rPr>
                <w:rFonts w:hint="eastAsia" w:ascii="宋体" w:hAnsi="宋体" w:eastAsia="宋体" w:cs="宋体"/>
                <w:color w:val="auto"/>
                <w:sz w:val="21"/>
                <w:szCs w:val="21"/>
              </w:rPr>
              <w:t>定</w:t>
            </w:r>
            <w:r>
              <w:rPr>
                <w:rFonts w:hint="eastAsia" w:ascii="宋体" w:hAnsi="宋体" w:eastAsia="宋体" w:cs="宋体"/>
                <w:color w:val="auto"/>
                <w:spacing w:val="12"/>
                <w:sz w:val="21"/>
                <w:szCs w:val="21"/>
              </w:rPr>
              <w:t>开</w:t>
            </w:r>
            <w:r>
              <w:rPr>
                <w:rFonts w:hint="eastAsia" w:ascii="宋体" w:hAnsi="宋体" w:eastAsia="宋体" w:cs="宋体"/>
                <w:color w:val="auto"/>
                <w:spacing w:val="7"/>
                <w:sz w:val="21"/>
                <w:szCs w:val="21"/>
              </w:rPr>
              <w:t>设</w:t>
            </w:r>
            <w:r>
              <w:rPr>
                <w:rFonts w:hint="eastAsia" w:ascii="宋体" w:hAnsi="宋体" w:eastAsia="宋体" w:cs="宋体"/>
                <w:color w:val="auto"/>
                <w:spacing w:val="6"/>
                <w:sz w:val="21"/>
                <w:szCs w:val="21"/>
              </w:rPr>
              <w:t>农民工工资专用账户，专项用于支付本工程项目的农民工工资。开设、使用农</w:t>
            </w:r>
            <w:r>
              <w:rPr>
                <w:rFonts w:hint="eastAsia" w:ascii="宋体" w:hAnsi="宋体" w:eastAsia="宋体" w:cs="宋体"/>
                <w:color w:val="auto"/>
                <w:spacing w:val="12"/>
                <w:sz w:val="21"/>
                <w:szCs w:val="21"/>
              </w:rPr>
              <w:t>民</w:t>
            </w:r>
            <w:r>
              <w:rPr>
                <w:rFonts w:hint="eastAsia" w:ascii="宋体" w:hAnsi="宋体" w:eastAsia="宋体" w:cs="宋体"/>
                <w:color w:val="auto"/>
                <w:spacing w:val="7"/>
                <w:sz w:val="21"/>
                <w:szCs w:val="21"/>
              </w:rPr>
              <w:t>工</w:t>
            </w:r>
            <w:r>
              <w:rPr>
                <w:rFonts w:hint="eastAsia" w:ascii="宋体" w:hAnsi="宋体" w:eastAsia="宋体" w:cs="宋体"/>
                <w:color w:val="auto"/>
                <w:spacing w:val="6"/>
                <w:sz w:val="21"/>
                <w:szCs w:val="21"/>
              </w:rPr>
              <w:t>工资专用账户有关资料应当由承包人妥善保存备查。工程完工且未拖欠农民工</w:t>
            </w:r>
            <w:r>
              <w:rPr>
                <w:rFonts w:hint="eastAsia" w:ascii="宋体" w:hAnsi="宋体" w:eastAsia="宋体" w:cs="宋体"/>
                <w:color w:val="auto"/>
                <w:spacing w:val="2"/>
                <w:sz w:val="21"/>
                <w:szCs w:val="21"/>
              </w:rPr>
              <w:t>工资的，承包人公示30日后，可以申请注销农民工工资专用账户，账户内余</w:t>
            </w:r>
            <w:r>
              <w:rPr>
                <w:rFonts w:hint="eastAsia" w:ascii="宋体" w:hAnsi="宋体" w:eastAsia="宋体" w:cs="宋体"/>
                <w:color w:val="auto"/>
                <w:spacing w:val="1"/>
                <w:sz w:val="21"/>
                <w:szCs w:val="21"/>
              </w:rPr>
              <w:t>额</w:t>
            </w:r>
            <w:r>
              <w:rPr>
                <w:rFonts w:hint="eastAsia" w:ascii="宋体" w:hAnsi="宋体" w:eastAsia="宋体" w:cs="宋体"/>
                <w:color w:val="auto"/>
                <w:sz w:val="21"/>
                <w:szCs w:val="21"/>
              </w:rPr>
              <w:t>归承</w:t>
            </w:r>
          </w:p>
          <w:p w14:paraId="32C34AA2">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包</w:t>
            </w:r>
            <w:r>
              <w:rPr>
                <w:rFonts w:hint="eastAsia" w:ascii="宋体" w:hAnsi="宋体" w:eastAsia="宋体" w:cs="宋体"/>
                <w:color w:val="auto"/>
                <w:spacing w:val="3"/>
                <w:sz w:val="21"/>
                <w:szCs w:val="21"/>
              </w:rPr>
              <w:t>人所有。</w:t>
            </w:r>
          </w:p>
          <w:p w14:paraId="03A11E25">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f</w:t>
            </w:r>
            <w:r>
              <w:rPr>
                <w:rFonts w:hint="eastAsia" w:ascii="宋体" w:hAnsi="宋体" w:eastAsia="宋体" w:cs="宋体"/>
                <w:color w:val="auto"/>
                <w:spacing w:val="7"/>
                <w:sz w:val="21"/>
                <w:szCs w:val="21"/>
              </w:rPr>
              <w:t>、</w:t>
            </w:r>
            <w:r>
              <w:rPr>
                <w:rFonts w:hint="eastAsia" w:ascii="宋体" w:hAnsi="宋体" w:eastAsia="宋体" w:cs="宋体"/>
                <w:color w:val="auto"/>
                <w:spacing w:val="4"/>
                <w:sz w:val="21"/>
                <w:szCs w:val="21"/>
              </w:rPr>
              <w:t>承包人(包括其分包人)应当依法与所招用的农民工订立劳动合同并进行用工</w:t>
            </w:r>
            <w:r>
              <w:rPr>
                <w:rFonts w:hint="eastAsia" w:ascii="宋体" w:hAnsi="宋体" w:eastAsia="宋体" w:cs="宋体"/>
                <w:color w:val="auto"/>
                <w:spacing w:val="9"/>
                <w:sz w:val="21"/>
                <w:szCs w:val="21"/>
              </w:rPr>
              <w:t>实</w:t>
            </w:r>
            <w:r>
              <w:rPr>
                <w:rFonts w:hint="eastAsia" w:ascii="宋体" w:hAnsi="宋体" w:eastAsia="宋体" w:cs="宋体"/>
                <w:color w:val="auto"/>
                <w:spacing w:val="6"/>
                <w:sz w:val="21"/>
                <w:szCs w:val="21"/>
              </w:rPr>
              <w:t>名登记，通过相应的管理服务信息平台(如辽宁省建筑工人实名制信息管理服务平台、辽宁省欠薪预警信息系统)进行用工实名登记、管理。未与承包人(包括</w:t>
            </w:r>
            <w:r>
              <w:rPr>
                <w:rFonts w:hint="eastAsia" w:ascii="宋体" w:hAnsi="宋体" w:eastAsia="宋体" w:cs="宋体"/>
                <w:color w:val="auto"/>
                <w:spacing w:val="3"/>
                <w:sz w:val="21"/>
                <w:szCs w:val="21"/>
              </w:rPr>
              <w:t>其</w:t>
            </w:r>
            <w:r>
              <w:rPr>
                <w:rFonts w:hint="eastAsia" w:ascii="宋体" w:hAnsi="宋体" w:eastAsia="宋体" w:cs="宋体"/>
                <w:color w:val="auto"/>
                <w:spacing w:val="9"/>
                <w:sz w:val="21"/>
                <w:szCs w:val="21"/>
              </w:rPr>
              <w:t>分</w:t>
            </w:r>
            <w:r>
              <w:rPr>
                <w:rFonts w:hint="eastAsia" w:ascii="宋体" w:hAnsi="宋体" w:eastAsia="宋体" w:cs="宋体"/>
                <w:color w:val="auto"/>
                <w:spacing w:val="6"/>
                <w:sz w:val="21"/>
                <w:szCs w:val="21"/>
              </w:rPr>
              <w:t>包人)订立劳动合同并进行用工实名登记的人员，不得进入项目现场施工。承包</w:t>
            </w:r>
            <w:r>
              <w:rPr>
                <w:rFonts w:hint="eastAsia" w:ascii="宋体" w:hAnsi="宋体" w:eastAsia="宋体" w:cs="宋体"/>
                <w:color w:val="auto"/>
                <w:spacing w:val="12"/>
                <w:sz w:val="21"/>
                <w:szCs w:val="21"/>
              </w:rPr>
              <w:t>人</w:t>
            </w:r>
            <w:r>
              <w:rPr>
                <w:rFonts w:hint="eastAsia" w:ascii="宋体" w:hAnsi="宋体" w:eastAsia="宋体" w:cs="宋体"/>
                <w:color w:val="auto"/>
                <w:spacing w:val="9"/>
                <w:sz w:val="21"/>
                <w:szCs w:val="21"/>
              </w:rPr>
              <w:t>对</w:t>
            </w:r>
            <w:r>
              <w:rPr>
                <w:rFonts w:hint="eastAsia" w:ascii="宋体" w:hAnsi="宋体" w:eastAsia="宋体" w:cs="宋体"/>
                <w:color w:val="auto"/>
                <w:spacing w:val="6"/>
                <w:sz w:val="21"/>
                <w:szCs w:val="21"/>
              </w:rPr>
              <w:t>工程进行分包的，应在工程项目部配备劳资专管员，对分包人劳动用工实施监</w:t>
            </w:r>
            <w:r>
              <w:rPr>
                <w:rFonts w:hint="eastAsia" w:ascii="宋体" w:hAnsi="宋体" w:eastAsia="宋体" w:cs="宋体"/>
                <w:color w:val="auto"/>
                <w:spacing w:val="12"/>
                <w:sz w:val="21"/>
                <w:szCs w:val="21"/>
              </w:rPr>
              <w:t>督</w:t>
            </w:r>
            <w:r>
              <w:rPr>
                <w:rFonts w:hint="eastAsia" w:ascii="宋体" w:hAnsi="宋体" w:eastAsia="宋体" w:cs="宋体"/>
                <w:color w:val="auto"/>
                <w:spacing w:val="9"/>
                <w:sz w:val="21"/>
                <w:szCs w:val="21"/>
              </w:rPr>
              <w:t>管</w:t>
            </w:r>
            <w:r>
              <w:rPr>
                <w:rFonts w:hint="eastAsia" w:ascii="宋体" w:hAnsi="宋体" w:eastAsia="宋体" w:cs="宋体"/>
                <w:color w:val="auto"/>
                <w:spacing w:val="6"/>
                <w:sz w:val="21"/>
                <w:szCs w:val="21"/>
              </w:rPr>
              <w:t>理，掌握施工现场用工、考勤、工资支付等情况，审核分包人编制的农民工工</w:t>
            </w:r>
            <w:r>
              <w:rPr>
                <w:rFonts w:hint="eastAsia" w:ascii="宋体" w:hAnsi="宋体" w:eastAsia="宋体" w:cs="宋体"/>
                <w:color w:val="auto"/>
                <w:spacing w:val="12"/>
                <w:sz w:val="21"/>
                <w:szCs w:val="21"/>
              </w:rPr>
              <w:t>资</w:t>
            </w:r>
            <w:r>
              <w:rPr>
                <w:rFonts w:hint="eastAsia" w:ascii="宋体" w:hAnsi="宋体" w:eastAsia="宋体" w:cs="宋体"/>
                <w:color w:val="auto"/>
                <w:spacing w:val="9"/>
                <w:sz w:val="21"/>
                <w:szCs w:val="21"/>
              </w:rPr>
              <w:t>支</w:t>
            </w:r>
            <w:r>
              <w:rPr>
                <w:rFonts w:hint="eastAsia" w:ascii="宋体" w:hAnsi="宋体" w:eastAsia="宋体" w:cs="宋体"/>
                <w:color w:val="auto"/>
                <w:spacing w:val="6"/>
                <w:sz w:val="21"/>
                <w:szCs w:val="21"/>
              </w:rPr>
              <w:t>付表。承包人应当建立用工管理台账，并保存至工程完工且工资全部结清后至</w:t>
            </w:r>
            <w:r>
              <w:rPr>
                <w:rFonts w:hint="eastAsia" w:ascii="宋体" w:hAnsi="宋体" w:eastAsia="宋体" w:cs="宋体"/>
                <w:color w:val="auto"/>
                <w:spacing w:val="-8"/>
                <w:sz w:val="21"/>
                <w:szCs w:val="21"/>
              </w:rPr>
              <w:t>少</w:t>
            </w:r>
            <w:r>
              <w:rPr>
                <w:rFonts w:hint="eastAsia" w:ascii="宋体" w:hAnsi="宋体" w:eastAsia="宋体" w:cs="宋体"/>
                <w:color w:val="auto"/>
                <w:spacing w:val="-6"/>
                <w:sz w:val="21"/>
                <w:szCs w:val="21"/>
              </w:rPr>
              <w:t>3年。</w:t>
            </w:r>
          </w:p>
          <w:p w14:paraId="389B0676">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position w:val="15"/>
                <w:sz w:val="21"/>
                <w:szCs w:val="21"/>
              </w:rPr>
              <w:t>g</w:t>
            </w:r>
            <w:r>
              <w:rPr>
                <w:rFonts w:hint="eastAsia" w:ascii="宋体" w:hAnsi="宋体" w:eastAsia="宋体" w:cs="宋体"/>
                <w:color w:val="auto"/>
                <w:spacing w:val="6"/>
                <w:position w:val="15"/>
                <w:sz w:val="21"/>
                <w:szCs w:val="21"/>
              </w:rPr>
              <w:t>、分包人(如有</w:t>
            </w:r>
            <w:r>
              <w:rPr>
                <w:rFonts w:hint="eastAsia" w:ascii="宋体" w:hAnsi="宋体" w:eastAsia="宋体" w:cs="宋体"/>
                <w:color w:val="auto"/>
                <w:spacing w:val="3"/>
                <w:position w:val="15"/>
                <w:sz w:val="21"/>
                <w:szCs w:val="21"/>
              </w:rPr>
              <w:t>)拖欠农民工工资的，由承包人先行清偿，再依法进行追偿。</w:t>
            </w:r>
          </w:p>
          <w:p w14:paraId="4ACC3999">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cs="宋体"/>
                <w:color w:val="auto"/>
                <w:spacing w:val="10"/>
                <w:sz w:val="21"/>
                <w:szCs w:val="21"/>
                <w:lang w:val="en-US" w:eastAsia="zh-CN"/>
              </w:rPr>
              <w:t>因</w:t>
            </w:r>
            <w:r>
              <w:rPr>
                <w:rFonts w:hint="eastAsia" w:ascii="宋体" w:hAnsi="宋体" w:eastAsia="宋体" w:cs="宋体"/>
                <w:color w:val="auto"/>
                <w:spacing w:val="10"/>
                <w:sz w:val="21"/>
                <w:szCs w:val="21"/>
              </w:rPr>
              <w:t>承包人转</w:t>
            </w:r>
            <w:r>
              <w:rPr>
                <w:rFonts w:hint="eastAsia" w:ascii="宋体" w:hAnsi="宋体" w:eastAsia="宋体" w:cs="宋体"/>
                <w:color w:val="auto"/>
                <w:spacing w:val="7"/>
                <w:sz w:val="21"/>
                <w:szCs w:val="21"/>
              </w:rPr>
              <w:t>包</w:t>
            </w:r>
            <w:r>
              <w:rPr>
                <w:rFonts w:hint="eastAsia" w:ascii="宋体" w:hAnsi="宋体" w:eastAsia="宋体" w:cs="宋体"/>
                <w:color w:val="auto"/>
                <w:spacing w:val="5"/>
                <w:sz w:val="21"/>
                <w:szCs w:val="21"/>
              </w:rPr>
              <w:t>导致拖欠农民工工资的，由承包人先行清偿，再依法进行追偿。</w:t>
            </w:r>
          </w:p>
          <w:p w14:paraId="2C8BD028">
            <w:pPr>
              <w:keepLines w:val="0"/>
              <w:pageBreakBefore w:val="0"/>
              <w:widowControl w:val="0"/>
              <w:kinsoku/>
              <w:overflowPunct/>
              <w:topLinePunct w:val="0"/>
              <w:autoSpaceDE/>
              <w:autoSpaceDN/>
              <w:bidi w:val="0"/>
              <w:snapToGrid w:val="0"/>
              <w:spacing w:before="118"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w:t>
            </w:r>
            <w:r>
              <w:rPr>
                <w:rFonts w:hint="eastAsia" w:ascii="宋体" w:hAnsi="宋体" w:eastAsia="宋体" w:cs="宋体"/>
                <w:color w:val="auto"/>
                <w:spacing w:val="6"/>
                <w:sz w:val="21"/>
                <w:szCs w:val="21"/>
              </w:rPr>
              <w:t>、承包人应当</w:t>
            </w:r>
            <w:r>
              <w:rPr>
                <w:rFonts w:hint="eastAsia" w:ascii="宋体" w:hAnsi="宋体" w:eastAsia="宋体" w:cs="宋体"/>
                <w:color w:val="auto"/>
                <w:spacing w:val="5"/>
                <w:sz w:val="21"/>
                <w:szCs w:val="21"/>
              </w:rPr>
              <w:t>按</w:t>
            </w:r>
            <w:r>
              <w:rPr>
                <w:rFonts w:hint="eastAsia" w:ascii="宋体" w:hAnsi="宋体" w:eastAsia="宋体" w:cs="宋体"/>
                <w:color w:val="auto"/>
                <w:spacing w:val="3"/>
                <w:sz w:val="21"/>
                <w:szCs w:val="21"/>
              </w:rPr>
              <w:t>照项目所在省、市的人力资源社会保障行政部门、交通运输主管</w:t>
            </w:r>
            <w:r>
              <w:rPr>
                <w:rFonts w:hint="eastAsia" w:ascii="宋体" w:hAnsi="宋体" w:eastAsia="宋体" w:cs="宋体"/>
                <w:color w:val="auto"/>
                <w:spacing w:val="8"/>
                <w:sz w:val="21"/>
                <w:szCs w:val="21"/>
              </w:rPr>
              <w:t>部</w:t>
            </w:r>
            <w:r>
              <w:rPr>
                <w:rFonts w:hint="eastAsia" w:ascii="宋体" w:hAnsi="宋体" w:eastAsia="宋体" w:cs="宋体"/>
                <w:color w:val="auto"/>
                <w:spacing w:val="5"/>
                <w:sz w:val="21"/>
                <w:szCs w:val="21"/>
              </w:rPr>
              <w:t>门等的有关规定存储工资保证金。</w:t>
            </w:r>
          </w:p>
          <w:p w14:paraId="7431BDC1">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i</w:t>
            </w:r>
            <w:r>
              <w:rPr>
                <w:rFonts w:hint="eastAsia" w:ascii="宋体" w:hAnsi="宋体" w:eastAsia="宋体" w:cs="宋体"/>
                <w:color w:val="auto"/>
                <w:spacing w:val="6"/>
                <w:sz w:val="21"/>
                <w:szCs w:val="21"/>
              </w:rPr>
              <w:t>、</w:t>
            </w:r>
            <w:r>
              <w:rPr>
                <w:rFonts w:hint="eastAsia" w:ascii="宋体" w:hAnsi="宋体" w:eastAsia="宋体" w:cs="宋体"/>
                <w:color w:val="auto"/>
                <w:spacing w:val="3"/>
                <w:sz w:val="21"/>
                <w:szCs w:val="21"/>
              </w:rPr>
              <w:t>承包人应当在施工现场醒目位置设立维权信息告示牌，明示下列事项：①发包</w:t>
            </w:r>
            <w:r>
              <w:rPr>
                <w:rFonts w:hint="eastAsia" w:ascii="宋体" w:hAnsi="宋体" w:eastAsia="宋体" w:cs="宋体"/>
                <w:color w:val="auto"/>
                <w:spacing w:val="12"/>
                <w:sz w:val="21"/>
                <w:szCs w:val="21"/>
              </w:rPr>
              <w:t>人</w:t>
            </w:r>
            <w:r>
              <w:rPr>
                <w:rFonts w:hint="eastAsia" w:ascii="宋体" w:hAnsi="宋体" w:eastAsia="宋体" w:cs="宋体"/>
                <w:color w:val="auto"/>
                <w:spacing w:val="6"/>
                <w:sz w:val="21"/>
                <w:szCs w:val="21"/>
              </w:rPr>
              <w:t>、承包人及所在项目部、分包单位、相关行业工程建设主管部门、劳资专管员等</w:t>
            </w:r>
          </w:p>
          <w:p w14:paraId="35E63D56">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2"/>
                <w:sz w:val="21"/>
                <w:szCs w:val="21"/>
              </w:rPr>
              <w:t>基</w:t>
            </w:r>
            <w:r>
              <w:rPr>
                <w:rFonts w:hint="eastAsia" w:ascii="宋体" w:hAnsi="宋体" w:eastAsia="宋体" w:cs="宋体"/>
                <w:color w:val="auto"/>
                <w:spacing w:val="8"/>
                <w:sz w:val="21"/>
                <w:szCs w:val="21"/>
              </w:rPr>
              <w:t>本</w:t>
            </w:r>
            <w:r>
              <w:rPr>
                <w:rFonts w:hint="eastAsia" w:ascii="宋体" w:hAnsi="宋体" w:eastAsia="宋体" w:cs="宋体"/>
                <w:color w:val="auto"/>
                <w:spacing w:val="6"/>
                <w:sz w:val="21"/>
                <w:szCs w:val="21"/>
              </w:rPr>
              <w:t>信息；②当地最低工资标准、工资支付日期等基本信息；③交通运输主管部门</w:t>
            </w:r>
            <w:r>
              <w:rPr>
                <w:rFonts w:hint="eastAsia" w:ascii="宋体" w:hAnsi="宋体" w:eastAsia="宋体" w:cs="宋体"/>
                <w:color w:val="auto"/>
                <w:spacing w:val="10"/>
                <w:sz w:val="21"/>
                <w:szCs w:val="21"/>
              </w:rPr>
              <w:t>和</w:t>
            </w:r>
            <w:r>
              <w:rPr>
                <w:rFonts w:hint="eastAsia" w:ascii="宋体" w:hAnsi="宋体" w:eastAsia="宋体" w:cs="宋体"/>
                <w:color w:val="auto"/>
                <w:spacing w:val="8"/>
                <w:sz w:val="21"/>
                <w:szCs w:val="21"/>
              </w:rPr>
              <w:t>劳</w:t>
            </w:r>
            <w:r>
              <w:rPr>
                <w:rFonts w:hint="eastAsia" w:ascii="宋体" w:hAnsi="宋体" w:eastAsia="宋体" w:cs="宋体"/>
                <w:color w:val="auto"/>
                <w:spacing w:val="5"/>
                <w:sz w:val="21"/>
                <w:szCs w:val="21"/>
              </w:rPr>
              <w:t>动保障监察投诉举报电话、劳动争议调解仲裁申请渠道、法律援助申请渠道、</w:t>
            </w:r>
            <w:r>
              <w:rPr>
                <w:rFonts w:hint="eastAsia" w:ascii="宋体" w:hAnsi="宋体" w:eastAsia="宋体" w:cs="宋体"/>
                <w:color w:val="auto"/>
                <w:spacing w:val="8"/>
                <w:sz w:val="21"/>
                <w:szCs w:val="21"/>
              </w:rPr>
              <w:t>公</w:t>
            </w:r>
            <w:r>
              <w:rPr>
                <w:rFonts w:hint="eastAsia" w:ascii="宋体" w:hAnsi="宋体" w:eastAsia="宋体" w:cs="宋体"/>
                <w:color w:val="auto"/>
                <w:spacing w:val="5"/>
                <w:sz w:val="21"/>
                <w:szCs w:val="21"/>
              </w:rPr>
              <w:t>共</w:t>
            </w:r>
            <w:r>
              <w:rPr>
                <w:rFonts w:hint="eastAsia" w:ascii="宋体" w:hAnsi="宋体" w:eastAsia="宋体" w:cs="宋体"/>
                <w:color w:val="auto"/>
                <w:spacing w:val="4"/>
                <w:sz w:val="21"/>
                <w:szCs w:val="21"/>
              </w:rPr>
              <w:t>法律服务热线等信息。</w:t>
            </w:r>
          </w:p>
          <w:p w14:paraId="5642B3D9">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2"/>
                <w:sz w:val="21"/>
                <w:szCs w:val="21"/>
              </w:rPr>
              <w:t>承</w:t>
            </w:r>
            <w:r>
              <w:rPr>
                <w:rFonts w:hint="eastAsia" w:ascii="宋体" w:hAnsi="宋体" w:eastAsia="宋体" w:cs="宋体"/>
                <w:color w:val="auto"/>
                <w:spacing w:val="10"/>
                <w:sz w:val="21"/>
                <w:szCs w:val="21"/>
              </w:rPr>
              <w:t>包</w:t>
            </w:r>
            <w:r>
              <w:rPr>
                <w:rFonts w:hint="eastAsia" w:ascii="宋体" w:hAnsi="宋体" w:eastAsia="宋体" w:cs="宋体"/>
                <w:color w:val="auto"/>
                <w:spacing w:val="6"/>
                <w:sz w:val="21"/>
                <w:szCs w:val="21"/>
              </w:rPr>
              <w:t>人在履行合同过程中出现拖欠或克扣农民工工资或与本工程有关的债务而导</w:t>
            </w:r>
            <w:r>
              <w:rPr>
                <w:rFonts w:hint="eastAsia" w:ascii="宋体" w:hAnsi="宋体" w:eastAsia="宋体" w:cs="宋体"/>
                <w:color w:val="auto"/>
                <w:spacing w:val="12"/>
                <w:sz w:val="21"/>
                <w:szCs w:val="21"/>
              </w:rPr>
              <w:t>致</w:t>
            </w:r>
            <w:r>
              <w:rPr>
                <w:rFonts w:hint="eastAsia" w:ascii="宋体" w:hAnsi="宋体" w:eastAsia="宋体" w:cs="宋体"/>
                <w:color w:val="auto"/>
                <w:spacing w:val="8"/>
                <w:sz w:val="21"/>
                <w:szCs w:val="21"/>
              </w:rPr>
              <w:t>阻</w:t>
            </w:r>
            <w:r>
              <w:rPr>
                <w:rFonts w:hint="eastAsia" w:ascii="宋体" w:hAnsi="宋体" w:eastAsia="宋体" w:cs="宋体"/>
                <w:color w:val="auto"/>
                <w:spacing w:val="6"/>
                <w:sz w:val="21"/>
                <w:szCs w:val="21"/>
              </w:rPr>
              <w:t>工、上访，经发包人、监理人及政府相关部门确认后，项目管理法人将停止对</w:t>
            </w:r>
            <w:r>
              <w:rPr>
                <w:rFonts w:hint="eastAsia" w:ascii="宋体" w:hAnsi="宋体" w:eastAsia="宋体" w:cs="宋体"/>
                <w:color w:val="auto"/>
                <w:spacing w:val="9"/>
                <w:sz w:val="21"/>
                <w:szCs w:val="21"/>
              </w:rPr>
              <w:t>承</w:t>
            </w:r>
            <w:r>
              <w:rPr>
                <w:rFonts w:hint="eastAsia" w:ascii="宋体" w:hAnsi="宋体" w:eastAsia="宋体" w:cs="宋体"/>
                <w:color w:val="auto"/>
                <w:spacing w:val="5"/>
                <w:sz w:val="21"/>
                <w:szCs w:val="21"/>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19D6080">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11"/>
                <w:sz w:val="21"/>
                <w:szCs w:val="21"/>
              </w:rPr>
              <w:t>1</w:t>
            </w:r>
            <w:r>
              <w:rPr>
                <w:rFonts w:hint="eastAsia" w:ascii="宋体" w:hAnsi="宋体" w:eastAsia="宋体" w:cs="宋体"/>
                <w:color w:val="auto"/>
                <w:spacing w:val="-9"/>
                <w:sz w:val="21"/>
                <w:szCs w:val="21"/>
              </w:rPr>
              <w:t>1</w:t>
            </w:r>
          </w:p>
        </w:tc>
        <w:tc>
          <w:tcPr>
            <w:tcW w:w="1384" w:type="dxa"/>
            <w:vAlign w:val="center"/>
          </w:tcPr>
          <w:p w14:paraId="1F6436BE">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4.2</w:t>
            </w:r>
          </w:p>
        </w:tc>
        <w:tc>
          <w:tcPr>
            <w:tcW w:w="7054" w:type="dxa"/>
            <w:tcBorders>
              <w:right w:val="single" w:color="000000" w:sz="6" w:space="0"/>
            </w:tcBorders>
            <w:vAlign w:val="center"/>
          </w:tcPr>
          <w:p w14:paraId="02B84BD0">
            <w:pPr>
              <w:keepLines w:val="0"/>
              <w:pageBreakBefore w:val="0"/>
              <w:widowControl w:val="0"/>
              <w:kinsoku/>
              <w:overflowPunct/>
              <w:topLinePunct w:val="0"/>
              <w:autoSpaceDE/>
              <w:autoSpaceDN/>
              <w:bidi w:val="0"/>
              <w:snapToGrid w:val="0"/>
              <w:spacing w:before="101" w:line="240" w:lineRule="auto"/>
              <w:ind w:left="105" w:leftChars="50" w:right="283" w:rightChars="0" w:firstLine="0" w:firstLineChars="0"/>
              <w:jc w:val="left"/>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pacing w:val="6"/>
                <w:sz w:val="21"/>
                <w:szCs w:val="21"/>
                <w:highlight w:val="none"/>
              </w:rPr>
              <w:t>履约保证金</w:t>
            </w:r>
            <w:r>
              <w:rPr>
                <w:rFonts w:hint="eastAsia" w:ascii="宋体" w:hAnsi="宋体" w:eastAsia="宋体" w:cs="宋体"/>
                <w:color w:val="auto"/>
                <w:spacing w:val="4"/>
                <w:sz w:val="21"/>
                <w:szCs w:val="21"/>
                <w:highlight w:val="none"/>
              </w:rPr>
              <w:t>额</w:t>
            </w:r>
            <w:r>
              <w:rPr>
                <w:rFonts w:hint="eastAsia" w:ascii="宋体" w:hAnsi="宋体" w:eastAsia="宋体" w:cs="宋体"/>
                <w:color w:val="auto"/>
                <w:spacing w:val="3"/>
                <w:sz w:val="21"/>
                <w:szCs w:val="21"/>
                <w:highlight w:val="none"/>
              </w:rPr>
              <w:t>度为</w:t>
            </w:r>
            <w:r>
              <w:rPr>
                <w:rFonts w:hint="eastAsia" w:ascii="宋体" w:hAnsi="宋体" w:eastAsia="宋体" w:cs="宋体"/>
                <w:color w:val="auto"/>
                <w:spacing w:val="3"/>
                <w:sz w:val="21"/>
                <w:szCs w:val="21"/>
                <w:highlight w:val="none"/>
                <w:u w:val="single" w:color="auto"/>
              </w:rPr>
              <w:t>签约合同价的5%</w:t>
            </w:r>
            <w:r>
              <w:rPr>
                <w:rFonts w:hint="eastAsia" w:ascii="宋体" w:hAnsi="宋体" w:eastAsia="宋体" w:cs="宋体"/>
                <w:color w:val="auto"/>
                <w:spacing w:val="3"/>
                <w:sz w:val="21"/>
                <w:szCs w:val="21"/>
                <w:highlight w:val="none"/>
              </w:rPr>
              <w:t>。</w:t>
            </w:r>
            <w:r>
              <w:rPr>
                <w:rFonts w:hint="eastAsia" w:ascii="宋体" w:hAnsi="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本项目不收取履约保证金</w:t>
            </w:r>
            <w:r>
              <w:rPr>
                <w:rFonts w:hint="eastAsia" w:ascii="宋体" w:hAnsi="宋体" w:cs="宋体"/>
                <w:b/>
                <w:bCs/>
                <w:color w:val="auto"/>
                <w:spacing w:val="3"/>
                <w:sz w:val="21"/>
                <w:szCs w:val="21"/>
                <w:highlight w:val="none"/>
                <w:lang w:eastAsia="zh-CN"/>
              </w:rPr>
              <w:t>）</w:t>
            </w:r>
          </w:p>
          <w:p w14:paraId="10AD4EF1">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承</w:t>
            </w:r>
            <w:r>
              <w:rPr>
                <w:rFonts w:hint="eastAsia" w:ascii="宋体" w:hAnsi="宋体" w:eastAsia="宋体" w:cs="宋体"/>
                <w:color w:val="auto"/>
                <w:spacing w:val="10"/>
                <w:sz w:val="21"/>
                <w:szCs w:val="21"/>
                <w:highlight w:val="none"/>
              </w:rPr>
              <w:t>包</w:t>
            </w:r>
            <w:r>
              <w:rPr>
                <w:rFonts w:hint="eastAsia" w:ascii="宋体" w:hAnsi="宋体" w:eastAsia="宋体" w:cs="宋体"/>
                <w:color w:val="auto"/>
                <w:spacing w:val="6"/>
                <w:sz w:val="21"/>
                <w:szCs w:val="21"/>
                <w:highlight w:val="none"/>
              </w:rPr>
              <w:t>人应保证其履约保证金在发包人签发工程交工验收证书且承包人按照合同约</w:t>
            </w:r>
            <w:r>
              <w:rPr>
                <w:rFonts w:hint="eastAsia" w:ascii="宋体" w:hAnsi="宋体" w:eastAsia="宋体" w:cs="宋体"/>
                <w:color w:val="auto"/>
                <w:spacing w:val="2"/>
                <w:sz w:val="21"/>
                <w:szCs w:val="21"/>
                <w:highlight w:val="none"/>
              </w:rPr>
              <w:t>定缴纳质量保证金前一直有效。发包人应在收到承包人缴纳的质量保证金后28天</w:t>
            </w:r>
            <w:r>
              <w:rPr>
                <w:rFonts w:hint="eastAsia" w:ascii="宋体" w:hAnsi="宋体" w:eastAsia="宋体" w:cs="宋体"/>
                <w:color w:val="auto"/>
                <w:sz w:val="21"/>
                <w:szCs w:val="21"/>
                <w:highlight w:val="none"/>
              </w:rPr>
              <w:t>内</w:t>
            </w:r>
            <w:r>
              <w:rPr>
                <w:rFonts w:hint="eastAsia" w:ascii="宋体" w:hAnsi="宋体" w:eastAsia="宋体" w:cs="宋体"/>
                <w:color w:val="auto"/>
                <w:spacing w:val="8"/>
                <w:sz w:val="21"/>
                <w:szCs w:val="21"/>
                <w:highlight w:val="none"/>
              </w:rPr>
              <w:t>将</w:t>
            </w:r>
            <w:r>
              <w:rPr>
                <w:rFonts w:hint="eastAsia" w:ascii="宋体" w:hAnsi="宋体" w:eastAsia="宋体" w:cs="宋体"/>
                <w:color w:val="auto"/>
                <w:spacing w:val="5"/>
                <w:sz w:val="21"/>
                <w:szCs w:val="21"/>
                <w:highlight w:val="none"/>
              </w:rPr>
              <w:t>履约保证金退还给承包人。</w:t>
            </w:r>
          </w:p>
          <w:p w14:paraId="14745049">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承</w:t>
            </w:r>
            <w:r>
              <w:rPr>
                <w:rFonts w:hint="eastAsia" w:ascii="宋体" w:hAnsi="宋体" w:eastAsia="宋体" w:cs="宋体"/>
                <w:color w:val="auto"/>
                <w:spacing w:val="10"/>
                <w:sz w:val="21"/>
                <w:szCs w:val="21"/>
                <w:highlight w:val="none"/>
              </w:rPr>
              <w:t>包</w:t>
            </w:r>
            <w:r>
              <w:rPr>
                <w:rFonts w:hint="eastAsia" w:ascii="宋体" w:hAnsi="宋体" w:eastAsia="宋体" w:cs="宋体"/>
                <w:color w:val="auto"/>
                <w:spacing w:val="6"/>
                <w:sz w:val="21"/>
                <w:szCs w:val="21"/>
                <w:highlight w:val="none"/>
              </w:rPr>
              <w:t>人拒绝按照本合同约定缴纳质量保证金的，发包人有权从应付工程款中扣留</w:t>
            </w:r>
            <w:r>
              <w:rPr>
                <w:rFonts w:hint="eastAsia" w:ascii="宋体" w:hAnsi="宋体" w:eastAsia="宋体" w:cs="宋体"/>
                <w:color w:val="auto"/>
                <w:spacing w:val="12"/>
                <w:sz w:val="21"/>
                <w:szCs w:val="21"/>
                <w:highlight w:val="none"/>
              </w:rPr>
              <w:t>相</w:t>
            </w:r>
            <w:r>
              <w:rPr>
                <w:rFonts w:hint="eastAsia" w:ascii="宋体" w:hAnsi="宋体" w:eastAsia="宋体" w:cs="宋体"/>
                <w:color w:val="auto"/>
                <w:spacing w:val="8"/>
                <w:sz w:val="21"/>
                <w:szCs w:val="21"/>
                <w:highlight w:val="none"/>
              </w:rPr>
              <w:t>应</w:t>
            </w:r>
            <w:r>
              <w:rPr>
                <w:rFonts w:hint="eastAsia" w:ascii="宋体" w:hAnsi="宋体" w:eastAsia="宋体" w:cs="宋体"/>
                <w:color w:val="auto"/>
                <w:spacing w:val="6"/>
                <w:sz w:val="21"/>
                <w:szCs w:val="21"/>
                <w:highlight w:val="none"/>
              </w:rPr>
              <w:t>金额作为质量保证金，或者直接将履约保证金金额用于保证承包人在缺陷责任</w:t>
            </w:r>
          </w:p>
          <w:p w14:paraId="5AF38A2F">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8"/>
                <w:sz w:val="21"/>
                <w:szCs w:val="21"/>
                <w:highlight w:val="none"/>
              </w:rPr>
              <w:t>期</w:t>
            </w:r>
            <w:r>
              <w:rPr>
                <w:rFonts w:hint="eastAsia" w:ascii="宋体" w:hAnsi="宋体" w:eastAsia="宋体" w:cs="宋体"/>
                <w:color w:val="auto"/>
                <w:spacing w:val="7"/>
                <w:sz w:val="21"/>
                <w:szCs w:val="21"/>
                <w:highlight w:val="none"/>
              </w:rPr>
              <w:t>内</w:t>
            </w:r>
            <w:r>
              <w:rPr>
                <w:rFonts w:hint="eastAsia" w:ascii="宋体" w:hAnsi="宋体" w:eastAsia="宋体" w:cs="宋体"/>
                <w:color w:val="auto"/>
                <w:spacing w:val="4"/>
                <w:sz w:val="21"/>
                <w:szCs w:val="21"/>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42079B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2</w:t>
            </w:r>
          </w:p>
        </w:tc>
        <w:tc>
          <w:tcPr>
            <w:tcW w:w="1384" w:type="dxa"/>
            <w:vAlign w:val="center"/>
          </w:tcPr>
          <w:p w14:paraId="2AB78202">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4.3.4</w:t>
            </w:r>
          </w:p>
        </w:tc>
        <w:tc>
          <w:tcPr>
            <w:tcW w:w="7054" w:type="dxa"/>
            <w:tcBorders>
              <w:right w:val="single" w:color="000000" w:sz="6" w:space="0"/>
            </w:tcBorders>
            <w:vAlign w:val="center"/>
          </w:tcPr>
          <w:p w14:paraId="099E8EDA">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4.3.4劳务分</w:t>
            </w:r>
            <w:r>
              <w:rPr>
                <w:rFonts w:hint="eastAsia" w:ascii="宋体" w:hAnsi="宋体" w:eastAsia="宋体" w:cs="宋体"/>
                <w:color w:val="auto"/>
                <w:spacing w:val="1"/>
                <w:sz w:val="21"/>
                <w:szCs w:val="21"/>
              </w:rPr>
              <w:t>包</w:t>
            </w:r>
          </w:p>
          <w:p w14:paraId="712DBF63">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本项补充：</w:t>
            </w:r>
          </w:p>
          <w:p w14:paraId="440C31DE">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劳务分包合同应当包括以下内容：劳务合同期限、工作内容和工作时间、劳动保护和劳动条件、劳务报酬(在劳动合同中要明确工资以货币形式按月支付，并约定支付的时间、标准和支付方式)、劳动纪律(在劳动合同中明确要求农民工遵守的用人单位依法制定的有关规章制度，用人单位应当在签订劳动合同前告知农民工)、违反劳务合同的责任(劳务合同中应当约定违约责任，一方违反劳务合同给对方造成经济损失的，要按《劳动法》等有关法律规定承担赔偿责任)。</w:t>
            </w:r>
          </w:p>
          <w:p w14:paraId="16EA4D20">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6"/>
                <w:sz w:val="21"/>
                <w:szCs w:val="21"/>
                <w:highlight w:val="none"/>
              </w:rPr>
              <w:t>(6)发包人批准的劳务分包并不免除本合同规定的承包人的任何责任或义</w:t>
            </w:r>
            <w:r>
              <w:rPr>
                <w:rFonts w:hint="eastAsia" w:ascii="宋体" w:hAnsi="宋体" w:eastAsia="宋体" w:cs="宋体"/>
                <w:color w:val="auto"/>
                <w:spacing w:val="6"/>
                <w:sz w:val="21"/>
                <w:szCs w:val="21"/>
                <w:highlight w:val="none"/>
                <w:lang w:val="en-US" w:eastAsia="zh-CN"/>
              </w:rPr>
              <w:t>务，发</w:t>
            </w:r>
            <w:r>
              <w:rPr>
                <w:rFonts w:hint="eastAsia" w:ascii="宋体" w:hAnsi="宋体" w:eastAsia="宋体" w:cs="宋体"/>
                <w:color w:val="auto"/>
                <w:spacing w:val="6"/>
                <w:sz w:val="21"/>
                <w:szCs w:val="21"/>
                <w:highlight w:val="none"/>
              </w:rPr>
              <w:t>包人对承包人与劳务分包人之间的法律与经济纠纷不承担任何责任和义务。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D296BC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3</w:t>
            </w:r>
          </w:p>
        </w:tc>
        <w:tc>
          <w:tcPr>
            <w:tcW w:w="1384" w:type="dxa"/>
            <w:vAlign w:val="center"/>
          </w:tcPr>
          <w:p w14:paraId="31A8741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4</w:t>
            </w:r>
            <w:r>
              <w:rPr>
                <w:rFonts w:hint="eastAsia" w:ascii="宋体" w:hAnsi="宋体" w:eastAsia="宋体" w:cs="宋体"/>
                <w:color w:val="auto"/>
                <w:spacing w:val="3"/>
                <w:sz w:val="21"/>
                <w:szCs w:val="21"/>
                <w:highlight w:val="none"/>
              </w:rPr>
              <w:t>.3</w:t>
            </w:r>
          </w:p>
        </w:tc>
        <w:tc>
          <w:tcPr>
            <w:tcW w:w="7054" w:type="dxa"/>
            <w:tcBorders>
              <w:right w:val="single" w:color="000000" w:sz="6" w:space="0"/>
            </w:tcBorders>
            <w:vAlign w:val="center"/>
          </w:tcPr>
          <w:p w14:paraId="0A8A4781">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本</w:t>
            </w:r>
            <w:r>
              <w:rPr>
                <w:rFonts w:hint="eastAsia" w:ascii="宋体" w:hAnsi="宋体" w:eastAsia="宋体" w:cs="宋体"/>
                <w:color w:val="auto"/>
                <w:spacing w:val="3"/>
                <w:sz w:val="21"/>
                <w:szCs w:val="21"/>
              </w:rPr>
              <w:t>款补充：</w:t>
            </w:r>
          </w:p>
          <w:p w14:paraId="20CCCB93">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4</w:t>
            </w:r>
            <w:r>
              <w:rPr>
                <w:rFonts w:hint="eastAsia" w:ascii="宋体" w:hAnsi="宋体" w:eastAsia="宋体" w:cs="宋体"/>
                <w:color w:val="auto"/>
                <w:spacing w:val="3"/>
                <w:sz w:val="21"/>
                <w:szCs w:val="21"/>
              </w:rPr>
              <w:t>.3.8本项目的分包合同及劳动合同应按照发包人的要求，按照住房和城乡建设部</w:t>
            </w:r>
            <w:r>
              <w:rPr>
                <w:rFonts w:hint="eastAsia" w:ascii="宋体" w:hAnsi="宋体" w:eastAsia="宋体" w:cs="宋体"/>
                <w:color w:val="auto"/>
                <w:spacing w:val="12"/>
                <w:sz w:val="21"/>
                <w:szCs w:val="21"/>
              </w:rPr>
              <w:t>和</w:t>
            </w:r>
            <w:r>
              <w:rPr>
                <w:rFonts w:hint="eastAsia" w:ascii="宋体" w:hAnsi="宋体" w:eastAsia="宋体" w:cs="宋体"/>
                <w:color w:val="auto"/>
                <w:spacing w:val="7"/>
                <w:sz w:val="21"/>
                <w:szCs w:val="21"/>
              </w:rPr>
              <w:t>劳</w:t>
            </w:r>
            <w:r>
              <w:rPr>
                <w:rFonts w:hint="eastAsia" w:ascii="宋体" w:hAnsi="宋体" w:eastAsia="宋体" w:cs="宋体"/>
                <w:color w:val="auto"/>
                <w:spacing w:val="6"/>
                <w:sz w:val="21"/>
                <w:szCs w:val="21"/>
              </w:rPr>
              <w:t>动社会保障部的示范合同文本，或交通运输主管部门颁发的示范合同文本编制</w:t>
            </w:r>
            <w:r>
              <w:rPr>
                <w:rFonts w:hint="eastAsia" w:ascii="宋体" w:hAnsi="宋体" w:eastAsia="宋体" w:cs="宋体"/>
                <w:color w:val="auto"/>
                <w:spacing w:val="3"/>
                <w:sz w:val="21"/>
                <w:szCs w:val="21"/>
              </w:rPr>
              <w:t>并签订。</w:t>
            </w:r>
          </w:p>
          <w:p w14:paraId="2577715B">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4"/>
                <w:position w:val="14"/>
                <w:sz w:val="21"/>
                <w:szCs w:val="21"/>
              </w:rPr>
              <w:t>4.3.9承包人的分包应符合本项目招标文件第二章“投标人须知”第1.11款的</w:t>
            </w:r>
            <w:r>
              <w:rPr>
                <w:rFonts w:hint="eastAsia" w:ascii="宋体" w:hAnsi="宋体" w:eastAsia="宋体" w:cs="宋体"/>
                <w:color w:val="auto"/>
                <w:spacing w:val="1"/>
                <w:position w:val="14"/>
                <w:sz w:val="21"/>
                <w:szCs w:val="21"/>
              </w:rPr>
              <w:t>规</w:t>
            </w:r>
            <w:r>
              <w:rPr>
                <w:rFonts w:hint="eastAsia" w:ascii="宋体" w:hAnsi="宋体" w:cs="宋体"/>
                <w:color w:val="auto"/>
                <w:spacing w:val="1"/>
                <w:position w:val="14"/>
                <w:sz w:val="21"/>
                <w:szCs w:val="21"/>
                <w:lang w:val="en-US" w:eastAsia="zh-CN"/>
              </w:rPr>
              <w:t>定。</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64B6866">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4</w:t>
            </w:r>
          </w:p>
        </w:tc>
        <w:tc>
          <w:tcPr>
            <w:tcW w:w="1384" w:type="dxa"/>
            <w:vAlign w:val="center"/>
          </w:tcPr>
          <w:p w14:paraId="1D4CF663">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w:t>
            </w:r>
            <w:r>
              <w:rPr>
                <w:rFonts w:hint="eastAsia" w:ascii="宋体" w:hAnsi="宋体" w:eastAsia="宋体" w:cs="宋体"/>
                <w:color w:val="auto"/>
                <w:spacing w:val="4"/>
                <w:sz w:val="21"/>
                <w:szCs w:val="21"/>
                <w:highlight w:val="none"/>
              </w:rPr>
              <w:t>.9</w:t>
            </w:r>
          </w:p>
        </w:tc>
        <w:tc>
          <w:tcPr>
            <w:tcW w:w="7054" w:type="dxa"/>
            <w:tcBorders>
              <w:right w:val="single" w:color="000000" w:sz="6" w:space="0"/>
            </w:tcBorders>
            <w:vAlign w:val="center"/>
          </w:tcPr>
          <w:p w14:paraId="6A1DE2C6">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12"/>
                <w:sz w:val="21"/>
                <w:szCs w:val="21"/>
              </w:rPr>
              <w:t>工</w:t>
            </w:r>
            <w:r>
              <w:rPr>
                <w:rFonts w:hint="eastAsia" w:ascii="宋体" w:hAnsi="宋体" w:eastAsia="宋体" w:cs="宋体"/>
                <w:color w:val="auto"/>
                <w:spacing w:val="8"/>
                <w:sz w:val="21"/>
                <w:szCs w:val="21"/>
              </w:rPr>
              <w:t>程</w:t>
            </w:r>
            <w:r>
              <w:rPr>
                <w:rFonts w:hint="eastAsia" w:ascii="宋体" w:hAnsi="宋体" w:eastAsia="宋体" w:cs="宋体"/>
                <w:color w:val="auto"/>
                <w:spacing w:val="6"/>
                <w:sz w:val="21"/>
                <w:szCs w:val="21"/>
              </w:rPr>
              <w:t>价款应专款专用：经发包人提出申请后，发包人按合同约定支付给承包人的</w:t>
            </w:r>
            <w:r>
              <w:rPr>
                <w:rFonts w:hint="eastAsia" w:ascii="宋体" w:hAnsi="宋体" w:eastAsia="宋体" w:cs="宋体"/>
                <w:color w:val="auto"/>
                <w:spacing w:val="4"/>
                <w:sz w:val="21"/>
                <w:szCs w:val="21"/>
              </w:rPr>
              <w:t>各</w:t>
            </w:r>
            <w:r>
              <w:rPr>
                <w:rFonts w:hint="eastAsia" w:ascii="宋体" w:hAnsi="宋体" w:eastAsia="宋体" w:cs="宋体"/>
                <w:color w:val="auto"/>
                <w:spacing w:val="2"/>
                <w:sz w:val="21"/>
                <w:szCs w:val="21"/>
              </w:rPr>
              <w:t>项价款应专用于合同工程。发包人支付的工程进度款应为本工程的专款专用资金，</w:t>
            </w:r>
            <w:r>
              <w:rPr>
                <w:rFonts w:hint="eastAsia" w:ascii="宋体" w:hAnsi="宋体" w:eastAsia="宋体" w:cs="宋体"/>
                <w:color w:val="auto"/>
                <w:spacing w:val="12"/>
                <w:sz w:val="21"/>
                <w:szCs w:val="21"/>
              </w:rPr>
              <w:t>不</w:t>
            </w:r>
            <w:r>
              <w:rPr>
                <w:rFonts w:hint="eastAsia" w:ascii="宋体" w:hAnsi="宋体" w:eastAsia="宋体" w:cs="宋体"/>
                <w:color w:val="auto"/>
                <w:spacing w:val="7"/>
                <w:sz w:val="21"/>
                <w:szCs w:val="21"/>
              </w:rPr>
              <w:t>得</w:t>
            </w:r>
            <w:r>
              <w:rPr>
                <w:rFonts w:hint="eastAsia" w:ascii="宋体" w:hAnsi="宋体" w:eastAsia="宋体" w:cs="宋体"/>
                <w:color w:val="auto"/>
                <w:spacing w:val="6"/>
                <w:sz w:val="21"/>
                <w:szCs w:val="21"/>
              </w:rPr>
              <w:t>转移或用于其他工程。发包人及其派出机构有权不定期对承包人工程资金使用</w:t>
            </w:r>
            <w:r>
              <w:rPr>
                <w:rFonts w:hint="eastAsia" w:ascii="宋体" w:hAnsi="宋体" w:eastAsia="宋体" w:cs="宋体"/>
                <w:color w:val="auto"/>
                <w:spacing w:val="12"/>
                <w:sz w:val="21"/>
                <w:szCs w:val="21"/>
              </w:rPr>
              <w:t>情</w:t>
            </w:r>
            <w:r>
              <w:rPr>
                <w:rFonts w:hint="eastAsia" w:ascii="宋体" w:hAnsi="宋体" w:eastAsia="宋体" w:cs="宋体"/>
                <w:color w:val="auto"/>
                <w:spacing w:val="7"/>
                <w:sz w:val="21"/>
                <w:szCs w:val="21"/>
              </w:rPr>
              <w:t>况</w:t>
            </w:r>
            <w:r>
              <w:rPr>
                <w:rFonts w:hint="eastAsia" w:ascii="宋体" w:hAnsi="宋体" w:eastAsia="宋体" w:cs="宋体"/>
                <w:color w:val="auto"/>
                <w:spacing w:val="6"/>
                <w:sz w:val="21"/>
                <w:szCs w:val="21"/>
              </w:rPr>
              <w:t>进行检查，发现问题及时责令承包人限期改正，否则，将终止支付，直至承包</w:t>
            </w:r>
            <w:r>
              <w:rPr>
                <w:rFonts w:hint="eastAsia" w:ascii="宋体" w:hAnsi="宋体" w:cs="宋体"/>
                <w:color w:val="auto"/>
                <w:spacing w:val="6"/>
                <w:sz w:val="21"/>
                <w:szCs w:val="21"/>
                <w:lang w:val="en-US" w:eastAsia="zh-CN"/>
              </w:rPr>
              <w:t>人改正为止。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F7AC450">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5</w:t>
            </w:r>
          </w:p>
        </w:tc>
        <w:tc>
          <w:tcPr>
            <w:tcW w:w="1384" w:type="dxa"/>
            <w:vAlign w:val="center"/>
          </w:tcPr>
          <w:p w14:paraId="69BD1B5E">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7"/>
                <w:sz w:val="21"/>
                <w:szCs w:val="21"/>
                <w:highlight w:val="none"/>
              </w:rPr>
              <w:t>.13</w:t>
            </w:r>
          </w:p>
        </w:tc>
        <w:tc>
          <w:tcPr>
            <w:tcW w:w="7054" w:type="dxa"/>
            <w:tcBorders>
              <w:right w:val="single" w:color="000000" w:sz="6" w:space="0"/>
            </w:tcBorders>
            <w:vAlign w:val="center"/>
          </w:tcPr>
          <w:p w14:paraId="1D31B5B8">
            <w:pPr>
              <w:keepLines w:val="0"/>
              <w:pageBreakBefore w:val="0"/>
              <w:widowControl w:val="0"/>
              <w:kinsoku/>
              <w:overflowPunct/>
              <w:topLinePunct w:val="0"/>
              <w:autoSpaceDE/>
              <w:autoSpaceDN/>
              <w:bidi w:val="0"/>
              <w:snapToGrid w:val="0"/>
              <w:spacing w:before="159"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8"/>
                <w:sz w:val="21"/>
                <w:szCs w:val="21"/>
              </w:rPr>
              <w:t>承</w:t>
            </w:r>
            <w:r>
              <w:rPr>
                <w:rFonts w:hint="eastAsia" w:ascii="宋体" w:hAnsi="宋体" w:eastAsia="宋体" w:cs="宋体"/>
                <w:color w:val="auto"/>
                <w:spacing w:val="12"/>
                <w:sz w:val="21"/>
                <w:szCs w:val="21"/>
              </w:rPr>
              <w:t>包人为国有控股或参股企业的，承包人应按规定在项目现场设立基层党组</w:t>
            </w:r>
            <w:r>
              <w:rPr>
                <w:rFonts w:hint="eastAsia" w:ascii="宋体" w:hAnsi="宋体" w:eastAsia="宋体" w:cs="宋体"/>
                <w:color w:val="auto"/>
                <w:spacing w:val="14"/>
                <w:sz w:val="21"/>
                <w:szCs w:val="21"/>
              </w:rPr>
              <w:t>织</w:t>
            </w:r>
            <w:r>
              <w:rPr>
                <w:rFonts w:hint="eastAsia" w:ascii="宋体" w:hAnsi="宋体" w:eastAsia="宋体" w:cs="宋体"/>
                <w:color w:val="auto"/>
                <w:spacing w:val="12"/>
                <w:sz w:val="21"/>
                <w:szCs w:val="21"/>
              </w:rPr>
              <w:t>。承包人为非国有控股或参股企业的，承包人应创造条件使党员能够参加党组</w:t>
            </w:r>
            <w:r>
              <w:rPr>
                <w:rFonts w:hint="eastAsia" w:ascii="宋体" w:hAnsi="宋体" w:eastAsia="宋体" w:cs="宋体"/>
                <w:color w:val="auto"/>
                <w:spacing w:val="14"/>
                <w:sz w:val="21"/>
                <w:szCs w:val="21"/>
              </w:rPr>
              <w:t>织</w:t>
            </w:r>
            <w:r>
              <w:rPr>
                <w:rFonts w:hint="eastAsia" w:ascii="宋体" w:hAnsi="宋体" w:eastAsia="宋体" w:cs="宋体"/>
                <w:color w:val="auto"/>
                <w:spacing w:val="12"/>
                <w:sz w:val="21"/>
                <w:szCs w:val="21"/>
              </w:rPr>
              <w:t>生活并接受相应管理。承包人应在项目现场设立基层党组织，积极组织党员学</w:t>
            </w:r>
            <w:r>
              <w:rPr>
                <w:rFonts w:hint="eastAsia" w:ascii="宋体" w:hAnsi="宋体" w:eastAsia="宋体" w:cs="宋体"/>
                <w:color w:val="auto"/>
                <w:spacing w:val="22"/>
                <w:sz w:val="21"/>
                <w:szCs w:val="21"/>
              </w:rPr>
              <w:t>习</w:t>
            </w:r>
            <w:r>
              <w:rPr>
                <w:rFonts w:hint="eastAsia" w:ascii="宋体" w:hAnsi="宋体" w:eastAsia="宋体" w:cs="宋体"/>
                <w:color w:val="auto"/>
                <w:spacing w:val="13"/>
                <w:sz w:val="21"/>
                <w:szCs w:val="21"/>
              </w:rPr>
              <w:t>，</w:t>
            </w:r>
            <w:r>
              <w:rPr>
                <w:rFonts w:hint="eastAsia" w:ascii="宋体" w:hAnsi="宋体" w:eastAsia="宋体" w:cs="宋体"/>
                <w:color w:val="auto"/>
                <w:spacing w:val="11"/>
                <w:sz w:val="21"/>
                <w:szCs w:val="21"/>
              </w:rPr>
              <w:t>承办党建工作室(党员之家)，建立党建工作制度、明确“两学一做”常态</w:t>
            </w:r>
            <w:r>
              <w:rPr>
                <w:rFonts w:hint="eastAsia" w:ascii="宋体" w:hAnsi="宋体" w:eastAsia="宋体" w:cs="宋体"/>
                <w:color w:val="auto"/>
                <w:spacing w:val="14"/>
                <w:sz w:val="21"/>
                <w:szCs w:val="21"/>
              </w:rPr>
              <w:t>化</w:t>
            </w:r>
            <w:r>
              <w:rPr>
                <w:rFonts w:hint="eastAsia" w:ascii="宋体" w:hAnsi="宋体" w:eastAsia="宋体" w:cs="宋体"/>
                <w:color w:val="auto"/>
                <w:spacing w:val="12"/>
                <w:sz w:val="21"/>
                <w:szCs w:val="21"/>
              </w:rPr>
              <w:t>制度化建设目标和任务、明确党组织机构设置、党组织负责人及党务工作人员</w:t>
            </w:r>
            <w:r>
              <w:rPr>
                <w:rFonts w:hint="eastAsia" w:ascii="宋体" w:hAnsi="宋体" w:eastAsia="宋体" w:cs="宋体"/>
                <w:color w:val="auto"/>
                <w:spacing w:val="14"/>
                <w:sz w:val="21"/>
                <w:szCs w:val="21"/>
              </w:rPr>
              <w:t>配</w:t>
            </w:r>
            <w:r>
              <w:rPr>
                <w:rFonts w:hint="eastAsia" w:ascii="宋体" w:hAnsi="宋体" w:eastAsia="宋体" w:cs="宋体"/>
                <w:color w:val="auto"/>
                <w:spacing w:val="12"/>
                <w:sz w:val="21"/>
                <w:szCs w:val="21"/>
              </w:rPr>
              <w:t>备情况，编制党务工作开展预案，并按照预案要求在项目实施过程中同步开展</w:t>
            </w:r>
          </w:p>
          <w:p w14:paraId="7BFAF6DE">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12"/>
                <w:sz w:val="21"/>
                <w:szCs w:val="21"/>
              </w:rPr>
              <w:t>党</w:t>
            </w:r>
            <w:r>
              <w:rPr>
                <w:rFonts w:hint="eastAsia" w:ascii="宋体" w:hAnsi="宋体" w:eastAsia="宋体" w:cs="宋体"/>
                <w:color w:val="auto"/>
                <w:spacing w:val="9"/>
                <w:sz w:val="21"/>
                <w:szCs w:val="21"/>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145287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6</w:t>
            </w:r>
          </w:p>
        </w:tc>
        <w:tc>
          <w:tcPr>
            <w:tcW w:w="1384" w:type="dxa"/>
            <w:vAlign w:val="center"/>
          </w:tcPr>
          <w:p w14:paraId="2505E04A">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7"/>
                <w:sz w:val="21"/>
                <w:szCs w:val="21"/>
                <w:highlight w:val="none"/>
              </w:rPr>
              <w:t>5.1.2</w:t>
            </w:r>
          </w:p>
        </w:tc>
        <w:tc>
          <w:tcPr>
            <w:tcW w:w="7054" w:type="dxa"/>
            <w:tcBorders>
              <w:right w:val="single" w:color="000000" w:sz="6" w:space="0"/>
            </w:tcBorders>
            <w:vAlign w:val="center"/>
          </w:tcPr>
          <w:p w14:paraId="69714F4B">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1、为确保本合同工程的施工质量，在合同履行过程中，发包人将结合国</w:t>
            </w:r>
            <w:r>
              <w:rPr>
                <w:rFonts w:hint="eastAsia" w:ascii="宋体" w:hAnsi="宋体" w:eastAsia="宋体" w:cs="宋体"/>
                <w:color w:val="auto"/>
                <w:spacing w:val="2"/>
                <w:sz w:val="21"/>
                <w:szCs w:val="21"/>
              </w:rPr>
              <w:t>内</w:t>
            </w:r>
            <w:r>
              <w:rPr>
                <w:rFonts w:hint="eastAsia" w:ascii="宋体" w:hAnsi="宋体" w:eastAsia="宋体" w:cs="宋体"/>
                <w:color w:val="auto"/>
                <w:sz w:val="21"/>
                <w:szCs w:val="21"/>
              </w:rPr>
              <w:t>工程</w:t>
            </w:r>
            <w:r>
              <w:rPr>
                <w:rFonts w:hint="eastAsia" w:ascii="宋体" w:hAnsi="宋体" w:eastAsia="宋体" w:cs="宋体"/>
                <w:color w:val="auto"/>
                <w:spacing w:val="12"/>
                <w:sz w:val="21"/>
                <w:szCs w:val="21"/>
              </w:rPr>
              <w:t>施</w:t>
            </w:r>
            <w:r>
              <w:rPr>
                <w:rFonts w:hint="eastAsia" w:ascii="宋体" w:hAnsi="宋体" w:eastAsia="宋体" w:cs="宋体"/>
                <w:color w:val="auto"/>
                <w:spacing w:val="9"/>
                <w:sz w:val="21"/>
                <w:szCs w:val="21"/>
              </w:rPr>
              <w:t>工</w:t>
            </w:r>
            <w:r>
              <w:rPr>
                <w:rFonts w:hint="eastAsia" w:ascii="宋体" w:hAnsi="宋体" w:eastAsia="宋体" w:cs="宋体"/>
                <w:color w:val="auto"/>
                <w:spacing w:val="6"/>
                <w:sz w:val="21"/>
                <w:szCs w:val="21"/>
              </w:rPr>
              <w:t>现状，以及工程实际需要，对部分施工流程或工艺等提出特殊的设备要求，承包人应予实施，由此所增加的设备购置费或租赁费用(合同另有约定除外)发包</w:t>
            </w:r>
            <w:r>
              <w:rPr>
                <w:rFonts w:hint="eastAsia" w:ascii="宋体" w:hAnsi="宋体" w:eastAsia="宋体" w:cs="宋体"/>
                <w:color w:val="auto"/>
                <w:spacing w:val="3"/>
                <w:sz w:val="21"/>
                <w:szCs w:val="21"/>
              </w:rPr>
              <w:t>人</w:t>
            </w:r>
            <w:r>
              <w:rPr>
                <w:rFonts w:hint="eastAsia" w:ascii="宋体" w:hAnsi="宋体" w:eastAsia="宋体" w:cs="宋体"/>
                <w:color w:val="auto"/>
                <w:spacing w:val="4"/>
                <w:sz w:val="21"/>
                <w:szCs w:val="21"/>
              </w:rPr>
              <w:t>不另行支付。</w:t>
            </w:r>
          </w:p>
          <w:p w14:paraId="64EEDC82">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2、为保</w:t>
            </w:r>
            <w:r>
              <w:rPr>
                <w:rFonts w:hint="eastAsia" w:ascii="宋体" w:hAnsi="宋体" w:eastAsia="宋体" w:cs="宋体"/>
                <w:color w:val="auto"/>
                <w:spacing w:val="4"/>
                <w:sz w:val="21"/>
                <w:szCs w:val="21"/>
              </w:rPr>
              <w:t>证</w:t>
            </w:r>
            <w:r>
              <w:rPr>
                <w:rFonts w:hint="eastAsia" w:ascii="宋体" w:hAnsi="宋体" w:eastAsia="宋体" w:cs="宋体"/>
                <w:color w:val="auto"/>
                <w:spacing w:val="3"/>
                <w:sz w:val="21"/>
                <w:szCs w:val="21"/>
              </w:rPr>
              <w:t>工程质量，对于本项目所需的主要工程材料，承包人应选择信誉良好</w:t>
            </w:r>
            <w:r>
              <w:rPr>
                <w:rFonts w:hint="eastAsia" w:ascii="宋体" w:hAnsi="宋体" w:eastAsia="宋体" w:cs="宋体"/>
                <w:color w:val="auto"/>
                <w:spacing w:val="12"/>
                <w:sz w:val="21"/>
                <w:szCs w:val="21"/>
              </w:rPr>
              <w:t>的</w:t>
            </w:r>
            <w:r>
              <w:rPr>
                <w:rFonts w:hint="eastAsia" w:ascii="宋体" w:hAnsi="宋体" w:eastAsia="宋体" w:cs="宋体"/>
                <w:color w:val="auto"/>
                <w:spacing w:val="8"/>
                <w:sz w:val="21"/>
                <w:szCs w:val="21"/>
              </w:rPr>
              <w:t>材</w:t>
            </w:r>
            <w:r>
              <w:rPr>
                <w:rFonts w:hint="eastAsia" w:ascii="宋体" w:hAnsi="宋体" w:eastAsia="宋体" w:cs="宋体"/>
                <w:color w:val="auto"/>
                <w:spacing w:val="6"/>
                <w:sz w:val="21"/>
                <w:szCs w:val="21"/>
              </w:rPr>
              <w:t>料供应商或制造商或加工生产商。在与主要工程材料供应商或制造商或加工生</w:t>
            </w:r>
            <w:r>
              <w:rPr>
                <w:rFonts w:hint="eastAsia" w:ascii="宋体" w:hAnsi="宋体" w:eastAsia="宋体" w:cs="宋体"/>
                <w:color w:val="auto"/>
                <w:spacing w:val="12"/>
                <w:sz w:val="21"/>
                <w:szCs w:val="21"/>
              </w:rPr>
              <w:t>产</w:t>
            </w:r>
            <w:r>
              <w:rPr>
                <w:rFonts w:hint="eastAsia" w:ascii="宋体" w:hAnsi="宋体" w:eastAsia="宋体" w:cs="宋体"/>
                <w:color w:val="auto"/>
                <w:spacing w:val="8"/>
                <w:sz w:val="21"/>
                <w:szCs w:val="21"/>
              </w:rPr>
              <w:t>商</w:t>
            </w:r>
            <w:r>
              <w:rPr>
                <w:rFonts w:hint="eastAsia" w:ascii="宋体" w:hAnsi="宋体" w:eastAsia="宋体" w:cs="宋体"/>
                <w:color w:val="auto"/>
                <w:spacing w:val="6"/>
                <w:sz w:val="21"/>
                <w:szCs w:val="21"/>
              </w:rPr>
              <w:t>签订供货合同前，承包人必须将供应商或制造商或加工生产商的名单、相应资</w:t>
            </w:r>
            <w:r>
              <w:rPr>
                <w:rFonts w:hint="eastAsia" w:ascii="宋体" w:hAnsi="宋体" w:eastAsia="宋体" w:cs="宋体"/>
                <w:color w:val="auto"/>
                <w:spacing w:val="12"/>
                <w:sz w:val="21"/>
                <w:szCs w:val="21"/>
              </w:rPr>
              <w:t>格</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rPr>
              <w:t>材料品质报告等送发包人审查批准后，方可将主要工程材料用于实体工程，否</w:t>
            </w:r>
            <w:r>
              <w:rPr>
                <w:rFonts w:hint="eastAsia" w:ascii="宋体" w:hAnsi="宋体" w:eastAsia="宋体" w:cs="宋体"/>
                <w:color w:val="auto"/>
                <w:spacing w:val="12"/>
                <w:sz w:val="21"/>
                <w:szCs w:val="21"/>
              </w:rPr>
              <w:t>则</w:t>
            </w:r>
            <w:r>
              <w:rPr>
                <w:rFonts w:hint="eastAsia" w:ascii="宋体" w:hAnsi="宋体" w:eastAsia="宋体" w:cs="宋体"/>
                <w:color w:val="auto"/>
                <w:spacing w:val="8"/>
                <w:sz w:val="21"/>
                <w:szCs w:val="21"/>
              </w:rPr>
              <w:t>发</w:t>
            </w:r>
            <w:r>
              <w:rPr>
                <w:rFonts w:hint="eastAsia" w:ascii="宋体" w:hAnsi="宋体" w:eastAsia="宋体" w:cs="宋体"/>
                <w:color w:val="auto"/>
                <w:spacing w:val="6"/>
                <w:sz w:val="21"/>
                <w:szCs w:val="21"/>
              </w:rPr>
              <w:t>包人将视其为不合格工程并要求承包人返工重作或进行补救处理，由此造成的</w:t>
            </w:r>
            <w:r>
              <w:rPr>
                <w:rFonts w:hint="eastAsia" w:ascii="宋体" w:hAnsi="宋体" w:eastAsia="宋体" w:cs="宋体"/>
                <w:color w:val="auto"/>
                <w:spacing w:val="5"/>
                <w:sz w:val="21"/>
                <w:szCs w:val="21"/>
              </w:rPr>
              <w:t>费用增加和(或)工期延误由承包人承担</w:t>
            </w:r>
            <w:r>
              <w:rPr>
                <w:rFonts w:hint="eastAsia" w:ascii="宋体" w:hAnsi="宋体" w:eastAsia="宋体" w:cs="宋体"/>
                <w:color w:val="auto"/>
                <w:spacing w:val="2"/>
                <w:sz w:val="21"/>
                <w:szCs w:val="21"/>
              </w:rPr>
              <w:t>。</w:t>
            </w:r>
          </w:p>
          <w:p w14:paraId="5DB88539">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承包人应与供</w:t>
            </w:r>
            <w:r>
              <w:rPr>
                <w:rFonts w:hint="eastAsia" w:ascii="宋体" w:hAnsi="宋体" w:eastAsia="宋体" w:cs="宋体"/>
                <w:color w:val="auto"/>
                <w:spacing w:val="7"/>
                <w:sz w:val="21"/>
                <w:szCs w:val="21"/>
              </w:rPr>
              <w:t>应</w:t>
            </w:r>
            <w:r>
              <w:rPr>
                <w:rFonts w:hint="eastAsia" w:ascii="宋体" w:hAnsi="宋体" w:eastAsia="宋体" w:cs="宋体"/>
                <w:color w:val="auto"/>
                <w:spacing w:val="4"/>
                <w:sz w:val="21"/>
                <w:szCs w:val="21"/>
              </w:rPr>
              <w:t>商或制造商或加工生产商签订供货合同，明确双方的责权利，</w:t>
            </w:r>
            <w:r>
              <w:rPr>
                <w:rFonts w:hint="eastAsia" w:ascii="宋体" w:hAnsi="宋体" w:eastAsia="宋体" w:cs="宋体"/>
                <w:color w:val="auto"/>
                <w:spacing w:val="8"/>
                <w:sz w:val="21"/>
                <w:szCs w:val="21"/>
              </w:rPr>
              <w:t>以及供</w:t>
            </w:r>
            <w:r>
              <w:rPr>
                <w:rFonts w:hint="eastAsia" w:ascii="宋体" w:hAnsi="宋体" w:eastAsia="宋体" w:cs="宋体"/>
                <w:color w:val="auto"/>
                <w:spacing w:val="4"/>
                <w:sz w:val="21"/>
                <w:szCs w:val="21"/>
              </w:rPr>
              <w:t>货方的供货时间与供货质量的保证措施和要求。</w:t>
            </w:r>
          </w:p>
          <w:p w14:paraId="663D2244">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6"/>
                <w:position w:val="15"/>
                <w:sz w:val="21"/>
                <w:szCs w:val="21"/>
              </w:rPr>
              <w:t>3、</w:t>
            </w:r>
            <w:r>
              <w:rPr>
                <w:rFonts w:hint="eastAsia" w:ascii="宋体" w:hAnsi="宋体" w:eastAsia="宋体" w:cs="宋体"/>
                <w:color w:val="auto"/>
                <w:spacing w:val="5"/>
                <w:position w:val="15"/>
                <w:sz w:val="21"/>
                <w:szCs w:val="21"/>
              </w:rPr>
              <w:t>经</w:t>
            </w:r>
            <w:r>
              <w:rPr>
                <w:rFonts w:hint="eastAsia" w:ascii="宋体" w:hAnsi="宋体" w:eastAsia="宋体" w:cs="宋体"/>
                <w:color w:val="auto"/>
                <w:spacing w:val="3"/>
                <w:position w:val="15"/>
                <w:sz w:val="21"/>
                <w:szCs w:val="21"/>
              </w:rPr>
              <w:t>监理人鉴定质量不合格并令其清除出场的材料，其费用均应由承包人自</w:t>
            </w:r>
            <w:r>
              <w:rPr>
                <w:rFonts w:hint="eastAsia" w:ascii="宋体" w:hAnsi="宋体" w:cs="宋体"/>
                <w:color w:val="auto"/>
                <w:spacing w:val="3"/>
                <w:position w:val="15"/>
                <w:sz w:val="21"/>
                <w:szCs w:val="21"/>
                <w:lang w:val="en-US" w:eastAsia="zh-CN"/>
              </w:rPr>
              <w:t>行负责。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4E5B983">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7</w:t>
            </w:r>
          </w:p>
        </w:tc>
        <w:tc>
          <w:tcPr>
            <w:tcW w:w="1384" w:type="dxa"/>
            <w:vAlign w:val="center"/>
          </w:tcPr>
          <w:p w14:paraId="5EC8B1CA">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5"/>
                <w:sz w:val="21"/>
                <w:szCs w:val="21"/>
              </w:rPr>
            </w:pPr>
            <w:r>
              <w:rPr>
                <w:rFonts w:hint="eastAsia" w:ascii="宋体" w:hAnsi="宋体" w:eastAsia="宋体" w:cs="宋体"/>
                <w:color w:val="auto"/>
                <w:spacing w:val="-6"/>
                <w:sz w:val="21"/>
                <w:szCs w:val="21"/>
              </w:rPr>
              <w:t>5</w:t>
            </w:r>
            <w:r>
              <w:rPr>
                <w:rFonts w:hint="eastAsia" w:ascii="宋体" w:hAnsi="宋体" w:eastAsia="宋体" w:cs="宋体"/>
                <w:color w:val="auto"/>
                <w:spacing w:val="-4"/>
                <w:sz w:val="21"/>
                <w:szCs w:val="21"/>
              </w:rPr>
              <w:t>.</w:t>
            </w:r>
            <w:r>
              <w:rPr>
                <w:rFonts w:hint="eastAsia" w:ascii="宋体" w:hAnsi="宋体" w:eastAsia="宋体" w:cs="宋体"/>
                <w:color w:val="auto"/>
                <w:spacing w:val="-3"/>
                <w:sz w:val="21"/>
                <w:szCs w:val="21"/>
              </w:rPr>
              <w:t>2.1</w:t>
            </w:r>
          </w:p>
        </w:tc>
        <w:tc>
          <w:tcPr>
            <w:tcW w:w="7054" w:type="dxa"/>
            <w:tcBorders>
              <w:right w:val="single" w:color="000000" w:sz="6" w:space="0"/>
            </w:tcBorders>
            <w:vAlign w:val="center"/>
          </w:tcPr>
          <w:p w14:paraId="1CA938F0">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16"/>
                <w:sz w:val="21"/>
                <w:szCs w:val="21"/>
              </w:rPr>
              <w:t>发</w:t>
            </w:r>
            <w:r>
              <w:rPr>
                <w:rFonts w:hint="eastAsia" w:ascii="宋体" w:hAnsi="宋体" w:eastAsia="宋体" w:cs="宋体"/>
                <w:color w:val="auto"/>
                <w:spacing w:val="13"/>
                <w:sz w:val="21"/>
                <w:szCs w:val="21"/>
              </w:rPr>
              <w:t>包</w:t>
            </w:r>
            <w:r>
              <w:rPr>
                <w:rFonts w:hint="eastAsia" w:ascii="宋体" w:hAnsi="宋体" w:eastAsia="宋体" w:cs="宋体"/>
                <w:color w:val="auto"/>
                <w:spacing w:val="8"/>
                <w:sz w:val="21"/>
                <w:szCs w:val="21"/>
              </w:rPr>
              <w:t>人是否提供材料或工程设备：</w:t>
            </w:r>
            <w:r>
              <w:rPr>
                <w:rFonts w:hint="eastAsia" w:ascii="宋体" w:hAnsi="宋体" w:eastAsia="宋体" w:cs="宋体"/>
                <w:color w:val="auto"/>
                <w:spacing w:val="8"/>
                <w:sz w:val="21"/>
                <w:szCs w:val="21"/>
                <w:u w:val="single" w:color="auto"/>
              </w:rPr>
              <w:t>否</w:t>
            </w:r>
          </w:p>
          <w:p w14:paraId="5FFA8584">
            <w:pPr>
              <w:keepLines w:val="0"/>
              <w:pageBreakBefore w:val="0"/>
              <w:widowControl w:val="0"/>
              <w:kinsoku/>
              <w:overflowPunct/>
              <w:topLinePunct w:val="0"/>
              <w:autoSpaceDE/>
              <w:autoSpaceDN/>
              <w:bidi w:val="0"/>
              <w:snapToGrid w:val="0"/>
              <w:spacing w:before="117" w:line="240" w:lineRule="auto"/>
              <w:ind w:left="105" w:leftChars="50" w:right="283" w:rightChars="0" w:firstLine="0" w:firstLineChars="0"/>
              <w:jc w:val="left"/>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10"/>
                <w:position w:val="1"/>
                <w:sz w:val="21"/>
                <w:szCs w:val="21"/>
              </w:rPr>
              <w:t>如</w:t>
            </w:r>
            <w:r>
              <w:rPr>
                <w:rFonts w:hint="eastAsia" w:ascii="宋体" w:hAnsi="宋体" w:eastAsia="宋体" w:cs="宋体"/>
                <w:color w:val="auto"/>
                <w:spacing w:val="8"/>
                <w:position w:val="1"/>
                <w:sz w:val="21"/>
                <w:szCs w:val="21"/>
              </w:rPr>
              <w:t>发</w:t>
            </w:r>
            <w:r>
              <w:rPr>
                <w:rFonts w:hint="eastAsia" w:ascii="宋体" w:hAnsi="宋体" w:eastAsia="宋体" w:cs="宋体"/>
                <w:color w:val="auto"/>
                <w:spacing w:val="5"/>
                <w:position w:val="1"/>
                <w:sz w:val="21"/>
                <w:szCs w:val="21"/>
              </w:rPr>
              <w:t>包人负责提供部分材料或工程设备，相关规定如下：</w:t>
            </w:r>
            <w:r>
              <w:rPr>
                <w:rFonts w:hint="eastAsia" w:ascii="宋体" w:hAnsi="宋体" w:cs="宋体"/>
                <w:color w:val="auto"/>
                <w:spacing w:val="5"/>
                <w:position w:val="1"/>
                <w:sz w:val="21"/>
                <w:szCs w:val="21"/>
                <w:u w:val="single"/>
                <w:lang w:val="en-US" w:eastAsia="zh-CN"/>
              </w:rPr>
              <w:t xml:space="preserve"> </w:t>
            </w:r>
            <w:r>
              <w:rPr>
                <w:rFonts w:hint="eastAsia" w:ascii="宋体" w:hAnsi="宋体" w:eastAsia="宋体" w:cs="宋体"/>
                <w:color w:val="auto"/>
                <w:spacing w:val="5"/>
                <w:position w:val="1"/>
                <w:sz w:val="21"/>
                <w:szCs w:val="21"/>
                <w:u w:val="single"/>
              </w:rPr>
              <w:t>/</w:t>
            </w:r>
            <w:r>
              <w:rPr>
                <w:rFonts w:hint="eastAsia" w:ascii="宋体" w:hAnsi="宋体" w:cs="宋体"/>
                <w:color w:val="auto"/>
                <w:spacing w:val="5"/>
                <w:position w:val="1"/>
                <w:sz w:val="21"/>
                <w:szCs w:val="21"/>
                <w:u w:val="single"/>
                <w:lang w:val="en-US" w:eastAsia="zh-CN"/>
              </w:rPr>
              <w:t xml:space="preserve"> </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0CCFDD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8</w:t>
            </w:r>
          </w:p>
        </w:tc>
        <w:tc>
          <w:tcPr>
            <w:tcW w:w="1384" w:type="dxa"/>
            <w:vAlign w:val="center"/>
          </w:tcPr>
          <w:p w14:paraId="0263D7E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1"/>
                <w:sz w:val="21"/>
                <w:szCs w:val="21"/>
              </w:rPr>
              <w:t>6.2</w:t>
            </w:r>
          </w:p>
        </w:tc>
        <w:tc>
          <w:tcPr>
            <w:tcW w:w="7054" w:type="dxa"/>
            <w:tcBorders>
              <w:right w:val="single" w:color="000000" w:sz="6" w:space="0"/>
            </w:tcBorders>
            <w:vAlign w:val="center"/>
          </w:tcPr>
          <w:p w14:paraId="02C162B9">
            <w:pPr>
              <w:keepLines w:val="0"/>
              <w:pageBreakBefore w:val="0"/>
              <w:widowControl w:val="0"/>
              <w:kinsoku/>
              <w:overflowPunct/>
              <w:topLinePunct w:val="0"/>
              <w:autoSpaceDE/>
              <w:autoSpaceDN/>
              <w:bidi w:val="0"/>
              <w:snapToGrid w:val="0"/>
              <w:spacing w:before="159" w:line="240" w:lineRule="auto"/>
              <w:ind w:left="105" w:leftChars="50" w:right="283"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rPr>
              <w:t>发包人是否提供施工设备和临时设施：</w:t>
            </w:r>
            <w:r>
              <w:rPr>
                <w:rFonts w:hint="eastAsia" w:ascii="宋体" w:hAnsi="宋体" w:eastAsia="宋体" w:cs="宋体"/>
                <w:color w:val="auto"/>
                <w:spacing w:val="6"/>
                <w:sz w:val="21"/>
                <w:szCs w:val="21"/>
                <w:u w:val="single" w:color="auto"/>
              </w:rPr>
              <w:t>否</w:t>
            </w:r>
          </w:p>
          <w:p w14:paraId="64D8F05D">
            <w:pPr>
              <w:keepLines w:val="0"/>
              <w:pageBreakBefore w:val="0"/>
              <w:widowControl w:val="0"/>
              <w:kinsoku/>
              <w:overflowPunct/>
              <w:topLinePunct w:val="0"/>
              <w:autoSpaceDE/>
              <w:autoSpaceDN/>
              <w:bidi w:val="0"/>
              <w:snapToGrid w:val="0"/>
              <w:spacing w:before="117"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lang w:val="en-US" w:eastAsia="zh-CN"/>
              </w:rPr>
            </w:pPr>
            <w:r>
              <w:rPr>
                <w:rFonts w:hint="eastAsia" w:ascii="宋体" w:hAnsi="宋体" w:eastAsia="宋体" w:cs="宋体"/>
                <w:color w:val="auto"/>
                <w:spacing w:val="16"/>
                <w:sz w:val="21"/>
                <w:szCs w:val="21"/>
              </w:rPr>
              <w:t>如</w:t>
            </w:r>
            <w:r>
              <w:rPr>
                <w:rFonts w:hint="eastAsia" w:ascii="宋体" w:hAnsi="宋体" w:eastAsia="宋体" w:cs="宋体"/>
                <w:color w:val="auto"/>
                <w:spacing w:val="15"/>
                <w:sz w:val="21"/>
                <w:szCs w:val="21"/>
              </w:rPr>
              <w:t>发</w:t>
            </w:r>
            <w:r>
              <w:rPr>
                <w:rFonts w:hint="eastAsia" w:ascii="宋体" w:hAnsi="宋体" w:eastAsia="宋体" w:cs="宋体"/>
                <w:color w:val="auto"/>
                <w:spacing w:val="8"/>
                <w:sz w:val="21"/>
                <w:szCs w:val="21"/>
              </w:rPr>
              <w:t>包人负责提供部分施工设备和临时设施，相关规定如下：</w:t>
            </w:r>
            <w:r>
              <w:rPr>
                <w:rFonts w:hint="eastAsia" w:ascii="宋体" w:hAnsi="宋体" w:cs="宋体"/>
                <w:color w:val="auto"/>
                <w:spacing w:val="8"/>
                <w:sz w:val="21"/>
                <w:szCs w:val="21"/>
                <w:u w:val="single"/>
                <w:lang w:val="en-US" w:eastAsia="zh-CN"/>
              </w:rPr>
              <w:t xml:space="preserve"> </w:t>
            </w:r>
            <w:r>
              <w:rPr>
                <w:rFonts w:hint="eastAsia" w:ascii="宋体" w:hAnsi="宋体" w:eastAsia="宋体" w:cs="宋体"/>
                <w:color w:val="auto"/>
                <w:spacing w:val="8"/>
                <w:sz w:val="21"/>
                <w:szCs w:val="21"/>
                <w:u w:val="single" w:color="auto"/>
              </w:rPr>
              <w:t>/</w:t>
            </w:r>
            <w:r>
              <w:rPr>
                <w:rFonts w:hint="eastAsia" w:ascii="宋体" w:hAnsi="宋体" w:cs="宋体"/>
                <w:color w:val="auto"/>
                <w:spacing w:val="8"/>
                <w:sz w:val="21"/>
                <w:szCs w:val="21"/>
                <w:u w:val="single" w:color="auto"/>
                <w:lang w:val="en-US" w:eastAsia="zh-CN"/>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5B3708D">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w:t>
            </w:r>
            <w:r>
              <w:rPr>
                <w:rFonts w:hint="eastAsia" w:ascii="宋体" w:hAnsi="宋体" w:eastAsia="宋体" w:cs="宋体"/>
                <w:color w:val="auto"/>
                <w:spacing w:val="-7"/>
                <w:sz w:val="21"/>
                <w:szCs w:val="21"/>
              </w:rPr>
              <w:t>9</w:t>
            </w:r>
          </w:p>
        </w:tc>
        <w:tc>
          <w:tcPr>
            <w:tcW w:w="1384" w:type="dxa"/>
            <w:vAlign w:val="center"/>
          </w:tcPr>
          <w:p w14:paraId="0F24131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8</w:t>
            </w:r>
            <w:r>
              <w:rPr>
                <w:rFonts w:hint="eastAsia" w:ascii="宋体" w:hAnsi="宋体" w:eastAsia="宋体" w:cs="宋体"/>
                <w:color w:val="auto"/>
                <w:spacing w:val="5"/>
                <w:sz w:val="21"/>
                <w:szCs w:val="21"/>
              </w:rPr>
              <w:t>.1.1</w:t>
            </w:r>
          </w:p>
        </w:tc>
        <w:tc>
          <w:tcPr>
            <w:tcW w:w="7054" w:type="dxa"/>
            <w:tcBorders>
              <w:right w:val="single" w:color="000000" w:sz="6" w:space="0"/>
            </w:tcBorders>
            <w:vAlign w:val="center"/>
          </w:tcPr>
          <w:p w14:paraId="1E12C45E">
            <w:pPr>
              <w:keepLines w:val="0"/>
              <w:pageBreakBefore w:val="0"/>
              <w:widowControl w:val="0"/>
              <w:kinsoku/>
              <w:overflowPunct/>
              <w:topLinePunct w:val="0"/>
              <w:autoSpaceDE/>
              <w:autoSpaceDN/>
              <w:bidi w:val="0"/>
              <w:snapToGrid w:val="0"/>
              <w:spacing w:before="104" w:line="240" w:lineRule="auto"/>
              <w:ind w:left="105" w:leftChars="50" w:right="283" w:rightChars="0" w:firstLine="0" w:firstLineChars="0"/>
              <w:jc w:val="left"/>
              <w:textAlignment w:val="auto"/>
              <w:rPr>
                <w:rFonts w:hint="eastAsia" w:ascii="宋体" w:hAnsi="宋体" w:eastAsia="宋体" w:cs="宋体"/>
                <w:color w:val="auto"/>
                <w:spacing w:val="8"/>
                <w:sz w:val="21"/>
                <w:szCs w:val="21"/>
                <w:u w:val="single" w:color="auto"/>
              </w:rPr>
            </w:pPr>
            <w:r>
              <w:rPr>
                <w:rFonts w:hint="eastAsia" w:ascii="宋体" w:hAnsi="宋体" w:eastAsia="宋体" w:cs="宋体"/>
                <w:color w:val="auto"/>
                <w:spacing w:val="8"/>
                <w:sz w:val="21"/>
                <w:szCs w:val="21"/>
              </w:rPr>
              <w:t>发包人提供测量基准点、基准线和水准点及其书面资料的期限：</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2"/>
                <w:position w:val="1"/>
                <w:sz w:val="21"/>
                <w:szCs w:val="21"/>
                <w:u w:val="single"/>
              </w:rPr>
              <w:t>/</w:t>
            </w:r>
            <w:r>
              <w:rPr>
                <w:rFonts w:hint="eastAsia" w:ascii="宋体" w:hAnsi="宋体" w:cs="宋体"/>
                <w:color w:val="auto"/>
                <w:spacing w:val="2"/>
                <w:position w:val="1"/>
                <w:sz w:val="21"/>
                <w:szCs w:val="21"/>
                <w:u w:val="single"/>
                <w:lang w:val="en-US" w:eastAsia="zh-CN"/>
              </w:rPr>
              <w:t xml:space="preserve"> </w:t>
            </w:r>
          </w:p>
          <w:p w14:paraId="4F10CAB6">
            <w:pPr>
              <w:keepLines w:val="0"/>
              <w:pageBreakBefore w:val="0"/>
              <w:widowControl w:val="0"/>
              <w:kinsoku/>
              <w:overflowPunct/>
              <w:topLinePunct w:val="0"/>
              <w:autoSpaceDE/>
              <w:autoSpaceDN/>
              <w:bidi w:val="0"/>
              <w:snapToGrid w:val="0"/>
              <w:spacing w:before="104"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lang w:eastAsia="zh-CN"/>
              </w:rPr>
            </w:pPr>
            <w:r>
              <w:rPr>
                <w:rFonts w:hint="eastAsia" w:ascii="宋体" w:hAnsi="宋体" w:eastAsia="宋体" w:cs="宋体"/>
                <w:color w:val="auto"/>
                <w:spacing w:val="16"/>
                <w:sz w:val="21"/>
                <w:szCs w:val="21"/>
              </w:rPr>
              <w:t>承</w:t>
            </w:r>
            <w:r>
              <w:rPr>
                <w:rFonts w:hint="eastAsia" w:ascii="宋体" w:hAnsi="宋体" w:eastAsia="宋体" w:cs="宋体"/>
                <w:color w:val="auto"/>
                <w:spacing w:val="10"/>
                <w:sz w:val="21"/>
                <w:szCs w:val="21"/>
              </w:rPr>
              <w:t>包</w:t>
            </w:r>
            <w:r>
              <w:rPr>
                <w:rFonts w:hint="eastAsia" w:ascii="宋体" w:hAnsi="宋体" w:eastAsia="宋体" w:cs="宋体"/>
                <w:color w:val="auto"/>
                <w:spacing w:val="8"/>
                <w:sz w:val="21"/>
                <w:szCs w:val="21"/>
              </w:rPr>
              <w:t>人将施工控制网资料报送监理人审批的期限：</w:t>
            </w:r>
            <w:r>
              <w:rPr>
                <w:rFonts w:hint="eastAsia" w:ascii="宋体" w:hAnsi="宋体" w:cs="宋体"/>
                <w:color w:val="auto"/>
                <w:spacing w:val="5"/>
                <w:position w:val="1"/>
                <w:sz w:val="21"/>
                <w:szCs w:val="21"/>
                <w:u w:val="single"/>
                <w:lang w:val="en-US" w:eastAsia="zh-CN"/>
              </w:rPr>
              <w:t xml:space="preserve"> </w:t>
            </w:r>
            <w:r>
              <w:rPr>
                <w:rFonts w:hint="eastAsia" w:ascii="宋体" w:hAnsi="宋体" w:eastAsia="宋体" w:cs="宋体"/>
                <w:color w:val="auto"/>
                <w:spacing w:val="5"/>
                <w:position w:val="1"/>
                <w:sz w:val="21"/>
                <w:szCs w:val="21"/>
                <w:u w:val="single"/>
              </w:rPr>
              <w:t>/</w:t>
            </w:r>
            <w:r>
              <w:rPr>
                <w:rFonts w:hint="eastAsia" w:ascii="宋体" w:hAnsi="宋体" w:cs="宋体"/>
                <w:color w:val="auto"/>
                <w:spacing w:val="5"/>
                <w:position w:val="1"/>
                <w:sz w:val="21"/>
                <w:szCs w:val="21"/>
                <w:u w:val="single"/>
                <w:lang w:val="en-US" w:eastAsia="zh-CN"/>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FD361EF">
            <w:pPr>
              <w:keepLines w:val="0"/>
              <w:pageBreakBefore w:val="0"/>
              <w:widowControl w:val="0"/>
              <w:kinsoku/>
              <w:overflowPunct/>
              <w:topLinePunct w:val="0"/>
              <w:autoSpaceDE/>
              <w:autoSpaceDN/>
              <w:bidi w:val="0"/>
              <w:snapToGrid w:val="0"/>
              <w:spacing w:before="132"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0</w:t>
            </w:r>
          </w:p>
        </w:tc>
        <w:tc>
          <w:tcPr>
            <w:tcW w:w="1384" w:type="dxa"/>
            <w:vAlign w:val="center"/>
          </w:tcPr>
          <w:p w14:paraId="6BFB490F">
            <w:pPr>
              <w:keepLines w:val="0"/>
              <w:pageBreakBefore w:val="0"/>
              <w:widowControl w:val="0"/>
              <w:kinsoku/>
              <w:overflowPunct/>
              <w:topLinePunct w:val="0"/>
              <w:autoSpaceDE/>
              <w:autoSpaceDN/>
              <w:bidi w:val="0"/>
              <w:snapToGrid w:val="0"/>
              <w:spacing w:before="95"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1"/>
                <w:sz w:val="21"/>
                <w:szCs w:val="21"/>
              </w:rPr>
              <w:t>11</w:t>
            </w:r>
            <w:r>
              <w:rPr>
                <w:rFonts w:hint="eastAsia" w:ascii="宋体" w:hAnsi="宋体" w:eastAsia="宋体" w:cs="宋体"/>
                <w:color w:val="auto"/>
                <w:sz w:val="21"/>
                <w:szCs w:val="21"/>
              </w:rPr>
              <w:t>.5(3)</w:t>
            </w:r>
          </w:p>
        </w:tc>
        <w:tc>
          <w:tcPr>
            <w:tcW w:w="7054" w:type="dxa"/>
            <w:tcBorders>
              <w:right w:val="single" w:color="000000" w:sz="6" w:space="0"/>
            </w:tcBorders>
            <w:vAlign w:val="center"/>
          </w:tcPr>
          <w:p w14:paraId="68F0117F">
            <w:pPr>
              <w:keepLines w:val="0"/>
              <w:pageBreakBefore w:val="0"/>
              <w:widowControl w:val="0"/>
              <w:kinsoku/>
              <w:overflowPunct/>
              <w:topLinePunct w:val="0"/>
              <w:autoSpaceDE/>
              <w:autoSpaceDN/>
              <w:bidi w:val="0"/>
              <w:snapToGrid w:val="0"/>
              <w:spacing w:before="104"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12"/>
                <w:sz w:val="21"/>
                <w:szCs w:val="21"/>
                <w:highlight w:val="none"/>
              </w:rPr>
              <w:t>逾期</w:t>
            </w:r>
            <w:r>
              <w:rPr>
                <w:rFonts w:hint="eastAsia" w:ascii="宋体" w:hAnsi="宋体" w:eastAsia="宋体" w:cs="宋体"/>
                <w:color w:val="auto"/>
                <w:spacing w:val="7"/>
                <w:sz w:val="21"/>
                <w:szCs w:val="21"/>
                <w:highlight w:val="none"/>
              </w:rPr>
              <w:t>交</w:t>
            </w:r>
            <w:r>
              <w:rPr>
                <w:rFonts w:hint="eastAsia" w:ascii="宋体" w:hAnsi="宋体" w:eastAsia="宋体" w:cs="宋体"/>
                <w:color w:val="auto"/>
                <w:spacing w:val="6"/>
                <w:sz w:val="21"/>
                <w:szCs w:val="21"/>
                <w:highlight w:val="none"/>
              </w:rPr>
              <w:t>工违约金：</w:t>
            </w:r>
            <w:r>
              <w:rPr>
                <w:rFonts w:hint="eastAsia" w:ascii="宋体" w:hAnsi="宋体" w:eastAsia="宋体" w:cs="宋体"/>
                <w:color w:val="auto"/>
                <w:spacing w:val="6"/>
                <w:sz w:val="21"/>
                <w:szCs w:val="21"/>
                <w:highlight w:val="none"/>
                <w:u w:val="single" w:color="auto"/>
              </w:rPr>
              <w:t>2万</w:t>
            </w:r>
            <w:r>
              <w:rPr>
                <w:rFonts w:hint="eastAsia" w:ascii="宋体" w:hAnsi="宋体" w:eastAsia="宋体" w:cs="宋体"/>
                <w:color w:val="auto"/>
                <w:spacing w:val="6"/>
                <w:sz w:val="21"/>
                <w:szCs w:val="21"/>
                <w:highlight w:val="none"/>
              </w:rPr>
              <w:t>元/天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E3CCA2D">
            <w:pPr>
              <w:keepLines w:val="0"/>
              <w:pageBreakBefore w:val="0"/>
              <w:widowControl w:val="0"/>
              <w:kinsoku/>
              <w:overflowPunct/>
              <w:topLinePunct w:val="0"/>
              <w:autoSpaceDE/>
              <w:autoSpaceDN/>
              <w:bidi w:val="0"/>
              <w:snapToGrid w:val="0"/>
              <w:spacing w:before="133"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1</w:t>
            </w:r>
          </w:p>
        </w:tc>
        <w:tc>
          <w:tcPr>
            <w:tcW w:w="1384" w:type="dxa"/>
            <w:vAlign w:val="center"/>
          </w:tcPr>
          <w:p w14:paraId="2D04DAB0">
            <w:pPr>
              <w:keepLines w:val="0"/>
              <w:pageBreakBefore w:val="0"/>
              <w:widowControl w:val="0"/>
              <w:kinsoku/>
              <w:overflowPunct/>
              <w:topLinePunct w:val="0"/>
              <w:autoSpaceDE/>
              <w:autoSpaceDN/>
              <w:bidi w:val="0"/>
              <w:snapToGrid w:val="0"/>
              <w:spacing w:before="96"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1"/>
                <w:sz w:val="21"/>
                <w:szCs w:val="21"/>
              </w:rPr>
              <w:t>11</w:t>
            </w:r>
            <w:r>
              <w:rPr>
                <w:rFonts w:hint="eastAsia" w:ascii="宋体" w:hAnsi="宋体" w:eastAsia="宋体" w:cs="宋体"/>
                <w:color w:val="auto"/>
                <w:sz w:val="21"/>
                <w:szCs w:val="21"/>
              </w:rPr>
              <w:t>.5(3)</w:t>
            </w:r>
          </w:p>
        </w:tc>
        <w:tc>
          <w:tcPr>
            <w:tcW w:w="7054" w:type="dxa"/>
            <w:tcBorders>
              <w:right w:val="single" w:color="000000" w:sz="6" w:space="0"/>
            </w:tcBorders>
            <w:vAlign w:val="center"/>
          </w:tcPr>
          <w:p w14:paraId="44FE3CB5">
            <w:pPr>
              <w:keepLines w:val="0"/>
              <w:pageBreakBefore w:val="0"/>
              <w:widowControl w:val="0"/>
              <w:kinsoku/>
              <w:overflowPunct/>
              <w:topLinePunct w:val="0"/>
              <w:autoSpaceDE/>
              <w:autoSpaceDN/>
              <w:bidi w:val="0"/>
              <w:snapToGrid w:val="0"/>
              <w:spacing w:before="105"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8"/>
                <w:sz w:val="21"/>
                <w:szCs w:val="21"/>
                <w:highlight w:val="none"/>
              </w:rPr>
              <w:t>逾期交工违约金限额：</w:t>
            </w:r>
            <w:r>
              <w:rPr>
                <w:rFonts w:hint="eastAsia" w:ascii="宋体" w:hAnsi="宋体" w:eastAsia="宋体" w:cs="宋体"/>
                <w:color w:val="auto"/>
                <w:spacing w:val="8"/>
                <w:sz w:val="21"/>
                <w:szCs w:val="21"/>
                <w:highlight w:val="none"/>
                <w:u w:val="single" w:color="auto"/>
              </w:rPr>
              <w:t>10</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签约合同价</w:t>
            </w:r>
            <w:r>
              <w:rPr>
                <w:rStyle w:val="48"/>
                <w:rFonts w:hint="eastAsia" w:ascii="宋体" w:hAnsi="宋体" w:eastAsia="宋体" w:cs="宋体"/>
                <w:color w:val="auto"/>
                <w:sz w:val="21"/>
                <w:szCs w:val="21"/>
                <w:highlight w:val="none"/>
              </w:rPr>
              <w:footnoteReference w:id="34"/>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1E56F9D">
            <w:pPr>
              <w:keepLines w:val="0"/>
              <w:pageBreakBefore w:val="0"/>
              <w:widowControl w:val="0"/>
              <w:kinsoku/>
              <w:overflowPunct/>
              <w:topLinePunct w:val="0"/>
              <w:autoSpaceDE/>
              <w:autoSpaceDN/>
              <w:bidi w:val="0"/>
              <w:snapToGrid w:val="0"/>
              <w:spacing w:before="133"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2</w:t>
            </w:r>
          </w:p>
        </w:tc>
        <w:tc>
          <w:tcPr>
            <w:tcW w:w="1384" w:type="dxa"/>
            <w:vAlign w:val="center"/>
          </w:tcPr>
          <w:p w14:paraId="76F9AB1B">
            <w:pPr>
              <w:keepLines w:val="0"/>
              <w:pageBreakBefore w:val="0"/>
              <w:widowControl w:val="0"/>
              <w:kinsoku/>
              <w:overflowPunct/>
              <w:topLinePunct w:val="0"/>
              <w:autoSpaceDE/>
              <w:autoSpaceDN/>
              <w:bidi w:val="0"/>
              <w:snapToGrid w:val="0"/>
              <w:spacing w:before="133"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3"/>
                <w:sz w:val="21"/>
                <w:szCs w:val="21"/>
              </w:rPr>
              <w:t>1</w:t>
            </w:r>
            <w:r>
              <w:rPr>
                <w:rFonts w:hint="eastAsia" w:ascii="宋体" w:hAnsi="宋体" w:eastAsia="宋体" w:cs="宋体"/>
                <w:color w:val="auto"/>
                <w:spacing w:val="-2"/>
                <w:sz w:val="21"/>
                <w:szCs w:val="21"/>
              </w:rPr>
              <w:t>1.6</w:t>
            </w:r>
          </w:p>
        </w:tc>
        <w:tc>
          <w:tcPr>
            <w:tcW w:w="7054" w:type="dxa"/>
            <w:tcBorders>
              <w:right w:val="single" w:color="000000" w:sz="6" w:space="0"/>
            </w:tcBorders>
            <w:vAlign w:val="center"/>
          </w:tcPr>
          <w:p w14:paraId="32F29881">
            <w:pPr>
              <w:keepLines w:val="0"/>
              <w:pageBreakBefore w:val="0"/>
              <w:widowControl w:val="0"/>
              <w:kinsoku/>
              <w:overflowPunct/>
              <w:topLinePunct w:val="0"/>
              <w:autoSpaceDE/>
              <w:autoSpaceDN/>
              <w:bidi w:val="0"/>
              <w:snapToGrid w:val="0"/>
              <w:spacing w:before="105"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4"/>
                <w:position w:val="1"/>
                <w:sz w:val="21"/>
                <w:szCs w:val="21"/>
              </w:rPr>
              <w:t>提前完工</w:t>
            </w:r>
            <w:r>
              <w:rPr>
                <w:rFonts w:hint="eastAsia" w:ascii="宋体" w:hAnsi="宋体" w:eastAsia="宋体" w:cs="宋体"/>
                <w:color w:val="auto"/>
                <w:spacing w:val="3"/>
                <w:position w:val="1"/>
                <w:sz w:val="21"/>
                <w:szCs w:val="21"/>
              </w:rPr>
              <w:t>的</w:t>
            </w:r>
            <w:r>
              <w:rPr>
                <w:rFonts w:hint="eastAsia" w:ascii="宋体" w:hAnsi="宋体" w:eastAsia="宋体" w:cs="宋体"/>
                <w:color w:val="auto"/>
                <w:spacing w:val="2"/>
                <w:position w:val="1"/>
                <w:sz w:val="21"/>
                <w:szCs w:val="21"/>
              </w:rPr>
              <w:t>奖金，规定为：</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2"/>
                <w:position w:val="1"/>
                <w:sz w:val="21"/>
                <w:szCs w:val="21"/>
                <w:u w:val="single"/>
              </w:rPr>
              <w:t>/</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2"/>
                <w:position w:val="1"/>
                <w:sz w:val="21"/>
                <w:szCs w:val="21"/>
              </w:rPr>
              <w:t>元/天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D1DD4CD">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3</w:t>
            </w:r>
          </w:p>
        </w:tc>
        <w:tc>
          <w:tcPr>
            <w:tcW w:w="1384" w:type="dxa"/>
            <w:vAlign w:val="center"/>
          </w:tcPr>
          <w:p w14:paraId="735B5F20">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3"/>
                <w:sz w:val="21"/>
                <w:szCs w:val="21"/>
              </w:rPr>
              <w:t>1</w:t>
            </w:r>
            <w:r>
              <w:rPr>
                <w:rFonts w:hint="eastAsia" w:ascii="宋体" w:hAnsi="宋体" w:eastAsia="宋体" w:cs="宋体"/>
                <w:color w:val="auto"/>
                <w:spacing w:val="-2"/>
                <w:sz w:val="21"/>
                <w:szCs w:val="21"/>
              </w:rPr>
              <w:t>1.6</w:t>
            </w:r>
          </w:p>
        </w:tc>
        <w:tc>
          <w:tcPr>
            <w:tcW w:w="7054" w:type="dxa"/>
            <w:tcBorders>
              <w:right w:val="single" w:color="000000" w:sz="6" w:space="0"/>
            </w:tcBorders>
            <w:vAlign w:val="center"/>
          </w:tcPr>
          <w:p w14:paraId="09064676">
            <w:pPr>
              <w:keepLines w:val="0"/>
              <w:pageBreakBefore w:val="0"/>
              <w:widowControl w:val="0"/>
              <w:kinsoku/>
              <w:overflowPunct/>
              <w:topLinePunct w:val="0"/>
              <w:autoSpaceDE/>
              <w:autoSpaceDN/>
              <w:bidi w:val="0"/>
              <w:snapToGrid w:val="0"/>
              <w:spacing w:before="122"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4"/>
                <w:position w:val="1"/>
                <w:sz w:val="21"/>
                <w:szCs w:val="21"/>
              </w:rPr>
              <w:t>提前完工的奖金限额，规定为：</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2"/>
                <w:position w:val="1"/>
                <w:sz w:val="21"/>
                <w:szCs w:val="21"/>
                <w:u w:val="single"/>
              </w:rPr>
              <w:t>/</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4"/>
                <w:position w:val="1"/>
                <w:sz w:val="21"/>
                <w:szCs w:val="21"/>
              </w:rPr>
              <w:t>%签约合同</w:t>
            </w:r>
            <w:r>
              <w:rPr>
                <w:rFonts w:hint="eastAsia" w:ascii="宋体" w:hAnsi="宋体" w:eastAsia="宋体" w:cs="宋体"/>
                <w:color w:val="auto"/>
                <w:spacing w:val="2"/>
                <w:position w:val="1"/>
                <w:sz w:val="21"/>
                <w:szCs w:val="21"/>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BE8CBA9">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4</w:t>
            </w:r>
          </w:p>
        </w:tc>
        <w:tc>
          <w:tcPr>
            <w:tcW w:w="1384" w:type="dxa"/>
            <w:vAlign w:val="center"/>
          </w:tcPr>
          <w:p w14:paraId="596ACA97">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14.6</w:t>
            </w:r>
          </w:p>
        </w:tc>
        <w:tc>
          <w:tcPr>
            <w:tcW w:w="7054" w:type="dxa"/>
            <w:tcBorders>
              <w:right w:val="single" w:color="000000" w:sz="6" w:space="0"/>
            </w:tcBorders>
            <w:vAlign w:val="center"/>
          </w:tcPr>
          <w:p w14:paraId="01915B9A">
            <w:pPr>
              <w:keepLines w:val="0"/>
              <w:pageBreakBefore w:val="0"/>
              <w:widowControl w:val="0"/>
              <w:kinsoku/>
              <w:overflowPunct/>
              <w:topLinePunct w:val="0"/>
              <w:autoSpaceDE/>
              <w:autoSpaceDN/>
              <w:bidi w:val="0"/>
              <w:snapToGrid w:val="0"/>
              <w:spacing w:before="161"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14"/>
                <w:position w:val="15"/>
                <w:sz w:val="21"/>
                <w:szCs w:val="21"/>
              </w:rPr>
              <w:t>承</w:t>
            </w:r>
            <w:r>
              <w:rPr>
                <w:rFonts w:hint="eastAsia" w:ascii="宋体" w:hAnsi="宋体" w:eastAsia="宋体" w:cs="宋体"/>
                <w:color w:val="auto"/>
                <w:spacing w:val="12"/>
                <w:position w:val="15"/>
                <w:sz w:val="21"/>
                <w:szCs w:val="21"/>
              </w:rPr>
              <w:t>包人设立试验室的相关要求：必须满足《辽宁省公路水运工程建设项目工地试验室备案管理标准》(辽交工监市发〔2013〕133号)</w:t>
            </w:r>
            <w:r>
              <w:rPr>
                <w:rFonts w:hint="eastAsia" w:ascii="宋体" w:hAnsi="宋体" w:eastAsia="宋体" w:cs="宋体"/>
                <w:color w:val="auto"/>
                <w:spacing w:val="4"/>
                <w:sz w:val="21"/>
                <w:szCs w:val="21"/>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4B45929">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5</w:t>
            </w:r>
          </w:p>
        </w:tc>
        <w:tc>
          <w:tcPr>
            <w:tcW w:w="1384" w:type="dxa"/>
            <w:vAlign w:val="center"/>
          </w:tcPr>
          <w:p w14:paraId="5F049AB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5.2</w:t>
            </w:r>
          </w:p>
        </w:tc>
        <w:tc>
          <w:tcPr>
            <w:tcW w:w="7054" w:type="dxa"/>
            <w:tcBorders>
              <w:right w:val="single" w:color="000000" w:sz="6" w:space="0"/>
            </w:tcBorders>
            <w:vAlign w:val="center"/>
          </w:tcPr>
          <w:p w14:paraId="2A5831BB">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2"/>
                <w:sz w:val="21"/>
                <w:szCs w:val="21"/>
              </w:rPr>
              <w:t>出</w:t>
            </w:r>
            <w:r>
              <w:rPr>
                <w:rFonts w:hint="eastAsia" w:ascii="宋体" w:hAnsi="宋体" w:eastAsia="宋体" w:cs="宋体"/>
                <w:color w:val="auto"/>
                <w:spacing w:val="18"/>
                <w:sz w:val="21"/>
                <w:szCs w:val="21"/>
              </w:rPr>
              <w:t>现</w:t>
            </w:r>
            <w:r>
              <w:rPr>
                <w:rFonts w:hint="eastAsia" w:ascii="宋体" w:hAnsi="宋体" w:eastAsia="宋体" w:cs="宋体"/>
                <w:color w:val="auto"/>
                <w:spacing w:val="11"/>
                <w:sz w:val="21"/>
                <w:szCs w:val="21"/>
              </w:rPr>
              <w:t>施工图设计文件本身存在错误和缺陷，导致施工图设计文件必须修改和补</w:t>
            </w:r>
            <w:r>
              <w:rPr>
                <w:rFonts w:hint="eastAsia" w:ascii="宋体" w:hAnsi="宋体" w:eastAsia="宋体" w:cs="宋体"/>
                <w:color w:val="auto"/>
                <w:spacing w:val="12"/>
                <w:sz w:val="21"/>
                <w:szCs w:val="21"/>
              </w:rPr>
              <w:t>充所导致的变更，仅当发包人对上述变更批准同意后，方可作为本合同工程的</w:t>
            </w:r>
            <w:r>
              <w:rPr>
                <w:rFonts w:hint="eastAsia" w:ascii="宋体" w:hAnsi="宋体" w:eastAsia="宋体" w:cs="宋体"/>
                <w:color w:val="auto"/>
                <w:spacing w:val="11"/>
                <w:sz w:val="21"/>
                <w:szCs w:val="21"/>
              </w:rPr>
              <w:t>变</w:t>
            </w:r>
            <w:r>
              <w:rPr>
                <w:rFonts w:hint="eastAsia" w:ascii="宋体" w:hAnsi="宋体" w:eastAsia="宋体" w:cs="宋体"/>
                <w:color w:val="auto"/>
                <w:spacing w:val="6"/>
                <w:sz w:val="21"/>
                <w:szCs w:val="21"/>
              </w:rPr>
              <w:t>更</w:t>
            </w:r>
            <w:r>
              <w:rPr>
                <w:rFonts w:hint="eastAsia" w:ascii="宋体" w:hAnsi="宋体" w:eastAsia="宋体" w:cs="宋体"/>
                <w:color w:val="auto"/>
                <w:spacing w:val="4"/>
                <w:sz w:val="21"/>
                <w:szCs w:val="21"/>
              </w:rPr>
              <w:t>情形。</w:t>
            </w:r>
          </w:p>
          <w:p w14:paraId="7911E231">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15"/>
                <w:sz w:val="21"/>
                <w:szCs w:val="21"/>
              </w:rPr>
              <w:t>在</w:t>
            </w:r>
            <w:r>
              <w:rPr>
                <w:rFonts w:hint="eastAsia" w:ascii="宋体" w:hAnsi="宋体" w:eastAsia="宋体" w:cs="宋体"/>
                <w:color w:val="auto"/>
                <w:spacing w:val="8"/>
                <w:sz w:val="21"/>
                <w:szCs w:val="21"/>
              </w:rPr>
              <w:t>履行合同过程中，经发包人同意，监理人可按第15.3款约定的变更程序向承</w:t>
            </w:r>
            <w:r>
              <w:rPr>
                <w:rFonts w:hint="eastAsia" w:ascii="宋体" w:hAnsi="宋体" w:eastAsia="宋体" w:cs="宋体"/>
                <w:color w:val="auto"/>
                <w:spacing w:val="14"/>
                <w:sz w:val="21"/>
                <w:szCs w:val="21"/>
              </w:rPr>
              <w:t>包</w:t>
            </w:r>
            <w:r>
              <w:rPr>
                <w:rFonts w:hint="eastAsia" w:ascii="宋体" w:hAnsi="宋体" w:eastAsia="宋体" w:cs="宋体"/>
                <w:color w:val="auto"/>
                <w:spacing w:val="12"/>
                <w:sz w:val="21"/>
                <w:szCs w:val="21"/>
              </w:rPr>
              <w:t>人作出变更指示，承包人应遵照执行。没有监理人的变更指示，承包人不得擅</w:t>
            </w:r>
            <w:r>
              <w:rPr>
                <w:rFonts w:hint="eastAsia" w:ascii="宋体" w:hAnsi="宋体" w:eastAsia="宋体" w:cs="宋体"/>
                <w:color w:val="auto"/>
                <w:spacing w:val="-5"/>
                <w:sz w:val="21"/>
                <w:szCs w:val="21"/>
              </w:rPr>
              <w:t>自</w:t>
            </w:r>
            <w:r>
              <w:rPr>
                <w:rFonts w:hint="eastAsia" w:ascii="宋体" w:hAnsi="宋体" w:eastAsia="宋体" w:cs="宋体"/>
                <w:color w:val="auto"/>
                <w:spacing w:val="-3"/>
                <w:sz w:val="21"/>
                <w:szCs w:val="21"/>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DF828C6">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6</w:t>
            </w:r>
          </w:p>
        </w:tc>
        <w:tc>
          <w:tcPr>
            <w:tcW w:w="1384" w:type="dxa"/>
            <w:vAlign w:val="center"/>
          </w:tcPr>
          <w:p w14:paraId="60F850C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15.3.4</w:t>
            </w:r>
          </w:p>
        </w:tc>
        <w:tc>
          <w:tcPr>
            <w:tcW w:w="7054" w:type="dxa"/>
            <w:tcBorders>
              <w:right w:val="single" w:color="000000" w:sz="6" w:space="0"/>
            </w:tcBorders>
            <w:vAlign w:val="center"/>
          </w:tcPr>
          <w:p w14:paraId="55630A09">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8"/>
                <w:position w:val="14"/>
                <w:sz w:val="21"/>
                <w:szCs w:val="21"/>
              </w:rPr>
              <w:t>本</w:t>
            </w:r>
            <w:r>
              <w:rPr>
                <w:rFonts w:hint="eastAsia" w:ascii="宋体" w:hAnsi="宋体" w:eastAsia="宋体" w:cs="宋体"/>
                <w:color w:val="auto"/>
                <w:spacing w:val="11"/>
                <w:position w:val="14"/>
                <w:sz w:val="21"/>
                <w:szCs w:val="21"/>
              </w:rPr>
              <w:t>项</w:t>
            </w:r>
            <w:r>
              <w:rPr>
                <w:rFonts w:hint="eastAsia" w:ascii="宋体" w:hAnsi="宋体" w:eastAsia="宋体" w:cs="宋体"/>
                <w:color w:val="auto"/>
                <w:spacing w:val="9"/>
                <w:position w:val="14"/>
                <w:sz w:val="21"/>
                <w:szCs w:val="21"/>
              </w:rPr>
              <w:t>目设计变更的程序按行业主管部门、项目管理法人制定的规定执行。</w:t>
            </w:r>
          </w:p>
          <w:p w14:paraId="6B9A0938">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9"/>
                <w:sz w:val="21"/>
                <w:szCs w:val="21"/>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38315C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7</w:t>
            </w:r>
          </w:p>
        </w:tc>
        <w:tc>
          <w:tcPr>
            <w:tcW w:w="1384" w:type="dxa"/>
            <w:vAlign w:val="center"/>
          </w:tcPr>
          <w:p w14:paraId="01DE3935">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5.4</w:t>
            </w:r>
          </w:p>
        </w:tc>
        <w:tc>
          <w:tcPr>
            <w:tcW w:w="7054" w:type="dxa"/>
            <w:tcBorders>
              <w:right w:val="single" w:color="000000" w:sz="6" w:space="0"/>
            </w:tcBorders>
            <w:vAlign w:val="center"/>
          </w:tcPr>
          <w:p w14:paraId="09C5C616">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1</w:t>
            </w:r>
            <w:r>
              <w:rPr>
                <w:rFonts w:hint="eastAsia" w:ascii="宋体" w:hAnsi="宋体" w:eastAsia="宋体" w:cs="宋体"/>
                <w:color w:val="auto"/>
                <w:spacing w:val="5"/>
                <w:sz w:val="21"/>
                <w:szCs w:val="21"/>
              </w:rPr>
              <w:t>5.4变更的估价原则</w:t>
            </w:r>
          </w:p>
          <w:p w14:paraId="1C526CF3">
            <w:pPr>
              <w:keepLines w:val="0"/>
              <w:pageBreakBefore w:val="0"/>
              <w:widowControl w:val="0"/>
              <w:kinsoku/>
              <w:overflowPunct/>
              <w:topLinePunct w:val="0"/>
              <w:autoSpaceDE/>
              <w:autoSpaceDN/>
              <w:bidi w:val="0"/>
              <w:snapToGrid w:val="0"/>
              <w:spacing w:before="155"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9"/>
                <w:sz w:val="21"/>
                <w:szCs w:val="21"/>
              </w:rPr>
              <w:t>本</w:t>
            </w:r>
            <w:r>
              <w:rPr>
                <w:rFonts w:hint="eastAsia" w:ascii="宋体" w:hAnsi="宋体" w:eastAsia="宋体" w:cs="宋体"/>
                <w:color w:val="auto"/>
                <w:spacing w:val="6"/>
                <w:sz w:val="21"/>
                <w:szCs w:val="21"/>
              </w:rPr>
              <w:t>款细化为：</w:t>
            </w:r>
          </w:p>
          <w:p w14:paraId="30D46B6A">
            <w:pPr>
              <w:keepLines w:val="0"/>
              <w:pageBreakBefore w:val="0"/>
              <w:widowControl w:val="0"/>
              <w:kinsoku/>
              <w:overflowPunct/>
              <w:topLinePunct w:val="0"/>
              <w:autoSpaceDE/>
              <w:autoSpaceDN/>
              <w:bidi w:val="0"/>
              <w:snapToGrid w:val="0"/>
              <w:spacing w:before="154"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15</w:t>
            </w:r>
            <w:r>
              <w:rPr>
                <w:rFonts w:hint="eastAsia" w:ascii="宋体" w:hAnsi="宋体" w:eastAsia="宋体" w:cs="宋体"/>
                <w:color w:val="auto"/>
                <w:spacing w:val="9"/>
                <w:sz w:val="21"/>
                <w:szCs w:val="21"/>
              </w:rPr>
              <w:t>.</w:t>
            </w:r>
            <w:r>
              <w:rPr>
                <w:rFonts w:hint="eastAsia" w:ascii="宋体" w:hAnsi="宋体" w:eastAsia="宋体" w:cs="宋体"/>
                <w:color w:val="auto"/>
                <w:spacing w:val="5"/>
                <w:sz w:val="21"/>
                <w:szCs w:val="21"/>
              </w:rPr>
              <w:t>4.1如果取消某项工作，则该项工作的总额价不予支付。</w:t>
            </w:r>
          </w:p>
          <w:p w14:paraId="68A4817D">
            <w:pPr>
              <w:keepLines w:val="0"/>
              <w:pageBreakBefore w:val="0"/>
              <w:widowControl w:val="0"/>
              <w:kinsoku/>
              <w:overflowPunct/>
              <w:topLinePunct w:val="0"/>
              <w:autoSpaceDE/>
              <w:autoSpaceDN/>
              <w:bidi w:val="0"/>
              <w:snapToGrid w:val="0"/>
              <w:spacing w:before="15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15.4.2已标价工程量清单中有适用于变更工作的子目的，采用该子目的单价</w:t>
            </w:r>
            <w:r>
              <w:rPr>
                <w:rFonts w:hint="eastAsia" w:ascii="宋体" w:hAnsi="宋体" w:eastAsia="宋体" w:cs="宋体"/>
                <w:color w:val="auto"/>
                <w:sz w:val="21"/>
                <w:szCs w:val="21"/>
              </w:rPr>
              <w:t>。</w:t>
            </w:r>
          </w:p>
          <w:p w14:paraId="7D7D91F1">
            <w:pPr>
              <w:keepLines w:val="0"/>
              <w:pageBreakBefore w:val="0"/>
              <w:widowControl w:val="0"/>
              <w:kinsoku/>
              <w:overflowPunct/>
              <w:topLinePunct w:val="0"/>
              <w:autoSpaceDE/>
              <w:autoSpaceDN/>
              <w:bidi w:val="0"/>
              <w:snapToGrid w:val="0"/>
              <w:spacing w:before="156"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8"/>
                <w:sz w:val="21"/>
                <w:szCs w:val="21"/>
              </w:rPr>
              <w:t>1</w:t>
            </w:r>
            <w:r>
              <w:rPr>
                <w:rFonts w:hint="eastAsia" w:ascii="宋体" w:hAnsi="宋体" w:eastAsia="宋体" w:cs="宋体"/>
                <w:color w:val="auto"/>
                <w:spacing w:val="14"/>
                <w:sz w:val="21"/>
                <w:szCs w:val="21"/>
              </w:rPr>
              <w:t>5</w:t>
            </w:r>
            <w:r>
              <w:rPr>
                <w:rFonts w:hint="eastAsia" w:ascii="宋体" w:hAnsi="宋体" w:eastAsia="宋体" w:cs="宋体"/>
                <w:color w:val="auto"/>
                <w:spacing w:val="9"/>
                <w:sz w:val="21"/>
                <w:szCs w:val="21"/>
              </w:rPr>
              <w:t>.4.3已标价工程量清单中无适用于变更工作的子目，但有类似子目的，可在</w:t>
            </w:r>
            <w:r>
              <w:rPr>
                <w:rFonts w:hint="eastAsia" w:ascii="宋体" w:hAnsi="宋体" w:eastAsia="宋体" w:cs="宋体"/>
                <w:color w:val="auto"/>
                <w:spacing w:val="15"/>
                <w:sz w:val="21"/>
                <w:szCs w:val="21"/>
              </w:rPr>
              <w:t>合</w:t>
            </w:r>
            <w:r>
              <w:rPr>
                <w:rFonts w:hint="eastAsia" w:ascii="宋体" w:hAnsi="宋体" w:eastAsia="宋体" w:cs="宋体"/>
                <w:color w:val="auto"/>
                <w:spacing w:val="8"/>
                <w:sz w:val="21"/>
                <w:szCs w:val="21"/>
              </w:rPr>
              <w:t>理范围内参照类似子目的单价，由监理人按第3.5款商定或确定变更工作的单</w:t>
            </w:r>
            <w:r>
              <w:rPr>
                <w:rFonts w:hint="eastAsia" w:ascii="宋体" w:hAnsi="宋体" w:eastAsia="宋体" w:cs="宋体"/>
                <w:color w:val="auto"/>
                <w:sz w:val="21"/>
                <w:szCs w:val="21"/>
              </w:rPr>
              <w:t>价。</w:t>
            </w:r>
          </w:p>
          <w:p w14:paraId="0870E032">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8"/>
                <w:sz w:val="21"/>
                <w:szCs w:val="21"/>
              </w:rPr>
              <w:t>1</w:t>
            </w:r>
            <w:r>
              <w:rPr>
                <w:rFonts w:hint="eastAsia" w:ascii="宋体" w:hAnsi="宋体" w:eastAsia="宋体" w:cs="宋体"/>
                <w:color w:val="auto"/>
                <w:spacing w:val="14"/>
                <w:sz w:val="21"/>
                <w:szCs w:val="21"/>
              </w:rPr>
              <w:t>5</w:t>
            </w:r>
            <w:r>
              <w:rPr>
                <w:rFonts w:hint="eastAsia" w:ascii="宋体" w:hAnsi="宋体" w:eastAsia="宋体" w:cs="宋体"/>
                <w:color w:val="auto"/>
                <w:spacing w:val="9"/>
                <w:sz w:val="21"/>
                <w:szCs w:val="21"/>
              </w:rPr>
              <w:t>.4.4已标价工程量清单中无适用或类似子目的单价，可在综合考虑承包人在</w:t>
            </w:r>
            <w:r>
              <w:rPr>
                <w:rFonts w:hint="eastAsia" w:ascii="宋体" w:hAnsi="宋体" w:eastAsia="宋体" w:cs="宋体"/>
                <w:color w:val="auto"/>
                <w:spacing w:val="13"/>
                <w:sz w:val="21"/>
                <w:szCs w:val="21"/>
              </w:rPr>
              <w:t>投</w:t>
            </w:r>
            <w:r>
              <w:rPr>
                <w:rFonts w:hint="eastAsia" w:ascii="宋体" w:hAnsi="宋体" w:eastAsia="宋体" w:cs="宋体"/>
                <w:color w:val="auto"/>
                <w:spacing w:val="12"/>
                <w:sz w:val="21"/>
                <w:szCs w:val="21"/>
              </w:rPr>
              <w:t>标时所提供的单价分析表的基础上，参照《公路工程建设项目概算预算编制办</w:t>
            </w:r>
            <w:r>
              <w:rPr>
                <w:rFonts w:hint="eastAsia" w:ascii="宋体" w:hAnsi="宋体" w:eastAsia="宋体" w:cs="宋体"/>
                <w:color w:val="auto"/>
                <w:spacing w:val="10"/>
                <w:sz w:val="21"/>
                <w:szCs w:val="21"/>
              </w:rPr>
              <w:t>法》和《</w:t>
            </w:r>
            <w:r>
              <w:rPr>
                <w:rFonts w:hint="eastAsia" w:ascii="宋体" w:hAnsi="宋体" w:eastAsia="宋体" w:cs="宋体"/>
                <w:color w:val="auto"/>
                <w:spacing w:val="9"/>
                <w:sz w:val="21"/>
                <w:szCs w:val="21"/>
              </w:rPr>
              <w:t>公</w:t>
            </w:r>
            <w:r>
              <w:rPr>
                <w:rFonts w:hint="eastAsia" w:ascii="宋体" w:hAnsi="宋体" w:eastAsia="宋体" w:cs="宋体"/>
                <w:color w:val="auto"/>
                <w:spacing w:val="5"/>
                <w:sz w:val="21"/>
                <w:szCs w:val="21"/>
              </w:rPr>
              <w:t>路工程预算定额》进行计算，由监理人按第3.5款商定或确定变更工作</w:t>
            </w:r>
            <w:r>
              <w:rPr>
                <w:rFonts w:hint="eastAsia" w:ascii="宋体" w:hAnsi="宋体" w:eastAsia="宋体" w:cs="宋体"/>
                <w:color w:val="auto"/>
                <w:spacing w:val="15"/>
                <w:sz w:val="21"/>
                <w:szCs w:val="21"/>
              </w:rPr>
              <w:t>的</w:t>
            </w:r>
            <w:r>
              <w:rPr>
                <w:rFonts w:hint="eastAsia" w:ascii="宋体" w:hAnsi="宋体" w:eastAsia="宋体" w:cs="宋体"/>
                <w:color w:val="auto"/>
                <w:spacing w:val="8"/>
                <w:sz w:val="21"/>
                <w:szCs w:val="21"/>
              </w:rPr>
              <w:t>单价，变更单价不计取利润。</w:t>
            </w:r>
          </w:p>
          <w:p w14:paraId="5FEC3E38">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18"/>
                <w:position w:val="14"/>
                <w:sz w:val="21"/>
                <w:szCs w:val="21"/>
              </w:rPr>
              <w:t>1</w:t>
            </w:r>
            <w:r>
              <w:rPr>
                <w:rFonts w:hint="eastAsia" w:ascii="宋体" w:hAnsi="宋体" w:eastAsia="宋体" w:cs="宋体"/>
                <w:color w:val="auto"/>
                <w:spacing w:val="14"/>
                <w:position w:val="14"/>
                <w:sz w:val="21"/>
                <w:szCs w:val="21"/>
              </w:rPr>
              <w:t>5</w:t>
            </w:r>
            <w:r>
              <w:rPr>
                <w:rFonts w:hint="eastAsia" w:ascii="宋体" w:hAnsi="宋体" w:eastAsia="宋体" w:cs="宋体"/>
                <w:color w:val="auto"/>
                <w:spacing w:val="9"/>
                <w:position w:val="14"/>
                <w:sz w:val="21"/>
                <w:szCs w:val="21"/>
              </w:rPr>
              <w:t>.4.5如果本工程的变更指示是因承包人过错、承包人违反合同或承包人责任造成的，则这种违约引起的任何额外费用应由承包人承担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2F2057E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8</w:t>
            </w:r>
          </w:p>
        </w:tc>
        <w:tc>
          <w:tcPr>
            <w:tcW w:w="1384" w:type="dxa"/>
            <w:vAlign w:val="center"/>
          </w:tcPr>
          <w:p w14:paraId="3422C59B">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15.5.2</w:t>
            </w:r>
          </w:p>
        </w:tc>
        <w:tc>
          <w:tcPr>
            <w:tcW w:w="7054" w:type="dxa"/>
            <w:tcBorders>
              <w:right w:val="single" w:color="000000" w:sz="6" w:space="0"/>
            </w:tcBorders>
            <w:vAlign w:val="center"/>
          </w:tcPr>
          <w:p w14:paraId="1F53DD10">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14"/>
                <w:sz w:val="21"/>
                <w:szCs w:val="21"/>
              </w:rPr>
              <w:t>承</w:t>
            </w:r>
            <w:r>
              <w:rPr>
                <w:rFonts w:hint="eastAsia" w:ascii="宋体" w:hAnsi="宋体" w:eastAsia="宋体" w:cs="宋体"/>
                <w:color w:val="auto"/>
                <w:spacing w:val="12"/>
                <w:sz w:val="21"/>
                <w:szCs w:val="21"/>
              </w:rPr>
              <w:t>包人提出的合理化建议降低了合同价格或者提高了工程经济效益的，发包人按所节</w:t>
            </w:r>
            <w:r>
              <w:rPr>
                <w:rFonts w:hint="eastAsia" w:ascii="宋体" w:hAnsi="宋体" w:eastAsia="宋体" w:cs="宋体"/>
                <w:color w:val="auto"/>
                <w:spacing w:val="8"/>
                <w:sz w:val="21"/>
                <w:szCs w:val="21"/>
              </w:rPr>
              <w:t>约</w:t>
            </w:r>
            <w:r>
              <w:rPr>
                <w:rFonts w:hint="eastAsia" w:ascii="宋体" w:hAnsi="宋体" w:eastAsia="宋体" w:cs="宋体"/>
                <w:color w:val="auto"/>
                <w:spacing w:val="6"/>
                <w:sz w:val="21"/>
                <w:szCs w:val="21"/>
              </w:rPr>
              <w:t>成本的</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2"/>
                <w:position w:val="1"/>
                <w:sz w:val="21"/>
                <w:szCs w:val="21"/>
                <w:u w:val="single"/>
              </w:rPr>
              <w:t>/</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6"/>
                <w:sz w:val="21"/>
                <w:szCs w:val="21"/>
              </w:rPr>
              <w:t>%或增加收益的</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2"/>
                <w:position w:val="1"/>
                <w:sz w:val="21"/>
                <w:szCs w:val="21"/>
                <w:u w:val="single"/>
              </w:rPr>
              <w:t>/</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6"/>
                <w:sz w:val="21"/>
                <w:szCs w:val="21"/>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DD947B1">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9</w:t>
            </w:r>
          </w:p>
        </w:tc>
        <w:tc>
          <w:tcPr>
            <w:tcW w:w="1384" w:type="dxa"/>
            <w:vAlign w:val="center"/>
          </w:tcPr>
          <w:p w14:paraId="2C3ACEFF">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11"/>
                <w:sz w:val="21"/>
                <w:szCs w:val="21"/>
              </w:rPr>
              <w:t>1</w:t>
            </w:r>
            <w:r>
              <w:rPr>
                <w:rFonts w:hint="eastAsia" w:ascii="宋体" w:hAnsi="宋体" w:eastAsia="宋体" w:cs="宋体"/>
                <w:color w:val="auto"/>
                <w:spacing w:val="-7"/>
                <w:sz w:val="21"/>
                <w:szCs w:val="21"/>
              </w:rPr>
              <w:t>6.1</w:t>
            </w:r>
          </w:p>
        </w:tc>
        <w:tc>
          <w:tcPr>
            <w:tcW w:w="7054" w:type="dxa"/>
            <w:tcBorders>
              <w:right w:val="single" w:color="000000" w:sz="6" w:space="0"/>
            </w:tcBorders>
            <w:vAlign w:val="center"/>
          </w:tcPr>
          <w:p w14:paraId="01F3035F">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1"/>
                <w:sz w:val="21"/>
                <w:szCs w:val="21"/>
                <w:u w:val="none" w:color="auto"/>
              </w:rPr>
              <w:sym w:font="Wingdings 2" w:char="00A3"/>
            </w:r>
            <w:r>
              <w:rPr>
                <w:rFonts w:hint="eastAsia" w:ascii="宋体" w:hAnsi="宋体" w:eastAsia="宋体" w:cs="宋体"/>
                <w:color w:val="auto"/>
                <w:spacing w:val="7"/>
                <w:sz w:val="21"/>
                <w:szCs w:val="21"/>
              </w:rPr>
              <w:t>因物价波动引起的价格调整按照</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2"/>
                <w:position w:val="1"/>
                <w:sz w:val="21"/>
                <w:szCs w:val="21"/>
                <w:u w:val="single"/>
              </w:rPr>
              <w:t>/</w:t>
            </w:r>
            <w:r>
              <w:rPr>
                <w:rFonts w:hint="eastAsia" w:ascii="宋体" w:hAnsi="宋体" w:cs="宋体"/>
                <w:color w:val="auto"/>
                <w:spacing w:val="2"/>
                <w:position w:val="1"/>
                <w:sz w:val="21"/>
                <w:szCs w:val="21"/>
                <w:u w:val="single"/>
                <w:lang w:val="en-US" w:eastAsia="zh-CN"/>
              </w:rPr>
              <w:t xml:space="preserve"> </w:t>
            </w:r>
            <w:r>
              <w:rPr>
                <w:rFonts w:hint="eastAsia" w:ascii="宋体" w:hAnsi="宋体" w:eastAsia="宋体" w:cs="宋体"/>
                <w:color w:val="auto"/>
                <w:spacing w:val="7"/>
                <w:sz w:val="21"/>
                <w:szCs w:val="21"/>
              </w:rPr>
              <w:t>约定的原则处理</w:t>
            </w:r>
          </w:p>
          <w:p w14:paraId="2646DAEF">
            <w:pPr>
              <w:keepLines w:val="0"/>
              <w:pageBreakBefore w:val="0"/>
              <w:widowControl w:val="0"/>
              <w:kinsoku/>
              <w:overflowPunct/>
              <w:topLinePunct w:val="0"/>
              <w:autoSpaceDE/>
              <w:autoSpaceDN/>
              <w:bidi w:val="0"/>
              <w:snapToGrid w:val="0"/>
              <w:spacing w:before="79"/>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b/>
                <w:bCs/>
                <w:color w:val="auto"/>
                <w:spacing w:val="11"/>
                <w:sz w:val="21"/>
                <w:szCs w:val="21"/>
                <w:highlight w:val="yellow"/>
                <w:u w:val="none" w:color="auto"/>
              </w:rPr>
              <w:sym w:font="Wingdings 2" w:char="0052"/>
            </w:r>
            <w:r>
              <w:rPr>
                <w:rFonts w:hint="eastAsia" w:ascii="宋体" w:hAnsi="宋体" w:eastAsia="宋体" w:cs="宋体"/>
                <w:b/>
                <w:bCs/>
                <w:color w:val="auto"/>
                <w:sz w:val="21"/>
                <w:szCs w:val="21"/>
                <w:highlight w:val="yellow"/>
              </w:rPr>
              <w:t>合同期内不调价</w:t>
            </w:r>
            <w:r>
              <w:rPr>
                <w:rStyle w:val="48"/>
                <w:rFonts w:hint="eastAsia" w:ascii="宋体" w:hAnsi="宋体" w:eastAsia="宋体" w:cs="宋体"/>
                <w:b/>
                <w:bCs/>
                <w:color w:val="auto"/>
                <w:sz w:val="21"/>
                <w:szCs w:val="21"/>
                <w:highlight w:val="yellow"/>
              </w:rPr>
              <w:footnoteReference w:id="35"/>
            </w:r>
            <w:r>
              <w:rPr>
                <w:rFonts w:hint="eastAsia" w:ascii="宋体" w:hAnsi="宋体" w:eastAsia="宋体" w:cs="宋体"/>
                <w:b/>
                <w:bCs/>
                <w:color w:val="auto"/>
                <w:spacing w:val="9"/>
                <w:sz w:val="21"/>
                <w:szCs w:val="21"/>
                <w:highlight w:val="yellow"/>
              </w:rPr>
              <w:t>，因物价波动引起的价格调整本合同不予考虑。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2E18350E">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z w:val="21"/>
                <w:szCs w:val="21"/>
              </w:rPr>
              <w:t>0</w:t>
            </w:r>
          </w:p>
        </w:tc>
        <w:tc>
          <w:tcPr>
            <w:tcW w:w="1384" w:type="dxa"/>
            <w:vAlign w:val="center"/>
          </w:tcPr>
          <w:p w14:paraId="5191ADEA">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6.3</w:t>
            </w:r>
          </w:p>
        </w:tc>
        <w:tc>
          <w:tcPr>
            <w:tcW w:w="7054" w:type="dxa"/>
            <w:tcBorders>
              <w:right w:val="single" w:color="000000" w:sz="6" w:space="0"/>
            </w:tcBorders>
            <w:vAlign w:val="center"/>
          </w:tcPr>
          <w:p w14:paraId="3BF2F735">
            <w:pPr>
              <w:keepLines w:val="0"/>
              <w:pageBreakBefore w:val="0"/>
              <w:widowControl w:val="0"/>
              <w:kinsoku/>
              <w:overflowPunct/>
              <w:topLinePunct w:val="0"/>
              <w:autoSpaceDE/>
              <w:autoSpaceDN/>
              <w:bidi w:val="0"/>
              <w:snapToGrid w:val="0"/>
              <w:spacing w:before="148"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rPr>
            </w:pPr>
            <w:r>
              <w:rPr>
                <w:rFonts w:hint="eastAsia" w:ascii="宋体" w:hAnsi="宋体" w:eastAsia="宋体" w:cs="宋体"/>
                <w:color w:val="auto"/>
                <w:spacing w:val="22"/>
                <w:sz w:val="21"/>
                <w:szCs w:val="21"/>
              </w:rPr>
              <w:t>除非</w:t>
            </w:r>
            <w:r>
              <w:rPr>
                <w:rFonts w:hint="eastAsia" w:ascii="宋体" w:hAnsi="宋体" w:eastAsia="宋体" w:cs="宋体"/>
                <w:color w:val="auto"/>
                <w:spacing w:val="13"/>
                <w:sz w:val="21"/>
                <w:szCs w:val="21"/>
              </w:rPr>
              <w:t>发</w:t>
            </w:r>
            <w:r>
              <w:rPr>
                <w:rFonts w:hint="eastAsia" w:ascii="宋体" w:hAnsi="宋体" w:eastAsia="宋体" w:cs="宋体"/>
                <w:color w:val="auto"/>
                <w:spacing w:val="11"/>
                <w:sz w:val="21"/>
                <w:szCs w:val="21"/>
              </w:rPr>
              <w:t>包人和监理人专门批准，如果本工程技术规范和图纸标准低于国家和行</w:t>
            </w:r>
            <w:r>
              <w:rPr>
                <w:rFonts w:hint="eastAsia" w:ascii="宋体" w:hAnsi="宋体" w:eastAsia="宋体" w:cs="宋体"/>
                <w:color w:val="auto"/>
                <w:spacing w:val="14"/>
                <w:sz w:val="21"/>
                <w:szCs w:val="21"/>
              </w:rPr>
              <w:t>业</w:t>
            </w:r>
            <w:r>
              <w:rPr>
                <w:rFonts w:hint="eastAsia" w:ascii="宋体" w:hAnsi="宋体" w:eastAsia="宋体" w:cs="宋体"/>
                <w:color w:val="auto"/>
                <w:spacing w:val="12"/>
                <w:sz w:val="21"/>
                <w:szCs w:val="21"/>
              </w:rPr>
              <w:t>标准，则应按国家和行业标准执行，承包人由此增加的费用，发包人不另行计</w:t>
            </w:r>
            <w:r>
              <w:rPr>
                <w:rFonts w:hint="eastAsia" w:ascii="宋体" w:hAnsi="宋体" w:eastAsia="宋体" w:cs="宋体"/>
                <w:color w:val="auto"/>
                <w:spacing w:val="5"/>
                <w:sz w:val="21"/>
                <w:szCs w:val="21"/>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582FD9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1</w:t>
            </w:r>
          </w:p>
        </w:tc>
        <w:tc>
          <w:tcPr>
            <w:tcW w:w="1384" w:type="dxa"/>
            <w:vAlign w:val="center"/>
          </w:tcPr>
          <w:p w14:paraId="5964315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7.1.3</w:t>
            </w:r>
          </w:p>
        </w:tc>
        <w:tc>
          <w:tcPr>
            <w:tcW w:w="7054" w:type="dxa"/>
            <w:tcBorders>
              <w:right w:val="single" w:color="000000" w:sz="6" w:space="0"/>
            </w:tcBorders>
            <w:vAlign w:val="center"/>
          </w:tcPr>
          <w:p w14:paraId="7D3794B5">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pacing w:val="22"/>
                <w:sz w:val="21"/>
                <w:szCs w:val="21"/>
              </w:rPr>
            </w:pPr>
            <w:r>
              <w:rPr>
                <w:rFonts w:hint="eastAsia" w:ascii="宋体" w:hAnsi="宋体" w:eastAsia="宋体" w:cs="宋体"/>
                <w:color w:val="auto"/>
                <w:spacing w:val="14"/>
                <w:position w:val="14"/>
                <w:sz w:val="21"/>
                <w:szCs w:val="21"/>
              </w:rPr>
              <w:t>单</w:t>
            </w:r>
            <w:r>
              <w:rPr>
                <w:rFonts w:hint="eastAsia" w:ascii="宋体" w:hAnsi="宋体" w:eastAsia="宋体" w:cs="宋体"/>
                <w:color w:val="auto"/>
                <w:spacing w:val="11"/>
                <w:position w:val="14"/>
                <w:sz w:val="21"/>
                <w:szCs w:val="21"/>
              </w:rPr>
              <w:t>价</w:t>
            </w:r>
            <w:r>
              <w:rPr>
                <w:rFonts w:hint="eastAsia" w:ascii="宋体" w:hAnsi="宋体" w:eastAsia="宋体" w:cs="宋体"/>
                <w:color w:val="auto"/>
                <w:spacing w:val="7"/>
                <w:position w:val="14"/>
                <w:sz w:val="21"/>
                <w:szCs w:val="21"/>
              </w:rPr>
              <w:t>子目已完成工程量按月计量，总价子目按第17.1.5项(总价子目的计量)计量后，汇入当月计量。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050F2F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z w:val="21"/>
                <w:szCs w:val="21"/>
                <w:lang w:val="en-US" w:eastAsia="zh-CN"/>
              </w:rPr>
              <w:t>2</w:t>
            </w:r>
          </w:p>
        </w:tc>
        <w:tc>
          <w:tcPr>
            <w:tcW w:w="1384" w:type="dxa"/>
            <w:vAlign w:val="center"/>
          </w:tcPr>
          <w:p w14:paraId="33675F78">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7.1.4</w:t>
            </w:r>
          </w:p>
        </w:tc>
        <w:tc>
          <w:tcPr>
            <w:tcW w:w="7054" w:type="dxa"/>
            <w:tcBorders>
              <w:right w:val="single" w:color="000000" w:sz="6" w:space="0"/>
            </w:tcBorders>
            <w:vAlign w:val="center"/>
          </w:tcPr>
          <w:p w14:paraId="2604CA63">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17.1.4</w:t>
            </w:r>
            <w:r>
              <w:rPr>
                <w:rFonts w:hint="eastAsia" w:ascii="宋体" w:hAnsi="宋体" w:eastAsia="宋体" w:cs="宋体"/>
                <w:color w:val="auto"/>
                <w:spacing w:val="1"/>
                <w:sz w:val="21"/>
                <w:szCs w:val="21"/>
              </w:rPr>
              <w:t>单价子目的计量</w:t>
            </w:r>
            <w:r>
              <w:rPr>
                <w:rFonts w:hint="eastAsia" w:ascii="宋体" w:hAnsi="宋体" w:eastAsia="宋体" w:cs="宋体"/>
                <w:color w:val="auto"/>
                <w:spacing w:val="9"/>
                <w:sz w:val="21"/>
                <w:szCs w:val="21"/>
              </w:rPr>
              <w:t>本</w:t>
            </w:r>
            <w:r>
              <w:rPr>
                <w:rFonts w:hint="eastAsia" w:ascii="宋体" w:hAnsi="宋体" w:eastAsia="宋体" w:cs="宋体"/>
                <w:color w:val="auto"/>
                <w:spacing w:val="6"/>
                <w:sz w:val="21"/>
                <w:szCs w:val="21"/>
              </w:rPr>
              <w:t>项约定为：</w:t>
            </w:r>
          </w:p>
          <w:p w14:paraId="73085F40">
            <w:pPr>
              <w:keepLines w:val="0"/>
              <w:pageBreakBefore w:val="0"/>
              <w:widowControl w:val="0"/>
              <w:kinsoku/>
              <w:overflowPunct/>
              <w:topLinePunct w:val="0"/>
              <w:autoSpaceDE/>
              <w:autoSpaceDN/>
              <w:bidi w:val="0"/>
              <w:snapToGrid w:val="0"/>
              <w:spacing w:before="154"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w:t>
            </w:r>
            <w:r>
              <w:rPr>
                <w:rFonts w:hint="eastAsia" w:ascii="宋体" w:hAnsi="宋体" w:eastAsia="宋体" w:cs="宋体"/>
                <w:color w:val="auto"/>
                <w:spacing w:val="11"/>
                <w:sz w:val="21"/>
                <w:szCs w:val="21"/>
              </w:rPr>
              <w:t>1)已标价工程量清单中的单价子目工程量为估算工程量。结算工程量是承包</w:t>
            </w:r>
            <w:r>
              <w:rPr>
                <w:rFonts w:hint="eastAsia" w:ascii="宋体" w:hAnsi="宋体" w:eastAsia="宋体" w:cs="宋体"/>
                <w:color w:val="auto"/>
                <w:spacing w:val="13"/>
                <w:sz w:val="21"/>
                <w:szCs w:val="21"/>
              </w:rPr>
              <w:t>人</w:t>
            </w:r>
            <w:r>
              <w:rPr>
                <w:rFonts w:hint="eastAsia" w:ascii="宋体" w:hAnsi="宋体" w:eastAsia="宋体" w:cs="宋体"/>
                <w:color w:val="auto"/>
                <w:spacing w:val="9"/>
                <w:sz w:val="21"/>
                <w:szCs w:val="21"/>
              </w:rPr>
              <w:t>实际完成的，并按合同约定的计量方法进行计量的工程量。</w:t>
            </w:r>
          </w:p>
          <w:p w14:paraId="63D2E7B2">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w:t>
            </w:r>
            <w:r>
              <w:rPr>
                <w:rFonts w:hint="eastAsia" w:ascii="宋体" w:hAnsi="宋体" w:eastAsia="宋体" w:cs="宋体"/>
                <w:color w:val="auto"/>
                <w:spacing w:val="11"/>
                <w:sz w:val="21"/>
                <w:szCs w:val="21"/>
              </w:rPr>
              <w:t>2)承包人对已完成的工程进行计量，向监理人提交进度付款申请单、已完成工</w:t>
            </w:r>
            <w:r>
              <w:rPr>
                <w:rFonts w:hint="eastAsia" w:ascii="宋体" w:hAnsi="宋体" w:eastAsia="宋体" w:cs="宋体"/>
                <w:color w:val="auto"/>
                <w:spacing w:val="8"/>
                <w:sz w:val="21"/>
                <w:szCs w:val="21"/>
              </w:rPr>
              <w:t>程量报表和有关计量资料。</w:t>
            </w:r>
          </w:p>
          <w:p w14:paraId="1E5D85C1">
            <w:pPr>
              <w:keepLines w:val="0"/>
              <w:pageBreakBefore w:val="0"/>
              <w:widowControl w:val="0"/>
              <w:kinsoku/>
              <w:overflowPunct/>
              <w:topLinePunct w:val="0"/>
              <w:autoSpaceDE/>
              <w:autoSpaceDN/>
              <w:bidi w:val="0"/>
              <w:snapToGrid w:val="0"/>
              <w:spacing w:before="3"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8"/>
                <w:sz w:val="21"/>
                <w:szCs w:val="21"/>
              </w:rPr>
              <w:t>(</w:t>
            </w:r>
            <w:r>
              <w:rPr>
                <w:rFonts w:hint="eastAsia" w:ascii="宋体" w:hAnsi="宋体" w:eastAsia="宋体" w:cs="宋体"/>
                <w:color w:val="auto"/>
                <w:spacing w:val="11"/>
                <w:sz w:val="21"/>
                <w:szCs w:val="21"/>
              </w:rPr>
              <w:t>3)监理人对承包人提交的工程量报表进行复核，以确定实际完成的工程量。</w:t>
            </w:r>
            <w:r>
              <w:rPr>
                <w:rFonts w:hint="eastAsia" w:ascii="宋体" w:hAnsi="宋体" w:eastAsia="宋体" w:cs="宋体"/>
                <w:color w:val="auto"/>
                <w:spacing w:val="10"/>
                <w:sz w:val="21"/>
                <w:szCs w:val="21"/>
              </w:rPr>
              <w:t>对数量有异</w:t>
            </w:r>
            <w:r>
              <w:rPr>
                <w:rFonts w:hint="eastAsia" w:ascii="宋体" w:hAnsi="宋体" w:eastAsia="宋体" w:cs="宋体"/>
                <w:color w:val="auto"/>
                <w:spacing w:val="5"/>
                <w:sz w:val="21"/>
                <w:szCs w:val="21"/>
              </w:rPr>
              <w:t>议的，可要求承包人按第8.2款约定进行共同复核和抽样复测。承包人</w:t>
            </w:r>
            <w:r>
              <w:rPr>
                <w:rFonts w:hint="eastAsia" w:ascii="宋体" w:hAnsi="宋体" w:eastAsia="宋体" w:cs="宋体"/>
                <w:color w:val="auto"/>
                <w:spacing w:val="14"/>
                <w:sz w:val="21"/>
                <w:szCs w:val="21"/>
              </w:rPr>
              <w:t>应</w:t>
            </w:r>
            <w:r>
              <w:rPr>
                <w:rFonts w:hint="eastAsia" w:ascii="宋体" w:hAnsi="宋体" w:eastAsia="宋体" w:cs="宋体"/>
                <w:color w:val="auto"/>
                <w:spacing w:val="12"/>
                <w:sz w:val="21"/>
                <w:szCs w:val="21"/>
              </w:rPr>
              <w:t>协助监理人进行复核并按监理人要求提供补充计量资料。承包人未按监理人要</w:t>
            </w:r>
            <w:r>
              <w:rPr>
                <w:rFonts w:hint="eastAsia" w:ascii="宋体" w:hAnsi="宋体" w:eastAsia="宋体" w:cs="宋体"/>
                <w:color w:val="auto"/>
                <w:spacing w:val="18"/>
                <w:sz w:val="21"/>
                <w:szCs w:val="21"/>
              </w:rPr>
              <w:t>求</w:t>
            </w:r>
            <w:r>
              <w:rPr>
                <w:rFonts w:hint="eastAsia" w:ascii="宋体" w:hAnsi="宋体" w:eastAsia="宋体" w:cs="宋体"/>
                <w:color w:val="auto"/>
                <w:spacing w:val="13"/>
                <w:sz w:val="21"/>
                <w:szCs w:val="21"/>
              </w:rPr>
              <w:t>参</w:t>
            </w:r>
            <w:r>
              <w:rPr>
                <w:rFonts w:hint="eastAsia" w:ascii="宋体" w:hAnsi="宋体" w:eastAsia="宋体" w:cs="宋体"/>
                <w:color w:val="auto"/>
                <w:spacing w:val="9"/>
                <w:sz w:val="21"/>
                <w:szCs w:val="21"/>
              </w:rPr>
              <w:t>加复核，监理人复核或修正的工程量视为承包人实际完成的工程量。</w:t>
            </w:r>
          </w:p>
          <w:p w14:paraId="31C156A6">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w:t>
            </w:r>
            <w:r>
              <w:rPr>
                <w:rFonts w:hint="eastAsia" w:ascii="宋体" w:hAnsi="宋体" w:eastAsia="宋体" w:cs="宋体"/>
                <w:color w:val="auto"/>
                <w:spacing w:val="11"/>
                <w:sz w:val="21"/>
                <w:szCs w:val="21"/>
              </w:rPr>
              <w:t>4)监理人认为有必要时，可通知承包人共同进行联合测量、计量，承包人应</w:t>
            </w:r>
            <w:r>
              <w:rPr>
                <w:rFonts w:hint="eastAsia" w:ascii="宋体" w:hAnsi="宋体" w:eastAsia="宋体" w:cs="宋体"/>
                <w:color w:val="auto"/>
                <w:spacing w:val="6"/>
                <w:sz w:val="21"/>
                <w:szCs w:val="21"/>
              </w:rPr>
              <w:t>遵照执行。</w:t>
            </w:r>
          </w:p>
          <w:p w14:paraId="313C2343">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w:t>
            </w:r>
            <w:r>
              <w:rPr>
                <w:rFonts w:hint="eastAsia" w:ascii="宋体" w:hAnsi="宋体" w:eastAsia="宋体" w:cs="宋体"/>
                <w:color w:val="auto"/>
                <w:spacing w:val="11"/>
                <w:sz w:val="21"/>
                <w:szCs w:val="21"/>
              </w:rPr>
              <w:t>5)承包人完成工程量清单中每个子目的工程量后，监理人应要求承包人派员</w:t>
            </w:r>
            <w:r>
              <w:rPr>
                <w:rFonts w:hint="eastAsia" w:ascii="宋体" w:hAnsi="宋体" w:eastAsia="宋体" w:cs="宋体"/>
                <w:color w:val="auto"/>
                <w:spacing w:val="9"/>
                <w:sz w:val="21"/>
                <w:szCs w:val="21"/>
              </w:rPr>
              <w:t>共同对每个子目的历次计量报表进行汇总，以核实最终结算工程量。监理人可</w:t>
            </w:r>
            <w:r>
              <w:rPr>
                <w:rFonts w:hint="eastAsia" w:ascii="宋体" w:hAnsi="宋体" w:eastAsia="宋体" w:cs="宋体"/>
                <w:color w:val="auto"/>
                <w:spacing w:val="7"/>
                <w:sz w:val="21"/>
                <w:szCs w:val="21"/>
              </w:rPr>
              <w:t>要</w:t>
            </w:r>
            <w:r>
              <w:rPr>
                <w:rFonts w:hint="eastAsia" w:ascii="宋体" w:hAnsi="宋体" w:eastAsia="宋体" w:cs="宋体"/>
                <w:color w:val="auto"/>
                <w:spacing w:val="9"/>
                <w:sz w:val="21"/>
                <w:szCs w:val="21"/>
              </w:rPr>
              <w:t>求承包人提供补充计量资料，以确定最后一次进度付款的准确工程量。承包人</w:t>
            </w:r>
            <w:r>
              <w:rPr>
                <w:rFonts w:hint="eastAsia" w:ascii="宋体" w:hAnsi="宋体" w:eastAsia="宋体" w:cs="宋体"/>
                <w:color w:val="auto"/>
                <w:spacing w:val="7"/>
                <w:sz w:val="21"/>
                <w:szCs w:val="21"/>
              </w:rPr>
              <w:t>未</w:t>
            </w:r>
            <w:r>
              <w:rPr>
                <w:rFonts w:hint="eastAsia" w:ascii="宋体" w:hAnsi="宋体" w:eastAsia="宋体" w:cs="宋体"/>
                <w:color w:val="auto"/>
                <w:spacing w:val="14"/>
                <w:sz w:val="21"/>
                <w:szCs w:val="21"/>
              </w:rPr>
              <w:t>按</w:t>
            </w:r>
            <w:r>
              <w:rPr>
                <w:rFonts w:hint="eastAsia" w:ascii="宋体" w:hAnsi="宋体" w:eastAsia="宋体" w:cs="宋体"/>
                <w:color w:val="auto"/>
                <w:spacing w:val="12"/>
                <w:sz w:val="21"/>
                <w:szCs w:val="21"/>
              </w:rPr>
              <w:t>监理人要求派员参加的，监理人最终核实的工程量视为承包人完成该子目的准</w:t>
            </w:r>
            <w:r>
              <w:rPr>
                <w:rFonts w:hint="eastAsia" w:ascii="宋体" w:hAnsi="宋体" w:eastAsia="宋体" w:cs="宋体"/>
                <w:color w:val="auto"/>
                <w:spacing w:val="6"/>
                <w:sz w:val="21"/>
                <w:szCs w:val="21"/>
              </w:rPr>
              <w:t>确工程量。</w:t>
            </w:r>
          </w:p>
          <w:p w14:paraId="09AB1703">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8"/>
                <w:sz w:val="21"/>
                <w:szCs w:val="21"/>
              </w:rPr>
              <w:t>(</w:t>
            </w:r>
            <w:r>
              <w:rPr>
                <w:rFonts w:hint="eastAsia" w:ascii="宋体" w:hAnsi="宋体" w:eastAsia="宋体" w:cs="宋体"/>
                <w:color w:val="auto"/>
                <w:spacing w:val="9"/>
                <w:sz w:val="21"/>
                <w:szCs w:val="21"/>
              </w:rPr>
              <w:t>6)监理人应在收到承包人提交的工程量报表后的7天内进行复核，监理人未</w:t>
            </w:r>
            <w:r>
              <w:rPr>
                <w:rFonts w:hint="eastAsia" w:ascii="宋体" w:hAnsi="宋体" w:eastAsia="宋体" w:cs="宋体"/>
                <w:color w:val="auto"/>
                <w:spacing w:val="14"/>
                <w:sz w:val="21"/>
                <w:szCs w:val="21"/>
              </w:rPr>
              <w:t>在</w:t>
            </w:r>
            <w:r>
              <w:rPr>
                <w:rFonts w:hint="eastAsia" w:ascii="宋体" w:hAnsi="宋体" w:eastAsia="宋体" w:cs="宋体"/>
                <w:color w:val="auto"/>
                <w:spacing w:val="12"/>
                <w:sz w:val="21"/>
                <w:szCs w:val="21"/>
              </w:rPr>
              <w:t>约定时间内复核的，承包人提交的工程量报表中的工程量视为承包人实际完成</w:t>
            </w:r>
            <w:r>
              <w:rPr>
                <w:rFonts w:hint="eastAsia" w:ascii="宋体" w:hAnsi="宋体" w:eastAsia="宋体" w:cs="宋体"/>
                <w:color w:val="auto"/>
                <w:spacing w:val="16"/>
                <w:sz w:val="21"/>
                <w:szCs w:val="21"/>
              </w:rPr>
              <w:t>的</w:t>
            </w:r>
            <w:r>
              <w:rPr>
                <w:rFonts w:hint="eastAsia" w:ascii="宋体" w:hAnsi="宋体" w:eastAsia="宋体" w:cs="宋体"/>
                <w:color w:val="auto"/>
                <w:spacing w:val="9"/>
                <w:sz w:val="21"/>
                <w:szCs w:val="21"/>
              </w:rPr>
              <w:t>工</w:t>
            </w:r>
            <w:r>
              <w:rPr>
                <w:rFonts w:hint="eastAsia" w:ascii="宋体" w:hAnsi="宋体" w:eastAsia="宋体" w:cs="宋体"/>
                <w:color w:val="auto"/>
                <w:spacing w:val="8"/>
                <w:sz w:val="21"/>
                <w:szCs w:val="21"/>
              </w:rPr>
              <w:t>程量，据此计算工程价款。</w:t>
            </w:r>
          </w:p>
          <w:p w14:paraId="3639F8B2">
            <w:pPr>
              <w:keepLines w:val="0"/>
              <w:pageBreakBefore w:val="0"/>
              <w:widowControl w:val="0"/>
              <w:kinsoku/>
              <w:overflowPunct/>
              <w:topLinePunct w:val="0"/>
              <w:autoSpaceDE/>
              <w:autoSpaceDN/>
              <w:bidi w:val="0"/>
              <w:snapToGrid w:val="0"/>
              <w:spacing w:line="240" w:lineRule="auto"/>
              <w:ind w:left="105" w:leftChars="50" w:right="283"/>
              <w:jc w:val="left"/>
              <w:textAlignment w:val="auto"/>
              <w:rPr>
                <w:rFonts w:hint="eastAsia" w:ascii="宋体" w:hAnsi="宋体" w:eastAsia="宋体" w:cs="宋体"/>
                <w:color w:val="auto"/>
                <w:spacing w:val="22"/>
                <w:sz w:val="21"/>
                <w:szCs w:val="21"/>
              </w:rPr>
            </w:pPr>
            <w:r>
              <w:rPr>
                <w:rFonts w:hint="eastAsia" w:ascii="宋体" w:hAnsi="宋体" w:eastAsia="宋体" w:cs="宋体"/>
                <w:color w:val="auto"/>
                <w:spacing w:val="16"/>
                <w:position w:val="15"/>
                <w:sz w:val="21"/>
                <w:szCs w:val="21"/>
              </w:rPr>
              <w:t>(</w:t>
            </w:r>
            <w:r>
              <w:rPr>
                <w:rFonts w:hint="eastAsia" w:ascii="宋体" w:hAnsi="宋体" w:eastAsia="宋体" w:cs="宋体"/>
                <w:color w:val="auto"/>
                <w:spacing w:val="11"/>
                <w:position w:val="15"/>
                <w:sz w:val="21"/>
                <w:szCs w:val="21"/>
              </w:rPr>
              <w:t>7)承包人未在已标价工程量清单中填入单价或总额价的工程子目，将被认为其已包含在本合同的其他子目的单价和总额价中，发包人将不另行支付。</w:t>
            </w: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19C5EA44">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z w:val="21"/>
                <w:szCs w:val="21"/>
                <w:lang w:val="en-US" w:eastAsia="zh-CN"/>
              </w:rPr>
              <w:t>3</w:t>
            </w:r>
          </w:p>
        </w:tc>
        <w:tc>
          <w:tcPr>
            <w:tcW w:w="1384" w:type="dxa"/>
            <w:vAlign w:val="center"/>
          </w:tcPr>
          <w:p w14:paraId="44CD239E">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6"/>
                <w:sz w:val="21"/>
                <w:szCs w:val="21"/>
                <w:highlight w:val="none"/>
              </w:rPr>
              <w:t>7.1.5</w:t>
            </w:r>
          </w:p>
        </w:tc>
        <w:tc>
          <w:tcPr>
            <w:tcW w:w="7054" w:type="dxa"/>
            <w:tcBorders>
              <w:right w:val="single" w:color="000000" w:sz="6" w:space="0"/>
            </w:tcBorders>
            <w:vAlign w:val="center"/>
          </w:tcPr>
          <w:p w14:paraId="6F6AC6BF">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8"/>
                <w:sz w:val="21"/>
                <w:szCs w:val="21"/>
              </w:rPr>
              <w:t>本</w:t>
            </w:r>
            <w:r>
              <w:rPr>
                <w:rFonts w:hint="eastAsia" w:ascii="宋体" w:hAnsi="宋体" w:eastAsia="宋体" w:cs="宋体"/>
                <w:color w:val="auto"/>
                <w:spacing w:val="9"/>
                <w:sz w:val="21"/>
                <w:szCs w:val="21"/>
              </w:rPr>
              <w:t>项目工程量清单中总价子目的分解和计量支付原则补充以下约定：</w:t>
            </w:r>
          </w:p>
          <w:p w14:paraId="0B66C528">
            <w:pPr>
              <w:keepLines w:val="0"/>
              <w:pageBreakBefore w:val="0"/>
              <w:widowControl w:val="0"/>
              <w:kinsoku/>
              <w:overflowPunct/>
              <w:topLinePunct w:val="0"/>
              <w:autoSpaceDE/>
              <w:autoSpaceDN/>
              <w:bidi w:val="0"/>
              <w:snapToGrid w:val="0"/>
              <w:spacing w:before="155"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w:t>
            </w:r>
            <w:r>
              <w:rPr>
                <w:rFonts w:hint="eastAsia" w:ascii="宋体" w:hAnsi="宋体" w:eastAsia="宋体" w:cs="宋体"/>
                <w:color w:val="auto"/>
                <w:spacing w:val="11"/>
                <w:sz w:val="21"/>
                <w:szCs w:val="21"/>
              </w:rPr>
              <w:t>1)工程一切险及第三方责任险在首次计量支付前必须按要求投保完成，并在</w:t>
            </w:r>
            <w:r>
              <w:rPr>
                <w:rFonts w:hint="eastAsia" w:ascii="宋体" w:hAnsi="宋体" w:eastAsia="宋体" w:cs="宋体"/>
                <w:color w:val="auto"/>
                <w:spacing w:val="18"/>
                <w:sz w:val="21"/>
                <w:szCs w:val="21"/>
              </w:rPr>
              <w:t>第</w:t>
            </w:r>
            <w:r>
              <w:rPr>
                <w:rFonts w:hint="eastAsia" w:ascii="宋体" w:hAnsi="宋体" w:eastAsia="宋体" w:cs="宋体"/>
                <w:color w:val="auto"/>
                <w:spacing w:val="14"/>
                <w:sz w:val="21"/>
                <w:szCs w:val="21"/>
              </w:rPr>
              <w:t>一</w:t>
            </w:r>
            <w:r>
              <w:rPr>
                <w:rFonts w:hint="eastAsia" w:ascii="宋体" w:hAnsi="宋体" w:eastAsia="宋体" w:cs="宋体"/>
                <w:color w:val="auto"/>
                <w:spacing w:val="9"/>
                <w:sz w:val="21"/>
                <w:szCs w:val="21"/>
              </w:rPr>
              <w:t>次支付时将保险单及发票原件送至发包人，并在计量支付凭证中附复印件。</w:t>
            </w:r>
          </w:p>
          <w:p w14:paraId="733CE18C">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w:t>
            </w:r>
            <w:r>
              <w:rPr>
                <w:rFonts w:hint="eastAsia" w:ascii="宋体" w:hAnsi="宋体" w:eastAsia="宋体" w:cs="宋体"/>
                <w:color w:val="auto"/>
                <w:spacing w:val="11"/>
                <w:sz w:val="21"/>
                <w:szCs w:val="21"/>
              </w:rPr>
              <w:t>2)竣工文件在完成编制，上交给发包人后，经发包人验收合格后，由发包人</w:t>
            </w:r>
            <w:r>
              <w:rPr>
                <w:rFonts w:hint="eastAsia" w:ascii="宋体" w:hAnsi="宋体" w:eastAsia="宋体" w:cs="宋体"/>
                <w:color w:val="auto"/>
                <w:spacing w:val="7"/>
                <w:sz w:val="21"/>
                <w:szCs w:val="21"/>
              </w:rPr>
              <w:t>一</w:t>
            </w:r>
            <w:r>
              <w:rPr>
                <w:rFonts w:hint="eastAsia" w:ascii="宋体" w:hAnsi="宋体" w:eastAsia="宋体" w:cs="宋体"/>
                <w:color w:val="auto"/>
                <w:spacing w:val="6"/>
                <w:sz w:val="21"/>
                <w:szCs w:val="21"/>
              </w:rPr>
              <w:t>次性支付。</w:t>
            </w:r>
          </w:p>
          <w:p w14:paraId="0E072FEB">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w:t>
            </w:r>
            <w:r>
              <w:rPr>
                <w:rFonts w:hint="eastAsia" w:ascii="宋体" w:hAnsi="宋体" w:eastAsia="宋体" w:cs="宋体"/>
                <w:color w:val="auto"/>
                <w:spacing w:val="11"/>
                <w:sz w:val="21"/>
                <w:szCs w:val="21"/>
              </w:rPr>
              <w:t>3)临时占地、临时供电、电信设施、工地建设及拌和站安装与拆除在首次计</w:t>
            </w:r>
            <w:r>
              <w:rPr>
                <w:rFonts w:hint="eastAsia" w:ascii="宋体" w:hAnsi="宋体" w:eastAsia="宋体" w:cs="宋体"/>
                <w:color w:val="auto"/>
                <w:spacing w:val="2"/>
                <w:sz w:val="21"/>
                <w:szCs w:val="21"/>
              </w:rPr>
              <w:t>量时支付50%，在工程交工验收前再</w:t>
            </w:r>
            <w:r>
              <w:rPr>
                <w:rFonts w:hint="eastAsia" w:ascii="宋体" w:hAnsi="宋体" w:eastAsia="宋体" w:cs="宋体"/>
                <w:color w:val="auto"/>
                <w:spacing w:val="1"/>
                <w:sz w:val="21"/>
                <w:szCs w:val="21"/>
              </w:rPr>
              <w:t>支付30%，另20%在交工验收后支付。</w:t>
            </w:r>
            <w:r>
              <w:rPr>
                <w:rFonts w:hint="eastAsia" w:ascii="宋体" w:hAnsi="宋体" w:eastAsia="宋体" w:cs="宋体"/>
                <w:color w:val="auto"/>
                <w:spacing w:val="16"/>
                <w:sz w:val="21"/>
                <w:szCs w:val="21"/>
              </w:rPr>
              <w:t>(</w:t>
            </w:r>
            <w:r>
              <w:rPr>
                <w:rFonts w:hint="eastAsia" w:ascii="宋体" w:hAnsi="宋体" w:eastAsia="宋体" w:cs="宋体"/>
                <w:color w:val="auto"/>
                <w:spacing w:val="11"/>
                <w:sz w:val="21"/>
                <w:szCs w:val="21"/>
              </w:rPr>
              <w:t>4)施工环保费、安全生产费用、交通封闭费、供水与排污设施及临时道路修</w:t>
            </w:r>
            <w:r>
              <w:rPr>
                <w:rFonts w:hint="eastAsia" w:ascii="宋体" w:hAnsi="宋体" w:eastAsia="宋体" w:cs="宋体"/>
                <w:color w:val="auto"/>
                <w:spacing w:val="16"/>
                <w:sz w:val="21"/>
                <w:szCs w:val="21"/>
              </w:rPr>
              <w:t>建</w:t>
            </w:r>
            <w:r>
              <w:rPr>
                <w:rFonts w:hint="eastAsia" w:ascii="宋体" w:hAnsi="宋体" w:eastAsia="宋体" w:cs="宋体"/>
                <w:color w:val="auto"/>
                <w:spacing w:val="11"/>
                <w:sz w:val="21"/>
                <w:szCs w:val="21"/>
              </w:rPr>
              <w:t>均</w:t>
            </w:r>
            <w:r>
              <w:rPr>
                <w:rFonts w:hint="eastAsia" w:ascii="宋体" w:hAnsi="宋体" w:eastAsia="宋体" w:cs="宋体"/>
                <w:color w:val="auto"/>
                <w:spacing w:val="8"/>
                <w:sz w:val="21"/>
                <w:szCs w:val="21"/>
              </w:rPr>
              <w:t>按工程量完成比例进行计量支付。</w:t>
            </w:r>
          </w:p>
          <w:p w14:paraId="01EF674E">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default" w:ascii="宋体" w:hAnsi="宋体" w:eastAsia="宋体" w:cs="宋体"/>
                <w:color w:val="auto"/>
                <w:spacing w:val="22"/>
                <w:sz w:val="21"/>
                <w:szCs w:val="21"/>
                <w:lang w:val="en-US" w:eastAsia="zh-CN"/>
              </w:rPr>
            </w:pPr>
            <w:r>
              <w:rPr>
                <w:rFonts w:hint="eastAsia" w:ascii="宋体" w:hAnsi="宋体" w:eastAsia="宋体" w:cs="宋体"/>
                <w:color w:val="auto"/>
                <w:spacing w:val="22"/>
                <w:position w:val="14"/>
                <w:sz w:val="21"/>
                <w:szCs w:val="21"/>
              </w:rPr>
              <w:t>(</w:t>
            </w:r>
            <w:r>
              <w:rPr>
                <w:rFonts w:hint="eastAsia" w:ascii="宋体" w:hAnsi="宋体" w:eastAsia="宋体" w:cs="宋体"/>
                <w:color w:val="auto"/>
                <w:spacing w:val="17"/>
                <w:position w:val="14"/>
                <w:sz w:val="21"/>
                <w:szCs w:val="21"/>
              </w:rPr>
              <w:t>5</w:t>
            </w:r>
            <w:r>
              <w:rPr>
                <w:rFonts w:hint="eastAsia" w:ascii="宋体" w:hAnsi="宋体" w:eastAsia="宋体" w:cs="宋体"/>
                <w:color w:val="auto"/>
                <w:spacing w:val="11"/>
                <w:position w:val="14"/>
                <w:sz w:val="21"/>
                <w:szCs w:val="21"/>
              </w:rPr>
              <w:t>)安全生产费用需报送材料：安全生产费用需上报材料二份，总监办一份</w:t>
            </w:r>
            <w:r>
              <w:rPr>
                <w:rFonts w:hint="eastAsia" w:ascii="宋体" w:hAnsi="宋体" w:cs="宋体"/>
                <w:color w:val="auto"/>
                <w:spacing w:val="11"/>
                <w:position w:val="14"/>
                <w:sz w:val="21"/>
                <w:szCs w:val="21"/>
                <w:lang w:eastAsia="zh-CN"/>
              </w:rPr>
              <w:t>，</w:t>
            </w:r>
            <w:r>
              <w:rPr>
                <w:rFonts w:hint="eastAsia" w:ascii="宋体" w:hAnsi="宋体" w:cs="宋体"/>
                <w:color w:val="auto"/>
                <w:spacing w:val="11"/>
                <w:position w:val="14"/>
                <w:sz w:val="21"/>
                <w:szCs w:val="21"/>
                <w:lang w:val="en-US" w:eastAsia="zh-CN"/>
              </w:rPr>
              <w:t>发包人一份。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F55D4EE">
            <w:pPr>
              <w:keepLines w:val="0"/>
              <w:pageBreakBefore w:val="0"/>
              <w:widowControl w:val="0"/>
              <w:kinsoku/>
              <w:overflowPunct/>
              <w:topLinePunct w:val="0"/>
              <w:autoSpaceDE/>
              <w:autoSpaceDN/>
              <w:bidi w:val="0"/>
              <w:snapToGrid w:val="0"/>
              <w:spacing w:before="130" w:line="240" w:lineRule="auto"/>
              <w:ind w:left="105" w:leftChars="50" w:right="283"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z w:val="21"/>
                <w:szCs w:val="21"/>
                <w:lang w:val="en-US" w:eastAsia="zh-CN"/>
              </w:rPr>
              <w:t>4</w:t>
            </w:r>
          </w:p>
        </w:tc>
        <w:tc>
          <w:tcPr>
            <w:tcW w:w="1384" w:type="dxa"/>
            <w:vAlign w:val="center"/>
          </w:tcPr>
          <w:p w14:paraId="0C64465A">
            <w:pPr>
              <w:keepLines w:val="0"/>
              <w:pageBreakBefore w:val="0"/>
              <w:widowControl w:val="0"/>
              <w:kinsoku/>
              <w:overflowPunct/>
              <w:topLinePunct w:val="0"/>
              <w:autoSpaceDE/>
              <w:autoSpaceDN/>
              <w:bidi w:val="0"/>
              <w:snapToGrid w:val="0"/>
              <w:spacing w:before="92" w:line="240" w:lineRule="auto"/>
              <w:ind w:left="105" w:leftChars="50" w:right="283" w:rightChars="0" w:firstLine="0" w:firstLineChars="0"/>
              <w:jc w:val="center"/>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3"/>
                <w:sz w:val="21"/>
                <w:szCs w:val="21"/>
              </w:rPr>
              <w:t>17.2.1(1</w:t>
            </w:r>
            <w:r>
              <w:rPr>
                <w:rFonts w:hint="eastAsia" w:ascii="宋体" w:hAnsi="宋体" w:eastAsia="宋体" w:cs="宋体"/>
                <w:color w:val="auto"/>
                <w:spacing w:val="-2"/>
                <w:sz w:val="21"/>
                <w:szCs w:val="21"/>
              </w:rPr>
              <w:t>)</w:t>
            </w:r>
          </w:p>
        </w:tc>
        <w:tc>
          <w:tcPr>
            <w:tcW w:w="7054" w:type="dxa"/>
            <w:tcBorders>
              <w:right w:val="single" w:color="000000" w:sz="6" w:space="0"/>
            </w:tcBorders>
            <w:vAlign w:val="center"/>
          </w:tcPr>
          <w:p w14:paraId="0B2810E2">
            <w:pPr>
              <w:keepLines w:val="0"/>
              <w:pageBreakBefore w:val="0"/>
              <w:widowControl w:val="0"/>
              <w:kinsoku/>
              <w:overflowPunct/>
              <w:topLinePunct w:val="0"/>
              <w:autoSpaceDE/>
              <w:autoSpaceDN/>
              <w:bidi w:val="0"/>
              <w:snapToGrid w:val="0"/>
              <w:spacing w:before="100" w:line="240" w:lineRule="auto"/>
              <w:ind w:left="105" w:leftChars="50" w:right="283" w:rightChars="0" w:firstLine="0" w:firstLineChars="0"/>
              <w:jc w:val="left"/>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8"/>
                <w:position w:val="1"/>
                <w:sz w:val="21"/>
                <w:szCs w:val="21"/>
              </w:rPr>
              <w:t>开工预付款</w:t>
            </w:r>
            <w:r>
              <w:rPr>
                <w:rFonts w:hint="eastAsia" w:ascii="宋体" w:hAnsi="宋体" w:eastAsia="宋体" w:cs="宋体"/>
                <w:color w:val="auto"/>
                <w:spacing w:val="5"/>
                <w:position w:val="1"/>
                <w:sz w:val="21"/>
                <w:szCs w:val="21"/>
              </w:rPr>
              <w:t>金</w:t>
            </w:r>
            <w:r>
              <w:rPr>
                <w:rFonts w:hint="eastAsia" w:ascii="宋体" w:hAnsi="宋体" w:eastAsia="宋体" w:cs="宋体"/>
                <w:color w:val="auto"/>
                <w:spacing w:val="4"/>
                <w:position w:val="1"/>
                <w:sz w:val="21"/>
                <w:szCs w:val="21"/>
              </w:rPr>
              <w:t>额，规定为：</w:t>
            </w:r>
            <w:r>
              <w:rPr>
                <w:rFonts w:hint="eastAsia" w:ascii="宋体" w:hAnsi="宋体" w:cs="宋体"/>
                <w:color w:val="auto"/>
                <w:spacing w:val="4"/>
                <w:position w:val="1"/>
                <w:sz w:val="21"/>
                <w:szCs w:val="21"/>
                <w:u w:val="single"/>
                <w:lang w:val="en-US" w:eastAsia="zh-CN"/>
              </w:rPr>
              <w:t xml:space="preserve">  /  </w:t>
            </w:r>
            <w:r>
              <w:rPr>
                <w:rFonts w:hint="eastAsia" w:ascii="宋体" w:hAnsi="宋体" w:eastAsia="宋体" w:cs="宋体"/>
                <w:color w:val="auto"/>
                <w:spacing w:val="4"/>
                <w:position w:val="1"/>
                <w:sz w:val="21"/>
                <w:szCs w:val="21"/>
              </w:rPr>
              <w:t>%签约</w:t>
            </w:r>
            <w:r>
              <w:rPr>
                <w:rFonts w:hint="eastAsia" w:ascii="宋体" w:hAnsi="宋体" w:eastAsia="宋体" w:cs="宋体"/>
                <w:color w:val="auto"/>
                <w:sz w:val="21"/>
                <w:szCs w:val="21"/>
                <w:highlight w:val="none"/>
              </w:rPr>
              <w:t>合同价</w:t>
            </w:r>
            <w:r>
              <w:rPr>
                <w:rStyle w:val="48"/>
                <w:rFonts w:hint="eastAsia" w:ascii="宋体" w:hAnsi="宋体" w:eastAsia="宋体" w:cs="宋体"/>
                <w:color w:val="auto"/>
                <w:sz w:val="21"/>
                <w:szCs w:val="21"/>
                <w:highlight w:val="none"/>
              </w:rPr>
              <w:footnoteReference w:id="36"/>
            </w:r>
            <w:r>
              <w:rPr>
                <w:rFonts w:hint="eastAsia" w:ascii="宋体" w:hAnsi="宋体" w:eastAsia="宋体" w:cs="宋体"/>
                <w:color w:val="auto"/>
                <w:spacing w:val="4"/>
                <w:position w:val="1"/>
                <w:sz w:val="21"/>
                <w:szCs w:val="21"/>
              </w:rPr>
              <w:t>(不含暂列金额)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549E2F8">
            <w:pPr>
              <w:keepLines w:val="0"/>
              <w:pageBreakBefore w:val="0"/>
              <w:widowControl w:val="0"/>
              <w:kinsoku/>
              <w:overflowPunct/>
              <w:topLinePunct w:val="0"/>
              <w:autoSpaceDE/>
              <w:autoSpaceDN/>
              <w:bidi w:val="0"/>
              <w:snapToGrid w:val="0"/>
              <w:spacing w:before="148" w:line="240" w:lineRule="auto"/>
              <w:ind w:left="105" w:leftChars="50" w:right="283"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35</w:t>
            </w:r>
          </w:p>
        </w:tc>
        <w:tc>
          <w:tcPr>
            <w:tcW w:w="1384" w:type="dxa"/>
            <w:vAlign w:val="center"/>
          </w:tcPr>
          <w:p w14:paraId="632C94DD">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center"/>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3"/>
                <w:sz w:val="21"/>
                <w:szCs w:val="21"/>
              </w:rPr>
              <w:t>17.2.1(2</w:t>
            </w:r>
            <w:r>
              <w:rPr>
                <w:rFonts w:hint="eastAsia" w:ascii="宋体" w:hAnsi="宋体" w:eastAsia="宋体" w:cs="宋体"/>
                <w:color w:val="auto"/>
                <w:spacing w:val="-2"/>
                <w:sz w:val="21"/>
                <w:szCs w:val="21"/>
              </w:rPr>
              <w:t>)</w:t>
            </w:r>
          </w:p>
        </w:tc>
        <w:tc>
          <w:tcPr>
            <w:tcW w:w="7054" w:type="dxa"/>
            <w:tcBorders>
              <w:right w:val="single" w:color="000000" w:sz="6" w:space="0"/>
            </w:tcBorders>
            <w:vAlign w:val="center"/>
          </w:tcPr>
          <w:p w14:paraId="2F29E69F">
            <w:pPr>
              <w:keepLines w:val="0"/>
              <w:pageBreakBefore w:val="0"/>
              <w:widowControl w:val="0"/>
              <w:kinsoku/>
              <w:overflowPunct/>
              <w:topLinePunct w:val="0"/>
              <w:autoSpaceDE/>
              <w:autoSpaceDN/>
              <w:bidi w:val="0"/>
              <w:snapToGrid w:val="0"/>
              <w:spacing w:before="120" w:line="240" w:lineRule="auto"/>
              <w:ind w:left="105" w:leftChars="50" w:right="283" w:rightChars="0" w:firstLine="0" w:firstLineChars="0"/>
              <w:jc w:val="left"/>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1"/>
                <w:position w:val="1"/>
                <w:sz w:val="21"/>
                <w:szCs w:val="21"/>
              </w:rPr>
              <w:t>材料、设备预付款比例，规定为：/等主要材料、设备单据所</w:t>
            </w:r>
            <w:r>
              <w:rPr>
                <w:rFonts w:hint="eastAsia" w:ascii="宋体" w:hAnsi="宋体" w:eastAsia="宋体" w:cs="宋体"/>
                <w:color w:val="auto"/>
                <w:position w:val="1"/>
                <w:sz w:val="21"/>
                <w:szCs w:val="21"/>
              </w:rPr>
              <w:t>列费用</w:t>
            </w:r>
            <w:r>
              <w:rPr>
                <w:rFonts w:hint="eastAsia" w:ascii="宋体" w:hAnsi="宋体" w:eastAsia="宋体" w:cs="宋体"/>
                <w:color w:val="auto"/>
                <w:sz w:val="21"/>
                <w:szCs w:val="21"/>
                <w:highlight w:val="none"/>
              </w:rPr>
              <w:t>的</w:t>
            </w:r>
            <w:r>
              <w:rPr>
                <w:rFonts w:hint="eastAsia" w:ascii="宋体" w:hAnsi="宋体" w:cs="宋体"/>
                <w:color w:val="auto"/>
                <w:spacing w:val="4"/>
                <w:position w:val="1"/>
                <w:sz w:val="21"/>
                <w:szCs w:val="21"/>
                <w:u w:val="single"/>
                <w:lang w:val="en-US" w:eastAsia="zh-CN"/>
              </w:rPr>
              <w:t xml:space="preserve"> / </w:t>
            </w: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footnoteReference w:id="37"/>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A5F295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36</w:t>
            </w:r>
          </w:p>
        </w:tc>
        <w:tc>
          <w:tcPr>
            <w:tcW w:w="1384" w:type="dxa"/>
            <w:vAlign w:val="center"/>
          </w:tcPr>
          <w:p w14:paraId="77882117">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4"/>
                <w:sz w:val="21"/>
                <w:szCs w:val="21"/>
                <w:highlight w:val="none"/>
              </w:rPr>
              <w:t>7.3.1</w:t>
            </w:r>
          </w:p>
        </w:tc>
        <w:tc>
          <w:tcPr>
            <w:tcW w:w="7054" w:type="dxa"/>
            <w:tcBorders>
              <w:right w:val="single" w:color="000000" w:sz="6" w:space="0"/>
            </w:tcBorders>
            <w:vAlign w:val="center"/>
          </w:tcPr>
          <w:p w14:paraId="038AA5D1">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付款周期及方式：根据财政拨款进度，按工程计量支付工程款。</w:t>
            </w:r>
          </w:p>
          <w:p w14:paraId="3C9BFE8A">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highlight w:val="none"/>
              </w:rPr>
              <w:t>本项目采用固定单价合同。</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26947FBD">
            <w:pPr>
              <w:keepLines w:val="0"/>
              <w:pageBreakBefore w:val="0"/>
              <w:widowControl w:val="0"/>
              <w:kinsoku/>
              <w:overflowPunct/>
              <w:topLinePunct w:val="0"/>
              <w:autoSpaceDE/>
              <w:autoSpaceDN/>
              <w:bidi w:val="0"/>
              <w:snapToGrid w:val="0"/>
              <w:spacing w:before="130" w:line="240" w:lineRule="auto"/>
              <w:ind w:left="105" w:leftChars="50" w:right="283"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7</w:t>
            </w:r>
          </w:p>
        </w:tc>
        <w:tc>
          <w:tcPr>
            <w:tcW w:w="1384" w:type="dxa"/>
            <w:vAlign w:val="center"/>
          </w:tcPr>
          <w:p w14:paraId="24D2DA3F">
            <w:pPr>
              <w:keepLines w:val="0"/>
              <w:pageBreakBefore w:val="0"/>
              <w:widowControl w:val="0"/>
              <w:kinsoku/>
              <w:overflowPunct/>
              <w:topLinePunct w:val="0"/>
              <w:autoSpaceDE/>
              <w:autoSpaceDN/>
              <w:bidi w:val="0"/>
              <w:snapToGrid w:val="0"/>
              <w:spacing w:before="94" w:line="240" w:lineRule="auto"/>
              <w:ind w:left="105" w:leftChars="50" w:right="283" w:rightChars="0" w:firstLine="0" w:firstLineChars="0"/>
              <w:jc w:val="center"/>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2"/>
                <w:sz w:val="21"/>
                <w:szCs w:val="21"/>
              </w:rPr>
              <w:t>17.3.3(1</w:t>
            </w:r>
            <w:r>
              <w:rPr>
                <w:rFonts w:hint="eastAsia" w:ascii="宋体" w:hAnsi="宋体" w:eastAsia="宋体" w:cs="宋体"/>
                <w:color w:val="auto"/>
                <w:sz w:val="21"/>
                <w:szCs w:val="21"/>
              </w:rPr>
              <w:t>)</w:t>
            </w:r>
          </w:p>
        </w:tc>
        <w:tc>
          <w:tcPr>
            <w:tcW w:w="7054" w:type="dxa"/>
            <w:tcBorders>
              <w:right w:val="single" w:color="000000" w:sz="6" w:space="0"/>
            </w:tcBorders>
            <w:shd w:val="clear" w:color="auto" w:fill="auto"/>
            <w:vAlign w:val="center"/>
          </w:tcPr>
          <w:p w14:paraId="77EE56B5">
            <w:pPr>
              <w:keepLines w:val="0"/>
              <w:pageBreakBefore w:val="0"/>
              <w:widowControl w:val="0"/>
              <w:kinsoku/>
              <w:overflowPunct/>
              <w:topLinePunct w:val="0"/>
              <w:autoSpaceDE/>
              <w:autoSpaceDN/>
              <w:bidi w:val="0"/>
              <w:snapToGrid w:val="0"/>
              <w:spacing w:before="103" w:line="240" w:lineRule="auto"/>
              <w:ind w:left="105" w:leftChars="50" w:right="283" w:rightChars="0" w:firstLine="0" w:firstLineChars="0"/>
              <w:jc w:val="left"/>
              <w:textAlignment w:val="auto"/>
              <w:rPr>
                <w:rFonts w:hint="eastAsia" w:ascii="宋体" w:hAnsi="宋体" w:eastAsia="宋体" w:cs="宋体"/>
                <w:color w:val="auto"/>
                <w:spacing w:val="7"/>
                <w:kern w:val="2"/>
                <w:sz w:val="21"/>
                <w:szCs w:val="21"/>
                <w:lang w:val="en-US" w:eastAsia="zh-CN" w:bidi="ar-SA"/>
              </w:rPr>
            </w:pPr>
            <w:r>
              <w:rPr>
                <w:rFonts w:hint="eastAsia" w:ascii="宋体" w:hAnsi="宋体" w:eastAsia="宋体" w:cs="宋体"/>
                <w:color w:val="auto"/>
                <w:sz w:val="21"/>
                <w:szCs w:val="21"/>
                <w:highlight w:val="none"/>
              </w:rPr>
              <w:t>进度付款证书最低限额：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%签约合同价或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Style w:val="48"/>
                <w:rFonts w:hint="eastAsia" w:ascii="宋体" w:hAnsi="宋体" w:eastAsia="宋体" w:cs="宋体"/>
                <w:color w:val="auto"/>
                <w:sz w:val="21"/>
                <w:szCs w:val="21"/>
                <w:highlight w:val="none"/>
              </w:rPr>
              <w:footnoteReference w:id="38"/>
            </w:r>
          </w:p>
        </w:tc>
      </w:tr>
      <w:tr w14:paraId="33CD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43BA1A8B">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8</w:t>
            </w:r>
          </w:p>
        </w:tc>
        <w:tc>
          <w:tcPr>
            <w:tcW w:w="1384" w:type="dxa"/>
            <w:vAlign w:val="center"/>
          </w:tcPr>
          <w:p w14:paraId="525DDE83">
            <w:pPr>
              <w:keepLines w:val="0"/>
              <w:pageBreakBefore w:val="0"/>
              <w:widowControl w:val="0"/>
              <w:kinsoku/>
              <w:wordWrap w:val="0"/>
              <w:overflowPunct/>
              <w:topLinePunct w:val="0"/>
              <w:autoSpaceDE/>
              <w:autoSpaceDN/>
              <w:bidi w:val="0"/>
              <w:snapToGrid w:val="0"/>
              <w:spacing w:line="240" w:lineRule="auto"/>
              <w:ind w:left="105" w:leftChars="50" w:right="283" w:rightChars="0" w:firstLine="0" w:firstLineChars="0"/>
              <w:jc w:val="center"/>
              <w:textAlignment w:val="auto"/>
              <w:rPr>
                <w:rFonts w:hint="eastAsia" w:ascii="宋体" w:hAnsi="宋体" w:eastAsia="宋体" w:cs="宋体"/>
                <w:color w:val="auto"/>
                <w:spacing w:val="2"/>
                <w:sz w:val="21"/>
                <w:szCs w:val="21"/>
              </w:rPr>
            </w:pPr>
            <w:r>
              <w:rPr>
                <w:rFonts w:hint="eastAsia" w:ascii="宋体" w:hAnsi="宋体" w:eastAsia="宋体" w:cs="宋体"/>
                <w:color w:val="auto"/>
                <w:sz w:val="21"/>
                <w:szCs w:val="21"/>
                <w:highlight w:val="none"/>
              </w:rPr>
              <w:t>17.3.3（2）</w:t>
            </w:r>
          </w:p>
        </w:tc>
        <w:tc>
          <w:tcPr>
            <w:tcW w:w="7054" w:type="dxa"/>
            <w:tcBorders>
              <w:right w:val="single" w:color="000000" w:sz="6" w:space="0"/>
            </w:tcBorders>
            <w:shd w:val="clear" w:color="auto" w:fill="auto"/>
            <w:vAlign w:val="center"/>
          </w:tcPr>
          <w:p w14:paraId="7FED5C4A">
            <w:pPr>
              <w:keepLines w:val="0"/>
              <w:pageBreakBefore w:val="0"/>
              <w:widowControl w:val="0"/>
              <w:kinsoku/>
              <w:wordWrap w:val="0"/>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逾期付款违约金的利率：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w:t>
            </w:r>
            <w:r>
              <w:rPr>
                <w:rStyle w:val="48"/>
                <w:rFonts w:hint="eastAsia" w:ascii="宋体" w:hAnsi="宋体" w:eastAsia="宋体" w:cs="宋体"/>
                <w:color w:val="auto"/>
                <w:sz w:val="21"/>
                <w:szCs w:val="21"/>
                <w:highlight w:val="none"/>
              </w:rPr>
              <w:footnoteReference w:id="39"/>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0262251E">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z w:val="21"/>
                <w:szCs w:val="21"/>
                <w:lang w:val="en-US" w:eastAsia="zh-CN"/>
              </w:rPr>
              <w:t>39</w:t>
            </w:r>
          </w:p>
        </w:tc>
        <w:tc>
          <w:tcPr>
            <w:tcW w:w="1384" w:type="dxa"/>
            <w:vAlign w:val="center"/>
          </w:tcPr>
          <w:p w14:paraId="05ECA2CB">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1"/>
                <w:sz w:val="21"/>
                <w:szCs w:val="21"/>
                <w:highlight w:val="none"/>
              </w:rPr>
              <w:t>17.3.</w:t>
            </w:r>
            <w:r>
              <w:rPr>
                <w:rFonts w:hint="eastAsia" w:ascii="宋体" w:hAnsi="宋体" w:eastAsia="宋体" w:cs="宋体"/>
                <w:color w:val="auto"/>
                <w:sz w:val="21"/>
                <w:szCs w:val="21"/>
                <w:highlight w:val="none"/>
              </w:rPr>
              <w:t>5</w:t>
            </w:r>
          </w:p>
        </w:tc>
        <w:tc>
          <w:tcPr>
            <w:tcW w:w="7054" w:type="dxa"/>
            <w:tcBorders>
              <w:right w:val="single" w:color="000000" w:sz="6" w:space="0"/>
            </w:tcBorders>
            <w:vAlign w:val="center"/>
          </w:tcPr>
          <w:p w14:paraId="73F4D354">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12"/>
                <w:sz w:val="21"/>
                <w:szCs w:val="21"/>
              </w:rPr>
              <w:t>农民工工资保证金的额度、提交形式、使用范围、扣留条件、返还时间：执</w:t>
            </w:r>
            <w:r>
              <w:rPr>
                <w:rFonts w:hint="eastAsia" w:ascii="宋体" w:hAnsi="宋体" w:eastAsia="宋体" w:cs="宋体"/>
                <w:color w:val="auto"/>
                <w:spacing w:val="12"/>
                <w:sz w:val="21"/>
                <w:szCs w:val="21"/>
                <w:lang w:val="en-US" w:eastAsia="zh-CN"/>
              </w:rPr>
              <w:t>行项</w:t>
            </w:r>
            <w:r>
              <w:rPr>
                <w:rFonts w:hint="eastAsia" w:ascii="宋体" w:hAnsi="宋体" w:eastAsia="宋体" w:cs="宋体"/>
                <w:color w:val="auto"/>
                <w:spacing w:val="12"/>
                <w:sz w:val="21"/>
                <w:szCs w:val="21"/>
              </w:rPr>
              <w:t>目所在省、市的人力资源社会保障行政部门、交通运输主管部门等施行的规定。</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6D657B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40</w:t>
            </w:r>
          </w:p>
        </w:tc>
        <w:tc>
          <w:tcPr>
            <w:tcW w:w="1384" w:type="dxa"/>
            <w:vAlign w:val="center"/>
          </w:tcPr>
          <w:p w14:paraId="72CC568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7"/>
                <w:sz w:val="21"/>
                <w:szCs w:val="21"/>
              </w:rPr>
              <w:t>1</w:t>
            </w:r>
            <w:r>
              <w:rPr>
                <w:rFonts w:hint="eastAsia" w:ascii="宋体" w:hAnsi="宋体" w:eastAsia="宋体" w:cs="宋体"/>
                <w:color w:val="auto"/>
                <w:spacing w:val="-4"/>
                <w:sz w:val="21"/>
                <w:szCs w:val="21"/>
              </w:rPr>
              <w:t>7.4.1</w:t>
            </w:r>
          </w:p>
        </w:tc>
        <w:tc>
          <w:tcPr>
            <w:tcW w:w="7054" w:type="dxa"/>
            <w:tcBorders>
              <w:right w:val="single" w:color="000000" w:sz="6" w:space="0"/>
            </w:tcBorders>
            <w:vAlign w:val="center"/>
          </w:tcPr>
          <w:p w14:paraId="48A1A9CD">
            <w:pPr>
              <w:keepLines w:val="0"/>
              <w:pageBreakBefore w:val="0"/>
              <w:widowControl w:val="0"/>
              <w:kinsoku/>
              <w:overflowPunct/>
              <w:topLinePunct w:val="0"/>
              <w:autoSpaceDE/>
              <w:autoSpaceDN/>
              <w:bidi w:val="0"/>
              <w:snapToGrid w:val="0"/>
              <w:spacing w:before="10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质量保证金</w:t>
            </w:r>
            <w:r>
              <w:rPr>
                <w:rFonts w:hint="eastAsia" w:ascii="宋体" w:hAnsi="宋体" w:eastAsia="宋体" w:cs="宋体"/>
                <w:color w:val="auto"/>
                <w:spacing w:val="8"/>
                <w:sz w:val="21"/>
                <w:szCs w:val="21"/>
                <w:highlight w:val="none"/>
              </w:rPr>
              <w:t>金</w:t>
            </w:r>
            <w:r>
              <w:rPr>
                <w:rFonts w:hint="eastAsia" w:ascii="宋体" w:hAnsi="宋体" w:eastAsia="宋体" w:cs="宋体"/>
                <w:color w:val="auto"/>
                <w:spacing w:val="5"/>
                <w:sz w:val="21"/>
                <w:szCs w:val="21"/>
                <w:highlight w:val="none"/>
              </w:rPr>
              <w:t>额，规定为：</w:t>
            </w:r>
            <w:r>
              <w:rPr>
                <w:rFonts w:hint="eastAsia" w:ascii="宋体" w:hAnsi="宋体" w:cs="宋体"/>
                <w:color w:val="auto"/>
                <w:spacing w:val="5"/>
                <w:sz w:val="21"/>
                <w:szCs w:val="21"/>
                <w:highlight w:val="none"/>
                <w:u w:val="single" w:color="auto"/>
                <w:lang w:val="en-US" w:eastAsia="zh-CN"/>
              </w:rPr>
              <w:t xml:space="preserve"> </w:t>
            </w:r>
            <w:r>
              <w:rPr>
                <w:rFonts w:hint="eastAsia" w:ascii="宋体" w:hAnsi="宋体" w:eastAsia="宋体" w:cs="宋体"/>
                <w:color w:val="auto"/>
                <w:spacing w:val="5"/>
                <w:sz w:val="21"/>
                <w:szCs w:val="21"/>
                <w:highlight w:val="none"/>
                <w:u w:val="single" w:color="auto"/>
                <w:lang w:val="en-US" w:eastAsia="zh-CN"/>
              </w:rPr>
              <w:t>2</w:t>
            </w:r>
            <w:r>
              <w:rPr>
                <w:rFonts w:hint="eastAsia" w:ascii="宋体" w:hAnsi="宋体" w:eastAsia="宋体" w:cs="宋体"/>
                <w:color w:val="auto"/>
                <w:spacing w:val="5"/>
                <w:sz w:val="21"/>
                <w:szCs w:val="21"/>
                <w:highlight w:val="none"/>
                <w:u w:val="single" w:color="auto"/>
              </w:rPr>
              <w:t>%</w:t>
            </w:r>
            <w:r>
              <w:rPr>
                <w:rFonts w:hint="eastAsia" w:ascii="宋体" w:hAnsi="宋体" w:cs="宋体"/>
                <w:color w:val="auto"/>
                <w:spacing w:val="5"/>
                <w:sz w:val="21"/>
                <w:szCs w:val="21"/>
                <w:highlight w:val="none"/>
                <w:u w:val="single" w:color="auto"/>
                <w:lang w:val="en-US" w:eastAsia="zh-CN"/>
              </w:rPr>
              <w:t xml:space="preserve"> </w:t>
            </w:r>
            <w:r>
              <w:rPr>
                <w:rFonts w:hint="eastAsia" w:ascii="宋体" w:hAnsi="宋体" w:eastAsia="宋体" w:cs="宋体"/>
                <w:color w:val="auto"/>
                <w:spacing w:val="5"/>
                <w:sz w:val="21"/>
                <w:szCs w:val="21"/>
                <w:highlight w:val="none"/>
              </w:rPr>
              <w:t>工程价款结算总额，质量保证金不计付利息。</w:t>
            </w:r>
          </w:p>
          <w:p w14:paraId="210DC3FA">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1)承包人质量保证金采用银行保函形式的，在发包人与承包</w:t>
            </w:r>
            <w:r>
              <w:rPr>
                <w:rFonts w:hint="eastAsia" w:ascii="宋体" w:hAnsi="宋体" w:eastAsia="宋体" w:cs="宋体"/>
                <w:color w:val="auto"/>
                <w:spacing w:val="14"/>
                <w:sz w:val="21"/>
                <w:szCs w:val="21"/>
                <w:highlight w:val="none"/>
              </w:rPr>
              <w:t>人</w:t>
            </w:r>
            <w:r>
              <w:rPr>
                <w:rFonts w:hint="eastAsia" w:ascii="宋体" w:hAnsi="宋体" w:eastAsia="宋体" w:cs="宋体"/>
                <w:color w:val="auto"/>
                <w:spacing w:val="12"/>
                <w:sz w:val="21"/>
                <w:szCs w:val="21"/>
                <w:highlight w:val="none"/>
              </w:rPr>
              <w:t>完成本合同工程价款结算后，承包人应在工程验收证书颁发之前，按《项目专</w:t>
            </w:r>
            <w:r>
              <w:rPr>
                <w:rFonts w:hint="eastAsia" w:ascii="宋体" w:hAnsi="宋体" w:eastAsia="宋体" w:cs="宋体"/>
                <w:color w:val="auto"/>
                <w:spacing w:val="9"/>
                <w:sz w:val="21"/>
                <w:szCs w:val="21"/>
                <w:highlight w:val="none"/>
              </w:rPr>
              <w:t>用合同条款数据表》中规定的额度向发包人提交质量保证金银行保函，出具保</w:t>
            </w:r>
            <w:r>
              <w:rPr>
                <w:rFonts w:hint="eastAsia" w:ascii="宋体" w:hAnsi="宋体" w:eastAsia="宋体" w:cs="宋体"/>
                <w:color w:val="auto"/>
                <w:spacing w:val="7"/>
                <w:sz w:val="21"/>
                <w:szCs w:val="21"/>
                <w:highlight w:val="none"/>
              </w:rPr>
              <w:t>函</w:t>
            </w:r>
            <w:r>
              <w:rPr>
                <w:rFonts w:hint="eastAsia" w:ascii="宋体" w:hAnsi="宋体" w:eastAsia="宋体" w:cs="宋体"/>
                <w:color w:val="auto"/>
                <w:spacing w:val="14"/>
                <w:sz w:val="21"/>
                <w:szCs w:val="21"/>
                <w:highlight w:val="none"/>
              </w:rPr>
              <w:t>的</w:t>
            </w:r>
            <w:r>
              <w:rPr>
                <w:rFonts w:hint="eastAsia" w:ascii="宋体" w:hAnsi="宋体" w:eastAsia="宋体" w:cs="宋体"/>
                <w:color w:val="auto"/>
                <w:spacing w:val="12"/>
                <w:sz w:val="21"/>
                <w:szCs w:val="21"/>
                <w:highlight w:val="none"/>
              </w:rPr>
              <w:t>银行须具有相应担保能力，且按照发包人批准的格式出具，所需费用由承包人</w:t>
            </w:r>
            <w:r>
              <w:rPr>
                <w:rFonts w:hint="eastAsia" w:ascii="宋体" w:hAnsi="宋体" w:eastAsia="宋体" w:cs="宋体"/>
                <w:color w:val="auto"/>
                <w:spacing w:val="9"/>
                <w:sz w:val="21"/>
                <w:szCs w:val="21"/>
                <w:highlight w:val="none"/>
              </w:rPr>
              <w:t>承担，保函的有效期应至缺陷责任期满之日止。</w:t>
            </w:r>
          </w:p>
          <w:p w14:paraId="3F600CAF">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11"/>
                <w:position w:val="14"/>
                <w:sz w:val="21"/>
                <w:szCs w:val="21"/>
                <w:highlight w:val="none"/>
              </w:rPr>
            </w:pPr>
            <w:r>
              <w:rPr>
                <w:rFonts w:hint="eastAsia" w:ascii="宋体" w:hAnsi="宋体" w:eastAsia="宋体" w:cs="宋体"/>
                <w:color w:val="auto"/>
                <w:spacing w:val="20"/>
                <w:sz w:val="21"/>
                <w:szCs w:val="21"/>
                <w:highlight w:val="none"/>
              </w:rPr>
              <w:t>(2</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0"/>
                <w:sz w:val="21"/>
                <w:szCs w:val="21"/>
                <w:highlight w:val="none"/>
              </w:rPr>
              <w:t>承包人质量保证金采用现金(电汇或银行汇票形式)的，</w:t>
            </w:r>
            <w:r>
              <w:rPr>
                <w:rFonts w:hint="eastAsia" w:ascii="宋体" w:hAnsi="宋体" w:eastAsia="宋体" w:cs="宋体"/>
                <w:color w:val="auto"/>
                <w:spacing w:val="9"/>
                <w:sz w:val="21"/>
                <w:szCs w:val="21"/>
                <w:highlight w:val="none"/>
              </w:rPr>
              <w:t>承包人应在签发工程验收证书时，按《项目专用合同条款数据表》中的规定的</w:t>
            </w:r>
            <w:r>
              <w:rPr>
                <w:rFonts w:hint="eastAsia" w:ascii="宋体" w:hAnsi="宋体" w:eastAsia="宋体" w:cs="宋体"/>
                <w:color w:val="auto"/>
                <w:spacing w:val="7"/>
                <w:sz w:val="21"/>
                <w:szCs w:val="21"/>
                <w:highlight w:val="none"/>
              </w:rPr>
              <w:t>金</w:t>
            </w:r>
            <w:r>
              <w:rPr>
                <w:rFonts w:hint="eastAsia" w:ascii="宋体" w:hAnsi="宋体" w:eastAsia="宋体" w:cs="宋体"/>
                <w:color w:val="auto"/>
                <w:spacing w:val="13"/>
                <w:sz w:val="21"/>
                <w:szCs w:val="21"/>
                <w:highlight w:val="none"/>
              </w:rPr>
              <w:t>额</w:t>
            </w:r>
            <w:r>
              <w:rPr>
                <w:rFonts w:hint="eastAsia" w:ascii="宋体" w:hAnsi="宋体" w:eastAsia="宋体" w:cs="宋体"/>
                <w:color w:val="auto"/>
                <w:spacing w:val="8"/>
                <w:sz w:val="21"/>
                <w:szCs w:val="21"/>
                <w:highlight w:val="none"/>
              </w:rPr>
              <w:t>向发包人提交质量保证金。</w:t>
            </w:r>
          </w:p>
        </w:tc>
      </w:tr>
      <w:tr w14:paraId="35B0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2B0F42C8">
            <w:pPr>
              <w:keepLines w:val="0"/>
              <w:pageBreakBefore w:val="0"/>
              <w:widowControl w:val="0"/>
              <w:kinsoku/>
              <w:overflowPunct/>
              <w:topLinePunct w:val="0"/>
              <w:autoSpaceDE/>
              <w:autoSpaceDN/>
              <w:bidi w:val="0"/>
              <w:snapToGrid w:val="0"/>
              <w:spacing w:before="130" w:line="240" w:lineRule="auto"/>
              <w:ind w:left="105" w:leftChars="50" w:right="283"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1</w:t>
            </w:r>
          </w:p>
        </w:tc>
        <w:tc>
          <w:tcPr>
            <w:tcW w:w="1384" w:type="dxa"/>
            <w:vAlign w:val="center"/>
          </w:tcPr>
          <w:p w14:paraId="3DD4DFBC">
            <w:pPr>
              <w:keepLines w:val="0"/>
              <w:pageBreakBefore w:val="0"/>
              <w:widowControl w:val="0"/>
              <w:kinsoku/>
              <w:overflowPunct/>
              <w:topLinePunct w:val="0"/>
              <w:autoSpaceDE/>
              <w:autoSpaceDN/>
              <w:bidi w:val="0"/>
              <w:snapToGrid w:val="0"/>
              <w:spacing w:before="93"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17.5.1(1</w:t>
            </w:r>
            <w:r>
              <w:rPr>
                <w:rFonts w:hint="eastAsia" w:ascii="宋体" w:hAnsi="宋体" w:eastAsia="宋体" w:cs="宋体"/>
                <w:color w:val="auto"/>
                <w:spacing w:val="-2"/>
                <w:sz w:val="21"/>
                <w:szCs w:val="21"/>
              </w:rPr>
              <w:t>)</w:t>
            </w:r>
          </w:p>
        </w:tc>
        <w:tc>
          <w:tcPr>
            <w:tcW w:w="7054" w:type="dxa"/>
            <w:tcBorders>
              <w:right w:val="single" w:color="000000" w:sz="6" w:space="0"/>
            </w:tcBorders>
            <w:vAlign w:val="center"/>
          </w:tcPr>
          <w:p w14:paraId="015A0EAA">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承包人</w:t>
            </w:r>
            <w:r>
              <w:rPr>
                <w:rFonts w:hint="eastAsia" w:ascii="宋体" w:hAnsi="宋体" w:eastAsia="宋体" w:cs="宋体"/>
                <w:color w:val="auto"/>
                <w:spacing w:val="-7"/>
                <w:sz w:val="21"/>
                <w:szCs w:val="21"/>
                <w:highlight w:val="none"/>
              </w:rPr>
              <w:t>向</w:t>
            </w:r>
            <w:r>
              <w:rPr>
                <w:rFonts w:hint="eastAsia" w:ascii="宋体" w:hAnsi="宋体" w:eastAsia="宋体" w:cs="宋体"/>
                <w:color w:val="auto"/>
                <w:spacing w:val="-4"/>
                <w:sz w:val="21"/>
                <w:szCs w:val="21"/>
                <w:highlight w:val="none"/>
              </w:rPr>
              <w:t>监理人提交交工付款申请单(包括相关证明材料)的份数，规定为：</w:t>
            </w:r>
            <w:r>
              <w:rPr>
                <w:rFonts w:hint="eastAsia" w:ascii="宋体" w:hAnsi="宋体" w:cs="宋体"/>
                <w:color w:val="auto"/>
                <w:spacing w:val="-4"/>
                <w:sz w:val="21"/>
                <w:szCs w:val="21"/>
                <w:highlight w:val="none"/>
                <w:u w:val="none" w:color="auto"/>
                <w:lang w:val="en-US" w:eastAsia="zh-CN"/>
              </w:rPr>
              <w:t>7</w:t>
            </w:r>
            <w:r>
              <w:rPr>
                <w:rFonts w:hint="eastAsia" w:ascii="宋体" w:hAnsi="宋体" w:eastAsia="宋体" w:cs="宋体"/>
                <w:color w:val="auto"/>
                <w:spacing w:val="-4"/>
                <w:sz w:val="21"/>
                <w:szCs w:val="21"/>
                <w:highlight w:val="none"/>
                <w:u w:val="none" w:color="auto"/>
              </w:rPr>
              <w:t>份</w:t>
            </w:r>
          </w:p>
        </w:tc>
      </w:tr>
      <w:tr w14:paraId="0C59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7D7FD0A5">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2</w:t>
            </w:r>
          </w:p>
        </w:tc>
        <w:tc>
          <w:tcPr>
            <w:tcW w:w="1384" w:type="dxa"/>
            <w:vAlign w:val="center"/>
          </w:tcPr>
          <w:p w14:paraId="7FE774A6">
            <w:pPr>
              <w:keepLines w:val="0"/>
              <w:pageBreakBefore w:val="0"/>
              <w:widowControl w:val="0"/>
              <w:kinsoku/>
              <w:overflowPunct/>
              <w:topLinePunct w:val="0"/>
              <w:autoSpaceDE/>
              <w:autoSpaceDN/>
              <w:bidi w:val="0"/>
              <w:snapToGrid w:val="0"/>
              <w:spacing w:before="91"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17.6.1(1</w:t>
            </w:r>
            <w:r>
              <w:rPr>
                <w:rFonts w:hint="eastAsia" w:ascii="宋体" w:hAnsi="宋体" w:eastAsia="宋体" w:cs="宋体"/>
                <w:color w:val="auto"/>
                <w:spacing w:val="-2"/>
                <w:sz w:val="21"/>
                <w:szCs w:val="21"/>
              </w:rPr>
              <w:t>)</w:t>
            </w:r>
          </w:p>
        </w:tc>
        <w:tc>
          <w:tcPr>
            <w:tcW w:w="7054" w:type="dxa"/>
            <w:tcBorders>
              <w:right w:val="single" w:color="000000" w:sz="6" w:space="0"/>
            </w:tcBorders>
            <w:vAlign w:val="center"/>
          </w:tcPr>
          <w:p w14:paraId="77867000">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承包人向监理人提交最终结清申请单(包括相关证明材料)的份数，规定为：</w:t>
            </w:r>
            <w:r>
              <w:rPr>
                <w:rFonts w:hint="eastAsia" w:ascii="宋体" w:hAnsi="宋体" w:cs="宋体"/>
                <w:color w:val="auto"/>
                <w:spacing w:val="-8"/>
                <w:sz w:val="21"/>
                <w:szCs w:val="21"/>
                <w:highlight w:val="none"/>
                <w:u w:val="none"/>
                <w:lang w:val="en-US" w:eastAsia="zh-CN"/>
              </w:rPr>
              <w:t>7</w:t>
            </w:r>
            <w:r>
              <w:rPr>
                <w:rFonts w:hint="eastAsia" w:ascii="宋体" w:hAnsi="宋体" w:eastAsia="宋体" w:cs="宋体"/>
                <w:color w:val="auto"/>
                <w:spacing w:val="-5"/>
                <w:sz w:val="21"/>
                <w:szCs w:val="21"/>
                <w:highlight w:val="none"/>
                <w:u w:val="none"/>
              </w:rPr>
              <w:t>份</w:t>
            </w:r>
          </w:p>
        </w:tc>
      </w:tr>
      <w:tr w14:paraId="6C4C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10CC7FE9">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3</w:t>
            </w:r>
          </w:p>
        </w:tc>
        <w:tc>
          <w:tcPr>
            <w:tcW w:w="1384" w:type="dxa"/>
            <w:vAlign w:val="center"/>
          </w:tcPr>
          <w:p w14:paraId="2BA2712E">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18.2(2</w:t>
            </w:r>
            <w:r>
              <w:rPr>
                <w:rFonts w:hint="eastAsia" w:ascii="宋体" w:hAnsi="宋体" w:eastAsia="宋体" w:cs="宋体"/>
                <w:color w:val="auto"/>
                <w:sz w:val="21"/>
                <w:szCs w:val="21"/>
              </w:rPr>
              <w:t>)</w:t>
            </w:r>
          </w:p>
        </w:tc>
        <w:tc>
          <w:tcPr>
            <w:tcW w:w="7054" w:type="dxa"/>
            <w:tcBorders>
              <w:right w:val="single" w:color="000000" w:sz="6" w:space="0"/>
            </w:tcBorders>
            <w:vAlign w:val="center"/>
          </w:tcPr>
          <w:p w14:paraId="4F4066FC">
            <w:pPr>
              <w:keepLines w:val="0"/>
              <w:pageBreakBefore w:val="0"/>
              <w:widowControl w:val="0"/>
              <w:kinsoku/>
              <w:overflowPunct/>
              <w:topLinePunct w:val="0"/>
              <w:autoSpaceDE/>
              <w:autoSpaceDN/>
              <w:bidi w:val="0"/>
              <w:snapToGrid w:val="0"/>
              <w:spacing w:before="157"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竣工资料的份数，规定为：</w:t>
            </w:r>
            <w:r>
              <w:rPr>
                <w:rFonts w:hint="eastAsia" w:ascii="宋体" w:hAnsi="宋体" w:cs="宋体"/>
                <w:color w:val="auto"/>
                <w:spacing w:val="-5"/>
                <w:sz w:val="21"/>
                <w:szCs w:val="21"/>
                <w:highlight w:val="none"/>
                <w:lang w:val="en-US" w:eastAsia="zh-CN"/>
              </w:rPr>
              <w:t>5</w:t>
            </w:r>
            <w:r>
              <w:rPr>
                <w:rFonts w:hint="eastAsia" w:ascii="宋体" w:hAnsi="宋体" w:eastAsia="宋体" w:cs="宋体"/>
                <w:color w:val="auto"/>
                <w:spacing w:val="-3"/>
                <w:sz w:val="21"/>
                <w:szCs w:val="21"/>
                <w:highlight w:val="none"/>
              </w:rPr>
              <w:t>份</w:t>
            </w:r>
          </w:p>
        </w:tc>
      </w:tr>
      <w:tr w14:paraId="0FAD3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22DEFDB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4</w:t>
            </w:r>
          </w:p>
        </w:tc>
        <w:tc>
          <w:tcPr>
            <w:tcW w:w="1384" w:type="dxa"/>
            <w:vAlign w:val="center"/>
          </w:tcPr>
          <w:p w14:paraId="30FDF9BE">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1</w:t>
            </w:r>
            <w:r>
              <w:rPr>
                <w:rFonts w:hint="eastAsia" w:ascii="宋体" w:hAnsi="宋体" w:eastAsia="宋体" w:cs="宋体"/>
                <w:color w:val="auto"/>
                <w:spacing w:val="-4"/>
                <w:sz w:val="21"/>
                <w:szCs w:val="21"/>
              </w:rPr>
              <w:t>8.5.1</w:t>
            </w:r>
          </w:p>
        </w:tc>
        <w:tc>
          <w:tcPr>
            <w:tcW w:w="7054" w:type="dxa"/>
            <w:tcBorders>
              <w:right w:val="single" w:color="000000" w:sz="6" w:space="0"/>
            </w:tcBorders>
            <w:vAlign w:val="center"/>
          </w:tcPr>
          <w:p w14:paraId="10BEAEB2">
            <w:pPr>
              <w:keepLines w:val="0"/>
              <w:pageBreakBefore w:val="0"/>
              <w:widowControl w:val="0"/>
              <w:kinsoku/>
              <w:overflowPunct/>
              <w:topLinePunct w:val="0"/>
              <w:autoSpaceDE/>
              <w:autoSpaceDN/>
              <w:bidi w:val="0"/>
              <w:snapToGrid w:val="0"/>
              <w:spacing w:before="15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单</w:t>
            </w:r>
            <w:r>
              <w:rPr>
                <w:rFonts w:hint="eastAsia" w:ascii="宋体" w:hAnsi="宋体" w:eastAsia="宋体" w:cs="宋体"/>
                <w:color w:val="auto"/>
                <w:spacing w:val="9"/>
                <w:sz w:val="21"/>
                <w:szCs w:val="21"/>
                <w:highlight w:val="none"/>
              </w:rPr>
              <w:t>位工程或工程设备是否需投入施工期运行，规定为：</w:t>
            </w:r>
            <w:r>
              <w:rPr>
                <w:rFonts w:hint="eastAsia" w:ascii="宋体" w:hAnsi="宋体" w:eastAsia="宋体" w:cs="宋体"/>
                <w:color w:val="auto"/>
                <w:spacing w:val="9"/>
                <w:sz w:val="21"/>
                <w:szCs w:val="21"/>
                <w:highlight w:val="none"/>
                <w:u w:val="single" w:color="auto"/>
              </w:rPr>
              <w:t>否</w:t>
            </w:r>
          </w:p>
          <w:p w14:paraId="36D63BE0">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如单位工程或工程设备需要进行施工期运行，需要施工期运行的单位工程或</w:t>
            </w:r>
            <w:r>
              <w:rPr>
                <w:rFonts w:hint="eastAsia" w:ascii="宋体" w:hAnsi="宋体" w:eastAsia="宋体" w:cs="宋体"/>
                <w:color w:val="auto"/>
                <w:spacing w:val="11"/>
                <w:sz w:val="21"/>
                <w:szCs w:val="21"/>
                <w:highlight w:val="none"/>
              </w:rPr>
              <w:t>工</w:t>
            </w:r>
            <w:r>
              <w:rPr>
                <w:rFonts w:hint="eastAsia" w:ascii="宋体" w:hAnsi="宋体" w:eastAsia="宋体" w:cs="宋体"/>
                <w:color w:val="auto"/>
                <w:spacing w:val="1"/>
                <w:sz w:val="21"/>
                <w:szCs w:val="21"/>
                <w:highlight w:val="none"/>
              </w:rPr>
              <w:t>程设备，具体规定为：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14:paraId="2B000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6C0115B0">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5</w:t>
            </w:r>
          </w:p>
        </w:tc>
        <w:tc>
          <w:tcPr>
            <w:tcW w:w="1384" w:type="dxa"/>
            <w:vAlign w:val="center"/>
          </w:tcPr>
          <w:p w14:paraId="6C3DA383">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1</w:t>
            </w:r>
            <w:r>
              <w:rPr>
                <w:rFonts w:hint="eastAsia" w:ascii="宋体" w:hAnsi="宋体" w:eastAsia="宋体" w:cs="宋体"/>
                <w:color w:val="auto"/>
                <w:spacing w:val="-4"/>
                <w:sz w:val="21"/>
                <w:szCs w:val="21"/>
              </w:rPr>
              <w:t>8.6.1</w:t>
            </w:r>
          </w:p>
        </w:tc>
        <w:tc>
          <w:tcPr>
            <w:tcW w:w="7054" w:type="dxa"/>
            <w:tcBorders>
              <w:right w:val="single" w:color="000000" w:sz="6" w:space="0"/>
            </w:tcBorders>
            <w:vAlign w:val="center"/>
          </w:tcPr>
          <w:p w14:paraId="0E7DA44F">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本工程及工程设备是否进行试运行，规定为：</w:t>
            </w:r>
            <w:r>
              <w:rPr>
                <w:rFonts w:hint="eastAsia" w:ascii="宋体" w:hAnsi="宋体" w:eastAsia="宋体" w:cs="宋体"/>
                <w:color w:val="auto"/>
                <w:spacing w:val="9"/>
                <w:sz w:val="21"/>
                <w:szCs w:val="21"/>
                <w:highlight w:val="none"/>
                <w:u w:val="single" w:color="auto"/>
              </w:rPr>
              <w:t>否</w:t>
            </w:r>
          </w:p>
          <w:p w14:paraId="65CEC337">
            <w:pPr>
              <w:keepLines w:val="0"/>
              <w:pageBreakBefore w:val="0"/>
              <w:widowControl w:val="0"/>
              <w:kinsoku/>
              <w:overflowPunct/>
              <w:topLinePunct w:val="0"/>
              <w:autoSpaceDE/>
              <w:autoSpaceDN/>
              <w:bidi w:val="0"/>
              <w:snapToGrid w:val="0"/>
              <w:spacing w:before="12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如本工程及工程设备需要进行试运行，试运行的</w:t>
            </w:r>
            <w:r>
              <w:rPr>
                <w:rFonts w:hint="eastAsia" w:ascii="宋体" w:hAnsi="宋体" w:eastAsia="宋体" w:cs="宋体"/>
                <w:color w:val="auto"/>
                <w:position w:val="1"/>
                <w:sz w:val="21"/>
                <w:szCs w:val="21"/>
                <w:highlight w:val="none"/>
              </w:rPr>
              <w:t>具体规定为：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14:paraId="5650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788A905">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6</w:t>
            </w:r>
          </w:p>
        </w:tc>
        <w:tc>
          <w:tcPr>
            <w:tcW w:w="1384" w:type="dxa"/>
            <w:vAlign w:val="center"/>
          </w:tcPr>
          <w:p w14:paraId="38B072A2">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19.7(1</w:t>
            </w:r>
            <w:r>
              <w:rPr>
                <w:rFonts w:hint="eastAsia" w:ascii="宋体" w:hAnsi="宋体" w:eastAsia="宋体" w:cs="宋体"/>
                <w:color w:val="auto"/>
                <w:sz w:val="21"/>
                <w:szCs w:val="21"/>
                <w:highlight w:val="none"/>
              </w:rPr>
              <w:t>)</w:t>
            </w:r>
          </w:p>
        </w:tc>
        <w:tc>
          <w:tcPr>
            <w:tcW w:w="7054" w:type="dxa"/>
            <w:tcBorders>
              <w:right w:val="single" w:color="000000" w:sz="6" w:space="0"/>
            </w:tcBorders>
            <w:vAlign w:val="center"/>
          </w:tcPr>
          <w:p w14:paraId="73F2E9EB">
            <w:pPr>
              <w:keepLines w:val="0"/>
              <w:pageBreakBefore w:val="0"/>
              <w:widowControl w:val="0"/>
              <w:kinsoku/>
              <w:overflowPunct/>
              <w:topLinePunct w:val="0"/>
              <w:autoSpaceDE/>
              <w:autoSpaceDN/>
              <w:bidi w:val="0"/>
              <w:snapToGrid w:val="0"/>
              <w:spacing w:before="16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保</w:t>
            </w:r>
            <w:r>
              <w:rPr>
                <w:rFonts w:hint="eastAsia" w:ascii="宋体" w:hAnsi="宋体" w:eastAsia="宋体" w:cs="宋体"/>
                <w:color w:val="auto"/>
                <w:spacing w:val="4"/>
                <w:sz w:val="21"/>
                <w:szCs w:val="21"/>
                <w:highlight w:val="none"/>
              </w:rPr>
              <w:t>修期：自实际交工验收合格之日起计算12个月</w:t>
            </w:r>
          </w:p>
        </w:tc>
      </w:tr>
      <w:tr w14:paraId="7B9B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7" w:hRule="atLeast"/>
          <w:jc w:val="center"/>
        </w:trPr>
        <w:tc>
          <w:tcPr>
            <w:tcW w:w="624" w:type="dxa"/>
            <w:tcBorders>
              <w:left w:val="single" w:color="000000" w:sz="6" w:space="0"/>
            </w:tcBorders>
            <w:vAlign w:val="center"/>
          </w:tcPr>
          <w:p w14:paraId="6666F1B5">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7</w:t>
            </w:r>
          </w:p>
        </w:tc>
        <w:tc>
          <w:tcPr>
            <w:tcW w:w="1384" w:type="dxa"/>
            <w:vAlign w:val="center"/>
          </w:tcPr>
          <w:p w14:paraId="0B37B48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2</w:t>
            </w:r>
            <w:r>
              <w:rPr>
                <w:rFonts w:hint="eastAsia" w:ascii="宋体" w:hAnsi="宋体" w:eastAsia="宋体" w:cs="宋体"/>
                <w:color w:val="auto"/>
                <w:spacing w:val="-4"/>
                <w:sz w:val="21"/>
                <w:szCs w:val="21"/>
              </w:rPr>
              <w:t>0</w:t>
            </w:r>
            <w:r>
              <w:rPr>
                <w:rFonts w:hint="eastAsia" w:ascii="宋体" w:hAnsi="宋体" w:eastAsia="宋体" w:cs="宋体"/>
                <w:color w:val="auto"/>
                <w:spacing w:val="-3"/>
                <w:sz w:val="21"/>
                <w:szCs w:val="21"/>
              </w:rPr>
              <w:t>.1</w:t>
            </w:r>
          </w:p>
        </w:tc>
        <w:tc>
          <w:tcPr>
            <w:tcW w:w="7054" w:type="dxa"/>
            <w:tcBorders>
              <w:right w:val="single" w:color="000000" w:sz="6" w:space="0"/>
            </w:tcBorders>
            <w:vAlign w:val="center"/>
          </w:tcPr>
          <w:p w14:paraId="4DD3E63A">
            <w:pPr>
              <w:keepLines w:val="0"/>
              <w:pageBreakBefore w:val="0"/>
              <w:widowControl w:val="0"/>
              <w:kinsoku/>
              <w:overflowPunct/>
              <w:topLinePunct w:val="0"/>
              <w:autoSpaceDE/>
              <w:autoSpaceDN/>
              <w:bidi w:val="0"/>
              <w:snapToGrid w:val="0"/>
              <w:spacing w:before="15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建筑工程一切险的投保内容：为本合同工程的永久工程、临时工程和设备及已</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9"/>
                <w:sz w:val="21"/>
                <w:szCs w:val="21"/>
                <w:highlight w:val="none"/>
              </w:rPr>
              <w:t>至施工工地用于永久工程的材料和设备所投的保险。</w:t>
            </w:r>
          </w:p>
          <w:p w14:paraId="4774F2C6">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保险金额：工程量清单全部章节的合计金额</w:t>
            </w:r>
            <w:r>
              <w:rPr>
                <w:rFonts w:hint="eastAsia" w:ascii="宋体" w:hAnsi="宋体" w:eastAsia="宋体" w:cs="宋体"/>
                <w:color w:val="auto"/>
                <w:spacing w:val="8"/>
                <w:sz w:val="21"/>
                <w:szCs w:val="21"/>
                <w:highlight w:val="none"/>
              </w:rPr>
              <w:t>。</w:t>
            </w:r>
          </w:p>
          <w:p w14:paraId="072C5567">
            <w:pPr>
              <w:keepLines w:val="0"/>
              <w:pageBreakBefore w:val="0"/>
              <w:widowControl w:val="0"/>
              <w:kinsoku/>
              <w:overflowPunct/>
              <w:topLinePunct w:val="0"/>
              <w:autoSpaceDE/>
              <w:autoSpaceDN/>
              <w:bidi w:val="0"/>
              <w:snapToGrid w:val="0"/>
              <w:spacing w:before="115"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保</w:t>
            </w:r>
            <w:r>
              <w:rPr>
                <w:rFonts w:hint="eastAsia" w:ascii="宋体" w:hAnsi="宋体" w:eastAsia="宋体" w:cs="宋体"/>
                <w:color w:val="auto"/>
                <w:spacing w:val="5"/>
                <w:sz w:val="21"/>
                <w:szCs w:val="21"/>
                <w:highlight w:val="none"/>
              </w:rPr>
              <w:t>险费率：</w:t>
            </w:r>
            <w:r>
              <w:rPr>
                <w:rFonts w:hint="eastAsia" w:ascii="宋体" w:hAnsi="宋体" w:eastAsia="宋体" w:cs="宋体"/>
                <w:color w:val="auto"/>
                <w:spacing w:val="5"/>
                <w:sz w:val="21"/>
                <w:szCs w:val="21"/>
                <w:highlight w:val="none"/>
                <w:u w:val="single" w:color="auto"/>
              </w:rPr>
              <w:t xml:space="preserve">  0.3%  </w:t>
            </w:r>
            <w:r>
              <w:rPr>
                <w:rFonts w:hint="eastAsia" w:ascii="宋体" w:hAnsi="宋体" w:eastAsia="宋体" w:cs="宋体"/>
                <w:color w:val="auto"/>
                <w:spacing w:val="5"/>
                <w:sz w:val="21"/>
                <w:szCs w:val="21"/>
                <w:highlight w:val="none"/>
              </w:rPr>
              <w:t>。</w:t>
            </w:r>
          </w:p>
          <w:p w14:paraId="75EB8673">
            <w:pPr>
              <w:keepLines w:val="0"/>
              <w:pageBreakBefore w:val="0"/>
              <w:widowControl w:val="0"/>
              <w:kinsoku/>
              <w:overflowPunct/>
              <w:topLinePunct w:val="0"/>
              <w:autoSpaceDE/>
              <w:autoSpaceDN/>
              <w:bidi w:val="0"/>
              <w:snapToGrid w:val="0"/>
              <w:spacing w:before="11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保险</w:t>
            </w:r>
            <w:r>
              <w:rPr>
                <w:rFonts w:hint="eastAsia" w:ascii="宋体" w:hAnsi="宋体" w:eastAsia="宋体" w:cs="宋体"/>
                <w:color w:val="auto"/>
                <w:spacing w:val="14"/>
                <w:sz w:val="21"/>
                <w:szCs w:val="21"/>
                <w:highlight w:val="none"/>
              </w:rPr>
              <w:t>期</w:t>
            </w:r>
            <w:r>
              <w:rPr>
                <w:rFonts w:hint="eastAsia" w:ascii="宋体" w:hAnsi="宋体" w:eastAsia="宋体" w:cs="宋体"/>
                <w:color w:val="auto"/>
                <w:spacing w:val="11"/>
                <w:sz w:val="21"/>
                <w:szCs w:val="21"/>
                <w:highlight w:val="none"/>
              </w:rPr>
              <w:t>限：开工日起直至本合同工程签发缺陷责任期终止证书止(即合同工期</w:t>
            </w:r>
            <w:r>
              <w:rPr>
                <w:rFonts w:hint="eastAsia" w:ascii="宋体" w:hAnsi="宋体" w:eastAsia="宋体" w:cs="宋体"/>
                <w:color w:val="auto"/>
                <w:spacing w:val="5"/>
                <w:sz w:val="21"/>
                <w:szCs w:val="21"/>
                <w:highlight w:val="none"/>
              </w:rPr>
              <w:t>＋缺陷责任期)</w:t>
            </w:r>
            <w:r>
              <w:rPr>
                <w:rFonts w:hint="eastAsia" w:ascii="宋体" w:hAnsi="宋体" w:eastAsia="宋体" w:cs="宋体"/>
                <w:color w:val="auto"/>
                <w:spacing w:val="3"/>
                <w:sz w:val="21"/>
                <w:szCs w:val="21"/>
                <w:highlight w:val="none"/>
              </w:rPr>
              <w:t>。</w:t>
            </w:r>
          </w:p>
          <w:p w14:paraId="2B2334C0">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承</w:t>
            </w:r>
            <w:r>
              <w:rPr>
                <w:rFonts w:hint="eastAsia" w:ascii="宋体" w:hAnsi="宋体" w:eastAsia="宋体" w:cs="宋体"/>
                <w:color w:val="auto"/>
                <w:spacing w:val="12"/>
                <w:sz w:val="21"/>
                <w:szCs w:val="21"/>
                <w:highlight w:val="none"/>
              </w:rPr>
              <w:t>包人应以发包人和承包人的共同名义投保建筑工程一切险。承包人因办理建筑工程一切险所发生的费用</w:t>
            </w:r>
            <w:r>
              <w:rPr>
                <w:rFonts w:hint="eastAsia" w:ascii="宋体" w:hAnsi="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应认为已含入</w:t>
            </w:r>
            <w:r>
              <w:rPr>
                <w:rFonts w:hint="eastAsia" w:ascii="宋体" w:hAnsi="宋体" w:cs="宋体"/>
                <w:color w:val="auto"/>
                <w:spacing w:val="12"/>
                <w:sz w:val="21"/>
                <w:szCs w:val="21"/>
                <w:highlight w:val="none"/>
                <w:lang w:val="en-US" w:eastAsia="zh-CN"/>
              </w:rPr>
              <w:t>投标总价</w:t>
            </w:r>
            <w:r>
              <w:rPr>
                <w:rFonts w:hint="eastAsia" w:ascii="宋体" w:hAnsi="宋体" w:eastAsia="宋体" w:cs="宋体"/>
                <w:color w:val="auto"/>
                <w:spacing w:val="12"/>
                <w:sz w:val="21"/>
                <w:szCs w:val="21"/>
                <w:highlight w:val="none"/>
              </w:rPr>
              <w:t>中，</w:t>
            </w:r>
            <w:r>
              <w:rPr>
                <w:rFonts w:hint="eastAsia" w:ascii="宋体" w:hAnsi="宋体" w:cs="宋体"/>
                <w:color w:val="auto"/>
                <w:spacing w:val="12"/>
                <w:sz w:val="21"/>
                <w:szCs w:val="21"/>
                <w:highlight w:val="none"/>
                <w:lang w:val="en-US" w:eastAsia="zh-CN"/>
              </w:rPr>
              <w:t>不单独列项填报，</w:t>
            </w:r>
            <w:r>
              <w:rPr>
                <w:rFonts w:hint="eastAsia" w:ascii="宋体" w:hAnsi="宋体" w:eastAsia="宋体" w:cs="宋体"/>
                <w:color w:val="auto"/>
                <w:spacing w:val="12"/>
                <w:sz w:val="21"/>
                <w:szCs w:val="21"/>
                <w:highlight w:val="none"/>
              </w:rPr>
              <w:t>发包人不另行</w:t>
            </w:r>
            <w:r>
              <w:rPr>
                <w:rFonts w:hint="eastAsia" w:ascii="宋体" w:hAnsi="宋体" w:eastAsia="宋体" w:cs="宋体"/>
                <w:color w:val="auto"/>
                <w:spacing w:val="7"/>
                <w:sz w:val="21"/>
                <w:szCs w:val="21"/>
                <w:highlight w:val="none"/>
              </w:rPr>
              <w:t>支付。</w:t>
            </w:r>
          </w:p>
          <w:p w14:paraId="50C590BA">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当本</w:t>
            </w:r>
            <w:r>
              <w:rPr>
                <w:rFonts w:hint="eastAsia" w:ascii="宋体" w:hAnsi="宋体" w:eastAsia="宋体" w:cs="宋体"/>
                <w:color w:val="auto"/>
                <w:spacing w:val="12"/>
                <w:sz w:val="21"/>
                <w:szCs w:val="21"/>
                <w:highlight w:val="none"/>
              </w:rPr>
              <w:t>合</w:t>
            </w:r>
            <w:r>
              <w:rPr>
                <w:rFonts w:hint="eastAsia" w:ascii="宋体" w:hAnsi="宋体" w:eastAsia="宋体" w:cs="宋体"/>
                <w:color w:val="auto"/>
                <w:spacing w:val="11"/>
                <w:sz w:val="21"/>
                <w:szCs w:val="21"/>
                <w:highlight w:val="none"/>
              </w:rPr>
              <w:t>同工程发生损失或损害时，承包人应按保险单规定的条件和期限及时向</w:t>
            </w:r>
            <w:r>
              <w:rPr>
                <w:rFonts w:hint="eastAsia" w:ascii="宋体" w:hAnsi="宋体" w:eastAsia="宋体" w:cs="宋体"/>
                <w:color w:val="auto"/>
                <w:spacing w:val="13"/>
                <w:sz w:val="21"/>
                <w:szCs w:val="21"/>
                <w:highlight w:val="none"/>
              </w:rPr>
              <w:t>保</w:t>
            </w:r>
            <w:r>
              <w:rPr>
                <w:rFonts w:hint="eastAsia" w:ascii="宋体" w:hAnsi="宋体" w:eastAsia="宋体" w:cs="宋体"/>
                <w:color w:val="auto"/>
                <w:spacing w:val="12"/>
                <w:sz w:val="21"/>
                <w:szCs w:val="21"/>
                <w:highlight w:val="none"/>
              </w:rPr>
              <w:t>险人报告，并抄送发包人和监理人。如损害继续发生，承包人在递交第一次报</w:t>
            </w:r>
            <w:r>
              <w:rPr>
                <w:rFonts w:hint="eastAsia" w:ascii="宋体" w:hAnsi="宋体" w:eastAsia="宋体" w:cs="宋体"/>
                <w:color w:val="auto"/>
                <w:spacing w:val="10"/>
                <w:sz w:val="21"/>
                <w:szCs w:val="21"/>
                <w:highlight w:val="none"/>
              </w:rPr>
              <w:t>告后，每7天报告一次，直到损害结束。办理本款所述的保险并不免除合同规</w:t>
            </w:r>
            <w:r>
              <w:rPr>
                <w:rFonts w:hint="eastAsia" w:ascii="宋体" w:hAnsi="宋体" w:eastAsia="宋体" w:cs="宋体"/>
                <w:color w:val="auto"/>
                <w:spacing w:val="8"/>
                <w:sz w:val="21"/>
                <w:szCs w:val="21"/>
                <w:highlight w:val="none"/>
              </w:rPr>
              <w:t>定</w:t>
            </w:r>
            <w:r>
              <w:rPr>
                <w:rFonts w:hint="eastAsia" w:ascii="宋体" w:hAnsi="宋体" w:eastAsia="宋体" w:cs="宋体"/>
                <w:color w:val="auto"/>
                <w:spacing w:val="12"/>
                <w:sz w:val="21"/>
                <w:szCs w:val="21"/>
                <w:highlight w:val="none"/>
              </w:rPr>
              <w:t>的</w:t>
            </w:r>
            <w:r>
              <w:rPr>
                <w:rFonts w:hint="eastAsia" w:ascii="宋体" w:hAnsi="宋体" w:eastAsia="宋体" w:cs="宋体"/>
                <w:color w:val="auto"/>
                <w:spacing w:val="6"/>
                <w:sz w:val="21"/>
                <w:szCs w:val="21"/>
                <w:highlight w:val="none"/>
              </w:rPr>
              <w:t>承包人的义务和责任。</w:t>
            </w:r>
          </w:p>
        </w:tc>
      </w:tr>
      <w:tr w14:paraId="1723C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jc w:val="center"/>
        </w:trPr>
        <w:tc>
          <w:tcPr>
            <w:tcW w:w="624" w:type="dxa"/>
            <w:tcBorders>
              <w:left w:val="single" w:color="000000" w:sz="6" w:space="0"/>
            </w:tcBorders>
            <w:vAlign w:val="center"/>
          </w:tcPr>
          <w:p w14:paraId="457A2633">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rPr>
              <w:t>4</w:t>
            </w:r>
            <w:r>
              <w:rPr>
                <w:rFonts w:hint="eastAsia" w:ascii="宋体" w:hAnsi="宋体" w:eastAsia="宋体" w:cs="宋体"/>
                <w:color w:val="auto"/>
                <w:spacing w:val="3"/>
                <w:sz w:val="21"/>
                <w:szCs w:val="21"/>
                <w:lang w:val="en-US" w:eastAsia="zh-CN"/>
              </w:rPr>
              <w:t>8</w:t>
            </w:r>
          </w:p>
        </w:tc>
        <w:tc>
          <w:tcPr>
            <w:tcW w:w="1384" w:type="dxa"/>
            <w:vAlign w:val="center"/>
          </w:tcPr>
          <w:p w14:paraId="41E2942D">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20.</w:t>
            </w:r>
            <w:r>
              <w:rPr>
                <w:rFonts w:hint="eastAsia" w:ascii="宋体" w:hAnsi="宋体" w:eastAsia="宋体" w:cs="宋体"/>
                <w:color w:val="auto"/>
                <w:spacing w:val="2"/>
                <w:sz w:val="21"/>
                <w:szCs w:val="21"/>
              </w:rPr>
              <w:t>4</w:t>
            </w:r>
          </w:p>
        </w:tc>
        <w:tc>
          <w:tcPr>
            <w:tcW w:w="7054" w:type="dxa"/>
            <w:tcBorders>
              <w:right w:val="single" w:color="000000" w:sz="6" w:space="0"/>
            </w:tcBorders>
            <w:vAlign w:val="center"/>
          </w:tcPr>
          <w:p w14:paraId="42D32D5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8"/>
                <w:position w:val="15"/>
                <w:sz w:val="21"/>
                <w:szCs w:val="21"/>
                <w:highlight w:val="none"/>
              </w:rPr>
              <w:t>20.4.1</w:t>
            </w:r>
            <w:r>
              <w:rPr>
                <w:rFonts w:hint="eastAsia" w:ascii="宋体" w:hAnsi="宋体" w:eastAsia="宋体" w:cs="宋体"/>
                <w:color w:val="auto"/>
                <w:spacing w:val="4"/>
                <w:position w:val="15"/>
                <w:sz w:val="21"/>
                <w:szCs w:val="21"/>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458B69D">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4"/>
                <w:position w:val="15"/>
                <w:sz w:val="21"/>
                <w:szCs w:val="21"/>
                <w:highlight w:val="none"/>
              </w:rPr>
              <w:t>20.4.2在缺陷责任期终止证书颁发前，承包人应以承包人和发包人的共同名义，投保第20.4.1项约定的第三者责任险，其中：</w:t>
            </w:r>
          </w:p>
          <w:p w14:paraId="6BB113F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4"/>
                <w:position w:val="15"/>
                <w:sz w:val="21"/>
                <w:szCs w:val="21"/>
                <w:highlight w:val="none"/>
              </w:rPr>
              <w:t>第三者责任险的最低投保金额，规定为：</w:t>
            </w:r>
            <w:r>
              <w:rPr>
                <w:rFonts w:hint="eastAsia" w:ascii="宋体" w:hAnsi="宋体" w:eastAsia="宋体" w:cs="宋体"/>
                <w:color w:val="auto"/>
                <w:spacing w:val="4"/>
                <w:position w:val="15"/>
                <w:sz w:val="21"/>
                <w:szCs w:val="21"/>
                <w:highlight w:val="none"/>
                <w:u w:val="single"/>
              </w:rPr>
              <w:t>100万元</w:t>
            </w:r>
            <w:r>
              <w:rPr>
                <w:rFonts w:hint="eastAsia" w:ascii="宋体" w:hAnsi="宋体" w:eastAsia="宋体" w:cs="宋体"/>
                <w:color w:val="auto"/>
                <w:spacing w:val="4"/>
                <w:position w:val="15"/>
                <w:sz w:val="21"/>
                <w:szCs w:val="21"/>
                <w:highlight w:val="none"/>
              </w:rPr>
              <w:t>。</w:t>
            </w:r>
          </w:p>
          <w:p w14:paraId="72CFD48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4"/>
                <w:position w:val="15"/>
                <w:sz w:val="21"/>
                <w:szCs w:val="21"/>
                <w:highlight w:val="none"/>
              </w:rPr>
              <w:t>保险费率：</w:t>
            </w:r>
            <w:r>
              <w:rPr>
                <w:rFonts w:hint="eastAsia" w:ascii="宋体" w:hAnsi="宋体" w:eastAsia="宋体" w:cs="宋体"/>
                <w:color w:val="auto"/>
                <w:spacing w:val="4"/>
                <w:position w:val="15"/>
                <w:sz w:val="21"/>
                <w:szCs w:val="21"/>
                <w:highlight w:val="none"/>
                <w:u w:val="single"/>
              </w:rPr>
              <w:t>0.1%</w:t>
            </w:r>
            <w:r>
              <w:rPr>
                <w:rFonts w:hint="eastAsia" w:ascii="宋体" w:hAnsi="宋体" w:eastAsia="宋体" w:cs="宋体"/>
                <w:color w:val="auto"/>
                <w:spacing w:val="4"/>
                <w:position w:val="15"/>
                <w:sz w:val="21"/>
                <w:szCs w:val="21"/>
                <w:highlight w:val="none"/>
              </w:rPr>
              <w:t>。</w:t>
            </w:r>
          </w:p>
          <w:p w14:paraId="44C0B79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5"/>
                <w:sz w:val="21"/>
                <w:szCs w:val="21"/>
                <w:highlight w:val="none"/>
              </w:rPr>
              <w:t>20.4.3承包人因办理第三者责任险所发生的费用</w:t>
            </w:r>
            <w:r>
              <w:rPr>
                <w:rFonts w:hint="eastAsia" w:ascii="宋体" w:hAnsi="宋体" w:cs="宋体"/>
                <w:color w:val="auto"/>
                <w:spacing w:val="4"/>
                <w:position w:val="15"/>
                <w:sz w:val="21"/>
                <w:szCs w:val="21"/>
                <w:highlight w:val="none"/>
                <w:lang w:eastAsia="zh-CN"/>
              </w:rPr>
              <w:t>，应认为已含入</w:t>
            </w:r>
            <w:r>
              <w:rPr>
                <w:rFonts w:hint="eastAsia" w:ascii="宋体" w:hAnsi="宋体" w:cs="宋体"/>
                <w:color w:val="auto"/>
                <w:spacing w:val="4"/>
                <w:position w:val="15"/>
                <w:sz w:val="21"/>
                <w:szCs w:val="21"/>
                <w:highlight w:val="none"/>
                <w:lang w:val="en-US" w:eastAsia="zh-CN"/>
              </w:rPr>
              <w:t>投标总价</w:t>
            </w:r>
            <w:r>
              <w:rPr>
                <w:rFonts w:hint="eastAsia" w:ascii="宋体" w:hAnsi="宋体" w:cs="宋体"/>
                <w:color w:val="auto"/>
                <w:spacing w:val="4"/>
                <w:position w:val="15"/>
                <w:sz w:val="21"/>
                <w:szCs w:val="21"/>
                <w:highlight w:val="none"/>
                <w:lang w:eastAsia="zh-CN"/>
              </w:rPr>
              <w:t>中，</w:t>
            </w:r>
            <w:r>
              <w:rPr>
                <w:rFonts w:hint="eastAsia" w:ascii="宋体" w:hAnsi="宋体" w:cs="宋体"/>
                <w:color w:val="auto"/>
                <w:spacing w:val="4"/>
                <w:position w:val="15"/>
                <w:sz w:val="21"/>
                <w:szCs w:val="21"/>
                <w:highlight w:val="none"/>
                <w:lang w:val="en-US" w:eastAsia="zh-CN"/>
              </w:rPr>
              <w:t>不单独列项填报，</w:t>
            </w:r>
            <w:r>
              <w:rPr>
                <w:rFonts w:hint="eastAsia" w:ascii="宋体" w:hAnsi="宋体" w:cs="宋体"/>
                <w:color w:val="auto"/>
                <w:spacing w:val="4"/>
                <w:position w:val="15"/>
                <w:sz w:val="21"/>
                <w:szCs w:val="21"/>
                <w:highlight w:val="none"/>
                <w:lang w:eastAsia="zh-CN"/>
              </w:rPr>
              <w:t>发包人不另行支付。</w:t>
            </w:r>
          </w:p>
        </w:tc>
      </w:tr>
      <w:tr w14:paraId="2BCC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jc w:val="center"/>
        </w:trPr>
        <w:tc>
          <w:tcPr>
            <w:tcW w:w="624" w:type="dxa"/>
            <w:tcBorders>
              <w:left w:val="single" w:color="000000" w:sz="6" w:space="0"/>
            </w:tcBorders>
            <w:vAlign w:val="center"/>
          </w:tcPr>
          <w:p w14:paraId="2E4891DC">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default" w:ascii="宋体" w:hAnsi="宋体" w:eastAsia="宋体" w:cs="宋体"/>
                <w:color w:val="auto"/>
                <w:spacing w:val="3"/>
                <w:sz w:val="21"/>
                <w:szCs w:val="21"/>
                <w:lang w:val="en-US" w:eastAsia="zh-CN"/>
              </w:rPr>
            </w:pPr>
            <w:bookmarkStart w:id="1443" w:name="_Toc234833222"/>
            <w:r>
              <w:rPr>
                <w:rFonts w:hint="eastAsia" w:ascii="宋体" w:hAnsi="宋体" w:cs="宋体"/>
                <w:color w:val="auto"/>
                <w:spacing w:val="3"/>
                <w:sz w:val="21"/>
                <w:szCs w:val="21"/>
                <w:lang w:val="en-US" w:eastAsia="zh-CN"/>
              </w:rPr>
              <w:t>49</w:t>
            </w:r>
          </w:p>
        </w:tc>
        <w:tc>
          <w:tcPr>
            <w:tcW w:w="1384" w:type="dxa"/>
            <w:shd w:val="clear" w:color="auto" w:fill="auto"/>
            <w:vAlign w:val="top"/>
          </w:tcPr>
          <w:p w14:paraId="30B24759">
            <w:pPr>
              <w:keepNext/>
              <w:keepLines w:val="0"/>
              <w:pageBreakBefore w:val="0"/>
              <w:widowControl w:val="0"/>
              <w:kinsoku/>
              <w:overflowPunct/>
              <w:topLinePunct w:val="0"/>
              <w:autoSpaceDE/>
              <w:autoSpaceDN/>
              <w:bidi w:val="0"/>
              <w:snapToGrid w:val="0"/>
              <w:spacing w:line="266" w:lineRule="auto"/>
              <w:ind w:left="105" w:leftChars="50" w:right="283"/>
              <w:textAlignment w:val="auto"/>
              <w:rPr>
                <w:rFonts w:hint="eastAsia" w:ascii="宋体" w:hAnsi="宋体" w:eastAsia="宋体" w:cs="宋体"/>
                <w:color w:val="auto"/>
                <w:sz w:val="21"/>
                <w:szCs w:val="21"/>
              </w:rPr>
            </w:pPr>
          </w:p>
          <w:p w14:paraId="3108ECEA">
            <w:pPr>
              <w:keepNext/>
              <w:keepLines w:val="0"/>
              <w:pageBreakBefore w:val="0"/>
              <w:widowControl w:val="0"/>
              <w:kinsoku/>
              <w:overflowPunct/>
              <w:topLinePunct w:val="0"/>
              <w:autoSpaceDE/>
              <w:autoSpaceDN/>
              <w:bidi w:val="0"/>
              <w:snapToGrid w:val="0"/>
              <w:spacing w:line="266" w:lineRule="auto"/>
              <w:ind w:left="105" w:leftChars="50" w:right="283"/>
              <w:textAlignment w:val="auto"/>
              <w:rPr>
                <w:rFonts w:hint="eastAsia" w:ascii="宋体" w:hAnsi="宋体" w:eastAsia="宋体" w:cs="宋体"/>
                <w:color w:val="auto"/>
                <w:sz w:val="21"/>
                <w:szCs w:val="21"/>
              </w:rPr>
            </w:pPr>
          </w:p>
          <w:p w14:paraId="51196E0A">
            <w:pPr>
              <w:keepNext/>
              <w:keepLines w:val="0"/>
              <w:pageBreakBefore w:val="0"/>
              <w:widowControl w:val="0"/>
              <w:kinsoku/>
              <w:overflowPunct/>
              <w:topLinePunct w:val="0"/>
              <w:autoSpaceDE/>
              <w:autoSpaceDN/>
              <w:bidi w:val="0"/>
              <w:snapToGrid w:val="0"/>
              <w:spacing w:line="267" w:lineRule="auto"/>
              <w:ind w:left="105" w:leftChars="50" w:right="283"/>
              <w:textAlignment w:val="auto"/>
              <w:rPr>
                <w:rFonts w:hint="eastAsia" w:ascii="宋体" w:hAnsi="宋体" w:eastAsia="宋体" w:cs="宋体"/>
                <w:color w:val="auto"/>
                <w:sz w:val="21"/>
                <w:szCs w:val="21"/>
              </w:rPr>
            </w:pPr>
          </w:p>
          <w:p w14:paraId="4AF15A6D">
            <w:pPr>
              <w:keepNext/>
              <w:keepLines w:val="0"/>
              <w:pageBreakBefore w:val="0"/>
              <w:widowControl w:val="0"/>
              <w:kinsoku/>
              <w:overflowPunct/>
              <w:topLinePunct w:val="0"/>
              <w:autoSpaceDE/>
              <w:autoSpaceDN/>
              <w:bidi w:val="0"/>
              <w:snapToGrid w:val="0"/>
              <w:spacing w:line="267" w:lineRule="auto"/>
              <w:ind w:left="105" w:leftChars="50" w:right="283"/>
              <w:textAlignment w:val="auto"/>
              <w:rPr>
                <w:rFonts w:hint="eastAsia" w:ascii="宋体" w:hAnsi="宋体" w:eastAsia="宋体" w:cs="宋体"/>
                <w:color w:val="auto"/>
                <w:sz w:val="21"/>
                <w:szCs w:val="21"/>
              </w:rPr>
            </w:pPr>
          </w:p>
          <w:p w14:paraId="69BADC21">
            <w:pPr>
              <w:keepNext/>
              <w:keepLines w:val="0"/>
              <w:pageBreakBefore w:val="0"/>
              <w:widowControl w:val="0"/>
              <w:kinsoku/>
              <w:overflowPunct/>
              <w:topLinePunct w:val="0"/>
              <w:autoSpaceDE/>
              <w:autoSpaceDN/>
              <w:bidi w:val="0"/>
              <w:snapToGrid w:val="0"/>
              <w:spacing w:before="58" w:line="195" w:lineRule="auto"/>
              <w:ind w:left="105" w:leftChars="50" w:right="283"/>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5"/>
                <w:sz w:val="21"/>
                <w:szCs w:val="21"/>
              </w:rPr>
              <w:t>2</w:t>
            </w:r>
            <w:r>
              <w:rPr>
                <w:rFonts w:hint="eastAsia" w:ascii="宋体" w:hAnsi="宋体" w:eastAsia="宋体" w:cs="宋体"/>
                <w:color w:val="auto"/>
                <w:spacing w:val="4"/>
                <w:sz w:val="21"/>
                <w:szCs w:val="21"/>
              </w:rPr>
              <w:t>0.5</w:t>
            </w:r>
          </w:p>
        </w:tc>
        <w:tc>
          <w:tcPr>
            <w:tcW w:w="7054" w:type="dxa"/>
            <w:tcBorders>
              <w:right w:val="single" w:color="000000" w:sz="6" w:space="0"/>
            </w:tcBorders>
            <w:shd w:val="clear" w:color="auto" w:fill="auto"/>
            <w:vAlign w:val="top"/>
          </w:tcPr>
          <w:p w14:paraId="20B23E7C">
            <w:pPr>
              <w:keepNext w:val="0"/>
              <w:keepLines w:val="0"/>
              <w:pageBreakBefore w:val="0"/>
              <w:widowControl w:val="0"/>
              <w:kinsoku/>
              <w:wordWrap/>
              <w:overflowPunct/>
              <w:topLinePunct w:val="0"/>
              <w:autoSpaceDE/>
              <w:autoSpaceDN/>
              <w:bidi w:val="0"/>
              <w:adjustRightInd w:val="0"/>
              <w:snapToGrid w:val="0"/>
              <w:spacing w:line="369" w:lineRule="auto"/>
              <w:ind w:left="105" w:leftChars="50" w:right="283" w:firstLine="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承包</w:t>
            </w:r>
            <w:r>
              <w:rPr>
                <w:rFonts w:hint="eastAsia" w:ascii="宋体" w:hAnsi="宋体" w:eastAsia="宋体" w:cs="宋体"/>
                <w:color w:val="auto"/>
                <w:spacing w:val="14"/>
                <w:sz w:val="21"/>
                <w:szCs w:val="21"/>
                <w:highlight w:val="none"/>
              </w:rPr>
              <w:t>人</w:t>
            </w:r>
            <w:r>
              <w:rPr>
                <w:rFonts w:hint="eastAsia" w:ascii="宋体" w:hAnsi="宋体" w:eastAsia="宋体" w:cs="宋体"/>
                <w:color w:val="auto"/>
                <w:spacing w:val="10"/>
                <w:sz w:val="21"/>
                <w:szCs w:val="21"/>
                <w:highlight w:val="none"/>
              </w:rPr>
              <w:t>职工的(人身)事故险及建筑意外伤害险由承包人自行投保，保险费应认为已含入</w:t>
            </w:r>
            <w:r>
              <w:rPr>
                <w:rFonts w:hint="eastAsia" w:ascii="宋体" w:hAnsi="宋体" w:eastAsia="宋体" w:cs="宋体"/>
                <w:color w:val="auto"/>
                <w:spacing w:val="10"/>
                <w:sz w:val="21"/>
                <w:szCs w:val="21"/>
                <w:highlight w:val="none"/>
                <w:lang w:val="en-US" w:eastAsia="zh-CN"/>
              </w:rPr>
              <w:t>投标总价</w:t>
            </w:r>
            <w:r>
              <w:rPr>
                <w:rFonts w:hint="eastAsia" w:ascii="宋体" w:hAnsi="宋体" w:eastAsia="宋体" w:cs="宋体"/>
                <w:color w:val="auto"/>
                <w:spacing w:val="10"/>
                <w:sz w:val="21"/>
                <w:szCs w:val="21"/>
                <w:highlight w:val="none"/>
              </w:rPr>
              <w:t>中，</w:t>
            </w:r>
            <w:r>
              <w:rPr>
                <w:rFonts w:hint="eastAsia" w:ascii="宋体" w:hAnsi="宋体" w:eastAsia="宋体" w:cs="宋体"/>
                <w:color w:val="auto"/>
                <w:spacing w:val="10"/>
                <w:sz w:val="21"/>
                <w:szCs w:val="21"/>
                <w:highlight w:val="none"/>
                <w:lang w:val="en-US" w:eastAsia="zh-CN"/>
              </w:rPr>
              <w:t>不单独列项填报，</w:t>
            </w:r>
            <w:r>
              <w:rPr>
                <w:rFonts w:hint="eastAsia" w:ascii="宋体" w:hAnsi="宋体" w:eastAsia="宋体" w:cs="宋体"/>
                <w:color w:val="auto"/>
                <w:spacing w:val="10"/>
                <w:sz w:val="21"/>
                <w:szCs w:val="21"/>
                <w:highlight w:val="none"/>
              </w:rPr>
              <w:t>发包人不另行支付。</w:t>
            </w:r>
          </w:p>
          <w:p w14:paraId="24B70A93">
            <w:pPr>
              <w:keepNext w:val="0"/>
              <w:keepLines w:val="0"/>
              <w:pageBreakBefore w:val="0"/>
              <w:widowControl w:val="0"/>
              <w:kinsoku/>
              <w:wordWrap/>
              <w:overflowPunct/>
              <w:topLinePunct w:val="0"/>
              <w:autoSpaceDE/>
              <w:autoSpaceDN/>
              <w:bidi w:val="0"/>
              <w:adjustRightInd w:val="0"/>
              <w:snapToGrid w:val="0"/>
              <w:spacing w:line="369" w:lineRule="auto"/>
              <w:ind w:left="105" w:leftChars="50" w:right="283" w:rightChars="0" w:firstLine="234"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2"/>
                <w:sz w:val="21"/>
                <w:szCs w:val="21"/>
                <w:highlight w:val="none"/>
              </w:rPr>
              <w:t>承</w:t>
            </w:r>
            <w:r>
              <w:rPr>
                <w:rFonts w:hint="eastAsia" w:ascii="宋体" w:hAnsi="宋体" w:eastAsia="宋体" w:cs="宋体"/>
                <w:color w:val="auto"/>
                <w:spacing w:val="12"/>
                <w:sz w:val="21"/>
                <w:szCs w:val="21"/>
                <w:highlight w:val="none"/>
              </w:rPr>
              <w:t>包</w:t>
            </w:r>
            <w:r>
              <w:rPr>
                <w:rFonts w:hint="eastAsia" w:ascii="宋体" w:hAnsi="宋体" w:eastAsia="宋体" w:cs="宋体"/>
                <w:color w:val="auto"/>
                <w:spacing w:val="11"/>
                <w:sz w:val="21"/>
                <w:szCs w:val="21"/>
                <w:highlight w:val="none"/>
              </w:rPr>
              <w:t>人应按《人力资源社会保障部、交通运输部、水利部、能源局、铁路局、</w:t>
            </w:r>
            <w:r>
              <w:rPr>
                <w:rFonts w:hint="eastAsia" w:ascii="宋体" w:hAnsi="宋体" w:eastAsia="宋体" w:cs="宋体"/>
                <w:color w:val="auto"/>
                <w:spacing w:val="13"/>
                <w:sz w:val="21"/>
                <w:szCs w:val="21"/>
                <w:highlight w:val="none"/>
              </w:rPr>
              <w:t>民</w:t>
            </w:r>
            <w:r>
              <w:rPr>
                <w:rFonts w:hint="eastAsia" w:ascii="宋体" w:hAnsi="宋体" w:eastAsia="宋体" w:cs="宋体"/>
                <w:color w:val="auto"/>
                <w:spacing w:val="12"/>
                <w:sz w:val="21"/>
                <w:szCs w:val="21"/>
                <w:highlight w:val="none"/>
              </w:rPr>
              <w:t>航局关于铁路、公路、水运、水利、能源、机场工程建设项目参加工伤保险工</w:t>
            </w:r>
            <w:r>
              <w:rPr>
                <w:rFonts w:hint="eastAsia" w:ascii="宋体" w:hAnsi="宋体" w:eastAsia="宋体" w:cs="宋体"/>
                <w:color w:val="auto"/>
                <w:spacing w:val="5"/>
                <w:sz w:val="21"/>
                <w:szCs w:val="21"/>
                <w:highlight w:val="none"/>
              </w:rPr>
              <w:t>作</w:t>
            </w:r>
            <w:r>
              <w:rPr>
                <w:rFonts w:hint="eastAsia" w:ascii="宋体" w:hAnsi="宋体" w:eastAsia="宋体" w:cs="宋体"/>
                <w:color w:val="auto"/>
                <w:spacing w:val="4"/>
                <w:sz w:val="21"/>
                <w:szCs w:val="21"/>
                <w:highlight w:val="none"/>
              </w:rPr>
              <w:t>的通知》(人社部发〔2018〕3号)文件的规定，在进场施工前，办理相关手续</w:t>
            </w:r>
            <w:r>
              <w:rPr>
                <w:rFonts w:hint="eastAsia" w:ascii="宋体" w:hAnsi="宋体" w:eastAsia="宋体" w:cs="宋体"/>
                <w:color w:val="auto"/>
                <w:spacing w:val="12"/>
                <w:sz w:val="21"/>
                <w:szCs w:val="21"/>
                <w:highlight w:val="none"/>
              </w:rPr>
              <w:t>并</w:t>
            </w:r>
            <w:r>
              <w:rPr>
                <w:rFonts w:hint="eastAsia" w:ascii="宋体" w:hAnsi="宋体" w:eastAsia="宋体" w:cs="宋体"/>
                <w:color w:val="auto"/>
                <w:spacing w:val="8"/>
                <w:sz w:val="21"/>
                <w:szCs w:val="21"/>
                <w:highlight w:val="none"/>
              </w:rPr>
              <w:t>提交人员参加工伤保险的证明</w:t>
            </w:r>
            <w:r>
              <w:rPr>
                <w:rFonts w:hint="eastAsia" w:ascii="宋体" w:hAnsi="宋体" w:eastAsia="宋体" w:cs="宋体"/>
                <w:color w:val="auto"/>
                <w:spacing w:val="8"/>
                <w:sz w:val="21"/>
                <w:szCs w:val="21"/>
                <w:highlight w:val="none"/>
                <w:lang w:eastAsia="zh-CN"/>
              </w:rPr>
              <w:t>。</w:t>
            </w:r>
          </w:p>
        </w:tc>
      </w:tr>
      <w:tr w14:paraId="021B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0" w:hRule="atLeast"/>
          <w:jc w:val="center"/>
        </w:trPr>
        <w:tc>
          <w:tcPr>
            <w:tcW w:w="624" w:type="dxa"/>
            <w:tcBorders>
              <w:left w:val="single" w:color="000000" w:sz="6" w:space="0"/>
            </w:tcBorders>
            <w:vAlign w:val="top"/>
          </w:tcPr>
          <w:p w14:paraId="1EC6E847">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30A3D592">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694A25A9">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7B0F52E2">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5ACB19EB">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0590D014">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013B6284">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45C7AC70">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1D82DD3C">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1AA3CEAA">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rPr>
            </w:pPr>
          </w:p>
          <w:p w14:paraId="21569045">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rPr>
            </w:pPr>
          </w:p>
          <w:p w14:paraId="5692ABEE">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rPr>
            </w:pPr>
          </w:p>
          <w:p w14:paraId="14AE560E">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rPr>
            </w:pPr>
          </w:p>
          <w:p w14:paraId="240741FE">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rPr>
            </w:pPr>
          </w:p>
          <w:p w14:paraId="1ED90067">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rPr>
            </w:pPr>
          </w:p>
          <w:p w14:paraId="021DD61E">
            <w:pPr>
              <w:keepNext/>
              <w:keepLines w:val="0"/>
              <w:pageBreakBefore w:val="0"/>
              <w:widowControl w:val="0"/>
              <w:kinsoku/>
              <w:overflowPunct/>
              <w:topLinePunct w:val="0"/>
              <w:autoSpaceDE/>
              <w:autoSpaceDN/>
              <w:bidi w:val="0"/>
              <w:snapToGrid w:val="0"/>
              <w:spacing w:before="57" w:line="195" w:lineRule="auto"/>
              <w:ind w:left="105" w:leftChars="50" w:right="28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384" w:type="dxa"/>
            <w:vAlign w:val="top"/>
          </w:tcPr>
          <w:p w14:paraId="68D3D4A9">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0E5C4953">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78BCB41D">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3F65D1EB">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3A617FA0">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2C0EBA3D">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542263B3">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0CAB830F">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5635839B">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0B162E4C">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5812F716">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328A6B2E">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1B5A17EC">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6D68505C">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5256D2B1">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6588D675">
            <w:pPr>
              <w:keepNext w:val="0"/>
              <w:keepLines w:val="0"/>
              <w:pageBreakBefore w:val="0"/>
              <w:widowControl w:val="0"/>
              <w:kinsoku/>
              <w:wordWrap/>
              <w:overflowPunct/>
              <w:topLinePunct w:val="0"/>
              <w:autoSpaceDE/>
              <w:autoSpaceDN/>
              <w:bidi w:val="0"/>
              <w:adjustRightInd/>
              <w:snapToGrid w:val="0"/>
              <w:spacing w:before="57" w:line="198"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2.1.2</w:t>
            </w:r>
          </w:p>
        </w:tc>
        <w:tc>
          <w:tcPr>
            <w:tcW w:w="7054" w:type="dxa"/>
            <w:tcBorders>
              <w:right w:val="single" w:color="000000" w:sz="6" w:space="0"/>
            </w:tcBorders>
            <w:vAlign w:val="top"/>
          </w:tcPr>
          <w:p w14:paraId="2CAD789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4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22.</w:t>
            </w:r>
            <w:r>
              <w:rPr>
                <w:rFonts w:hint="eastAsia" w:ascii="宋体" w:hAnsi="宋体" w:eastAsia="宋体" w:cs="宋体"/>
                <w:color w:val="auto"/>
                <w:spacing w:val="3"/>
                <w:sz w:val="21"/>
                <w:szCs w:val="21"/>
                <w:highlight w:val="none"/>
              </w:rPr>
              <w:t>1.2对承包人违约的处理</w:t>
            </w:r>
          </w:p>
          <w:p w14:paraId="66DA802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6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承包人发生第22.1.1项(1)至(10)目约定的违约情况时，发包人可视承包人违约的具体行</w:t>
            </w:r>
            <w:r>
              <w:rPr>
                <w:rFonts w:hint="eastAsia" w:ascii="宋体" w:hAnsi="宋体" w:eastAsia="宋体" w:cs="宋体"/>
                <w:color w:val="auto"/>
                <w:spacing w:val="9"/>
                <w:sz w:val="21"/>
                <w:szCs w:val="21"/>
                <w:highlight w:val="none"/>
              </w:rPr>
              <w:t>为和严重程度采取下列措施之一：</w:t>
            </w:r>
          </w:p>
          <w:p w14:paraId="65CBB0B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50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(1)</w:t>
            </w:r>
            <w:r>
              <w:rPr>
                <w:rFonts w:hint="eastAsia" w:ascii="宋体" w:hAnsi="宋体" w:eastAsia="宋体" w:cs="宋体"/>
                <w:color w:val="auto"/>
                <w:spacing w:val="10"/>
                <w:sz w:val="21"/>
                <w:szCs w:val="21"/>
                <w:highlight w:val="none"/>
              </w:rPr>
              <w:t>发包人可按不超过签约合同价10%的金额扣缴承包人违约金，即使交纳</w:t>
            </w:r>
            <w:r>
              <w:rPr>
                <w:rFonts w:hint="eastAsia" w:ascii="宋体" w:hAnsi="宋体" w:eastAsia="宋体" w:cs="宋体"/>
                <w:color w:val="auto"/>
                <w:spacing w:val="14"/>
                <w:sz w:val="21"/>
                <w:szCs w:val="21"/>
                <w:highlight w:val="none"/>
              </w:rPr>
              <w:t>了</w:t>
            </w:r>
            <w:r>
              <w:rPr>
                <w:rFonts w:hint="eastAsia" w:ascii="宋体" w:hAnsi="宋体" w:eastAsia="宋体" w:cs="宋体"/>
                <w:color w:val="auto"/>
                <w:spacing w:val="12"/>
                <w:sz w:val="21"/>
                <w:szCs w:val="21"/>
                <w:highlight w:val="none"/>
              </w:rPr>
              <w:t>违约金，承包人仍应按合同规定继续实施和完成本合同工程及其缺陷修复；若</w:t>
            </w:r>
            <w:r>
              <w:rPr>
                <w:rFonts w:hint="eastAsia" w:ascii="宋体" w:hAnsi="宋体" w:eastAsia="宋体" w:cs="宋体"/>
                <w:color w:val="auto"/>
                <w:spacing w:val="14"/>
                <w:sz w:val="21"/>
                <w:szCs w:val="21"/>
                <w:highlight w:val="none"/>
              </w:rPr>
              <w:t>承</w:t>
            </w:r>
            <w:r>
              <w:rPr>
                <w:rFonts w:hint="eastAsia" w:ascii="宋体" w:hAnsi="宋体" w:eastAsia="宋体" w:cs="宋体"/>
                <w:color w:val="auto"/>
                <w:spacing w:val="12"/>
                <w:sz w:val="21"/>
                <w:szCs w:val="21"/>
                <w:highlight w:val="none"/>
              </w:rPr>
              <w:t>包人未经批准擅自撤离工地，发包人除扣除承包人的全部履约担保和剩余工程</w:t>
            </w:r>
            <w:r>
              <w:rPr>
                <w:rFonts w:hint="eastAsia" w:ascii="宋体" w:hAnsi="宋体" w:eastAsia="宋体" w:cs="宋体"/>
                <w:color w:val="auto"/>
                <w:spacing w:val="14"/>
                <w:sz w:val="21"/>
                <w:szCs w:val="21"/>
                <w:highlight w:val="none"/>
              </w:rPr>
              <w:t>款</w:t>
            </w:r>
            <w:r>
              <w:rPr>
                <w:rFonts w:hint="eastAsia" w:ascii="宋体" w:hAnsi="宋体" w:eastAsia="宋体" w:cs="宋体"/>
                <w:color w:val="auto"/>
                <w:spacing w:val="12"/>
                <w:sz w:val="21"/>
                <w:szCs w:val="21"/>
                <w:highlight w:val="none"/>
              </w:rPr>
              <w:t>项之外，并不承担承包人与其它承包人、供货商等的经济纠纷和法律责任，也</w:t>
            </w:r>
            <w:r>
              <w:rPr>
                <w:rFonts w:hint="eastAsia" w:ascii="宋体" w:hAnsi="宋体" w:eastAsia="宋体" w:cs="宋体"/>
                <w:color w:val="auto"/>
                <w:spacing w:val="11"/>
                <w:sz w:val="21"/>
                <w:szCs w:val="21"/>
                <w:highlight w:val="none"/>
              </w:rPr>
              <w:t>不</w:t>
            </w:r>
            <w:r>
              <w:rPr>
                <w:rFonts w:hint="eastAsia" w:ascii="宋体" w:hAnsi="宋体" w:eastAsia="宋体" w:cs="宋体"/>
                <w:color w:val="auto"/>
                <w:spacing w:val="7"/>
                <w:sz w:val="21"/>
                <w:szCs w:val="21"/>
                <w:highlight w:val="none"/>
              </w:rPr>
              <w:t>赔偿任何费用。</w:t>
            </w:r>
          </w:p>
          <w:p w14:paraId="7ED40E4B">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9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3"/>
                <w:sz w:val="21"/>
                <w:szCs w:val="21"/>
                <w:highlight w:val="none"/>
              </w:rPr>
              <w:t>2)发包人可雇用其他承包人完成部分工程。承包人无权对此提出反对意见</w:t>
            </w:r>
            <w:r>
              <w:rPr>
                <w:rFonts w:hint="eastAsia" w:ascii="宋体" w:hAnsi="宋体" w:eastAsia="宋体" w:cs="宋体"/>
                <w:color w:val="auto"/>
                <w:spacing w:val="14"/>
                <w:sz w:val="21"/>
                <w:szCs w:val="21"/>
                <w:highlight w:val="none"/>
              </w:rPr>
              <w:t>并</w:t>
            </w:r>
            <w:r>
              <w:rPr>
                <w:rFonts w:hint="eastAsia" w:ascii="宋体" w:hAnsi="宋体" w:eastAsia="宋体" w:cs="宋体"/>
                <w:color w:val="auto"/>
                <w:spacing w:val="12"/>
                <w:sz w:val="21"/>
                <w:szCs w:val="21"/>
                <w:highlight w:val="none"/>
              </w:rPr>
              <w:t>应按合同规定完成合同工程其余部分的施工和缺陷修复。在这种情况下，发包</w:t>
            </w:r>
            <w:r>
              <w:rPr>
                <w:rFonts w:hint="eastAsia" w:ascii="宋体" w:hAnsi="宋体" w:eastAsia="宋体" w:cs="宋体"/>
                <w:color w:val="auto"/>
                <w:spacing w:val="14"/>
                <w:sz w:val="21"/>
                <w:szCs w:val="21"/>
                <w:highlight w:val="none"/>
              </w:rPr>
              <w:t>人</w:t>
            </w:r>
            <w:r>
              <w:rPr>
                <w:rFonts w:hint="eastAsia" w:ascii="宋体" w:hAnsi="宋体" w:eastAsia="宋体" w:cs="宋体"/>
                <w:color w:val="auto"/>
                <w:spacing w:val="12"/>
                <w:sz w:val="21"/>
                <w:szCs w:val="21"/>
                <w:highlight w:val="none"/>
              </w:rPr>
              <w:t>向承包人支付的合同价格中不应包括由其他承包人完成的那部分工程的价格。</w:t>
            </w:r>
            <w:r>
              <w:rPr>
                <w:rFonts w:hint="eastAsia" w:ascii="宋体" w:hAnsi="宋体" w:eastAsia="宋体" w:cs="宋体"/>
                <w:color w:val="auto"/>
                <w:spacing w:val="14"/>
                <w:sz w:val="21"/>
                <w:szCs w:val="21"/>
                <w:highlight w:val="none"/>
              </w:rPr>
              <w:t>发</w:t>
            </w:r>
            <w:r>
              <w:rPr>
                <w:rFonts w:hint="eastAsia" w:ascii="宋体" w:hAnsi="宋体" w:eastAsia="宋体" w:cs="宋体"/>
                <w:color w:val="auto"/>
                <w:spacing w:val="12"/>
                <w:sz w:val="21"/>
                <w:szCs w:val="21"/>
                <w:highlight w:val="none"/>
              </w:rPr>
              <w:t>包人有权扣除承包人的全部履约担保作为违约金，监理人还应确定由于承包人</w:t>
            </w:r>
            <w:r>
              <w:rPr>
                <w:rFonts w:hint="eastAsia" w:ascii="宋体" w:hAnsi="宋体" w:eastAsia="宋体" w:cs="宋体"/>
                <w:color w:val="auto"/>
                <w:spacing w:val="14"/>
                <w:sz w:val="21"/>
                <w:szCs w:val="21"/>
                <w:highlight w:val="none"/>
              </w:rPr>
              <w:t>违</w:t>
            </w:r>
            <w:r>
              <w:rPr>
                <w:rFonts w:hint="eastAsia" w:ascii="宋体" w:hAnsi="宋体" w:eastAsia="宋体" w:cs="宋体"/>
                <w:color w:val="auto"/>
                <w:spacing w:val="12"/>
                <w:sz w:val="21"/>
                <w:szCs w:val="21"/>
                <w:highlight w:val="none"/>
              </w:rPr>
              <w:t>约而给发包人造成的费用增加和其他损失，报发包人批准后从应付或到期应付</w:t>
            </w:r>
            <w:r>
              <w:rPr>
                <w:rFonts w:hint="eastAsia" w:ascii="宋体" w:hAnsi="宋体" w:eastAsia="宋体" w:cs="宋体"/>
                <w:color w:val="auto"/>
                <w:spacing w:val="18"/>
                <w:sz w:val="21"/>
                <w:szCs w:val="21"/>
                <w:highlight w:val="none"/>
              </w:rPr>
              <w:t>给</w:t>
            </w:r>
            <w:r>
              <w:rPr>
                <w:rFonts w:hint="eastAsia" w:ascii="宋体" w:hAnsi="宋体" w:eastAsia="宋体" w:cs="宋体"/>
                <w:color w:val="auto"/>
                <w:spacing w:val="12"/>
                <w:sz w:val="21"/>
                <w:szCs w:val="21"/>
                <w:highlight w:val="none"/>
              </w:rPr>
              <w:t>承</w:t>
            </w:r>
            <w:r>
              <w:rPr>
                <w:rFonts w:hint="eastAsia" w:ascii="宋体" w:hAnsi="宋体" w:eastAsia="宋体" w:cs="宋体"/>
                <w:color w:val="auto"/>
                <w:spacing w:val="9"/>
                <w:sz w:val="21"/>
                <w:szCs w:val="21"/>
                <w:highlight w:val="none"/>
              </w:rPr>
              <w:t>包人的款项中扣除，监理人应将上述决定通知承包人，并抄送发包人；</w:t>
            </w:r>
          </w:p>
          <w:p w14:paraId="09EA22E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8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8"/>
                <w:sz w:val="21"/>
                <w:szCs w:val="21"/>
                <w:highlight w:val="none"/>
              </w:rPr>
              <w:t>)发包人在向承包人发出书面通知的14天之后可以进驻现场和接管工程，</w:t>
            </w:r>
            <w:r>
              <w:rPr>
                <w:rFonts w:hint="eastAsia" w:ascii="宋体" w:hAnsi="宋体" w:eastAsia="宋体" w:cs="宋体"/>
                <w:color w:val="auto"/>
                <w:spacing w:val="12"/>
                <w:sz w:val="21"/>
                <w:szCs w:val="21"/>
                <w:highlight w:val="none"/>
              </w:rPr>
              <w:t>终止承包人对本合同工程的承包，但不因此解除合同规定的承包人的任何义务</w:t>
            </w:r>
            <w:r>
              <w:rPr>
                <w:rFonts w:hint="eastAsia" w:ascii="宋体" w:hAnsi="宋体" w:eastAsia="宋体" w:cs="宋体"/>
                <w:color w:val="auto"/>
                <w:spacing w:val="11"/>
                <w:sz w:val="21"/>
                <w:szCs w:val="21"/>
                <w:highlight w:val="none"/>
              </w:rPr>
              <w:t>和</w:t>
            </w:r>
            <w:r>
              <w:rPr>
                <w:rFonts w:hint="eastAsia" w:ascii="宋体" w:hAnsi="宋体" w:eastAsia="宋体" w:cs="宋体"/>
                <w:color w:val="auto"/>
                <w:spacing w:val="12"/>
                <w:sz w:val="21"/>
                <w:szCs w:val="21"/>
                <w:highlight w:val="none"/>
              </w:rPr>
              <w:t>责任，或影响合同赋予发包人或监理人的各种权利和权限。发包人可自行完成</w:t>
            </w:r>
            <w:r>
              <w:rPr>
                <w:rFonts w:hint="eastAsia" w:ascii="宋体" w:hAnsi="宋体" w:eastAsia="宋体" w:cs="宋体"/>
                <w:color w:val="auto"/>
                <w:spacing w:val="11"/>
                <w:sz w:val="21"/>
                <w:szCs w:val="21"/>
                <w:highlight w:val="none"/>
              </w:rPr>
              <w:t>该</w:t>
            </w:r>
            <w:r>
              <w:rPr>
                <w:rFonts w:hint="eastAsia" w:ascii="宋体" w:hAnsi="宋体" w:eastAsia="宋体" w:cs="宋体"/>
                <w:color w:val="auto"/>
                <w:spacing w:val="12"/>
                <w:sz w:val="21"/>
                <w:szCs w:val="21"/>
                <w:highlight w:val="none"/>
              </w:rPr>
              <w:t>工程，或邀请其他承包人完成该工程。发包人或其他承包人为了完成本工程可</w:t>
            </w:r>
            <w:r>
              <w:rPr>
                <w:rFonts w:hint="eastAsia" w:ascii="宋体" w:hAnsi="宋体" w:eastAsia="宋体" w:cs="宋体"/>
                <w:color w:val="auto"/>
                <w:spacing w:val="11"/>
                <w:sz w:val="21"/>
                <w:szCs w:val="21"/>
                <w:highlight w:val="none"/>
              </w:rPr>
              <w:t>以</w:t>
            </w:r>
            <w:r>
              <w:rPr>
                <w:rFonts w:hint="eastAsia" w:ascii="宋体" w:hAnsi="宋体" w:eastAsia="宋体" w:cs="宋体"/>
                <w:color w:val="auto"/>
                <w:spacing w:val="13"/>
                <w:sz w:val="21"/>
                <w:szCs w:val="21"/>
                <w:highlight w:val="none"/>
              </w:rPr>
              <w:t>使</w:t>
            </w:r>
            <w:r>
              <w:rPr>
                <w:rFonts w:hint="eastAsia" w:ascii="宋体" w:hAnsi="宋体" w:eastAsia="宋体" w:cs="宋体"/>
                <w:color w:val="auto"/>
                <w:spacing w:val="12"/>
                <w:sz w:val="21"/>
                <w:szCs w:val="21"/>
                <w:highlight w:val="none"/>
              </w:rPr>
              <w:t>用任何的承包人设备、临时工程和材料。发包人有权扣除承包人的全部履约担</w:t>
            </w:r>
            <w:r>
              <w:rPr>
                <w:rFonts w:hint="eastAsia" w:ascii="宋体" w:hAnsi="宋体" w:eastAsia="宋体" w:cs="宋体"/>
                <w:color w:val="auto"/>
                <w:spacing w:val="13"/>
                <w:sz w:val="21"/>
                <w:szCs w:val="21"/>
                <w:highlight w:val="none"/>
              </w:rPr>
              <w:t>保</w:t>
            </w:r>
            <w:r>
              <w:rPr>
                <w:rFonts w:hint="eastAsia" w:ascii="宋体" w:hAnsi="宋体" w:eastAsia="宋体" w:cs="宋体"/>
                <w:color w:val="auto"/>
                <w:spacing w:val="12"/>
                <w:sz w:val="21"/>
                <w:szCs w:val="21"/>
                <w:highlight w:val="none"/>
              </w:rPr>
              <w:t>作为违约金，监理人还应确定由于承包人违约而给发包人造成的费用增加和其</w:t>
            </w:r>
            <w:r>
              <w:rPr>
                <w:rFonts w:hint="eastAsia" w:ascii="宋体" w:hAnsi="宋体" w:eastAsia="宋体" w:cs="宋体"/>
                <w:color w:val="auto"/>
                <w:spacing w:val="17"/>
                <w:sz w:val="21"/>
                <w:szCs w:val="21"/>
                <w:highlight w:val="none"/>
              </w:rPr>
              <w:t>他</w:t>
            </w:r>
            <w:r>
              <w:rPr>
                <w:rFonts w:hint="eastAsia" w:ascii="宋体" w:hAnsi="宋体" w:eastAsia="宋体" w:cs="宋体"/>
                <w:color w:val="auto"/>
                <w:spacing w:val="12"/>
                <w:sz w:val="21"/>
                <w:szCs w:val="21"/>
                <w:highlight w:val="none"/>
              </w:rPr>
              <w:t>损失，报发包人批准后从应付或到期应付给承包人的款项中扣除，监理人应将</w:t>
            </w:r>
            <w:r>
              <w:rPr>
                <w:rFonts w:hint="eastAsia" w:ascii="宋体" w:hAnsi="宋体" w:eastAsia="宋体" w:cs="宋体"/>
                <w:color w:val="auto"/>
                <w:spacing w:val="8"/>
                <w:sz w:val="21"/>
                <w:szCs w:val="21"/>
                <w:highlight w:val="none"/>
              </w:rPr>
              <w:t>上述决定通知承包人，并抄送发包人。合同终止后的有关事宜应按照第22.1.4</w:t>
            </w:r>
            <w:r>
              <w:rPr>
                <w:rFonts w:hint="eastAsia" w:ascii="宋体" w:hAnsi="宋体" w:eastAsia="宋体" w:cs="宋体"/>
                <w:color w:val="auto"/>
                <w:spacing w:val="3"/>
                <w:sz w:val="21"/>
                <w:szCs w:val="21"/>
                <w:highlight w:val="none"/>
              </w:rPr>
              <w:t>和</w:t>
            </w:r>
            <w:r>
              <w:rPr>
                <w:rFonts w:hint="eastAsia" w:ascii="宋体" w:hAnsi="宋体" w:eastAsia="宋体" w:cs="宋体"/>
                <w:color w:val="auto"/>
                <w:spacing w:val="2"/>
                <w:sz w:val="21"/>
                <w:szCs w:val="21"/>
                <w:highlight w:val="none"/>
              </w:rPr>
              <w:t>22.1.5款的规定办理</w:t>
            </w:r>
            <w:r>
              <w:rPr>
                <w:rFonts w:hint="eastAsia" w:ascii="宋体" w:hAnsi="宋体" w:eastAsia="宋体" w:cs="宋体"/>
                <w:color w:val="auto"/>
                <w:spacing w:val="1"/>
                <w:sz w:val="21"/>
                <w:szCs w:val="21"/>
                <w:highlight w:val="none"/>
              </w:rPr>
              <w:t>。</w:t>
            </w:r>
          </w:p>
          <w:p w14:paraId="1906B5BE">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此外，当承包人发生了下述违约现象之后，发包人可依据下列具体情况扣除承包人的违约金：</w:t>
            </w:r>
          </w:p>
          <w:p w14:paraId="44909130">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在监理人规定的截止日前，项目经理、项目总工没有按时进场，或进场后未经发包人项目指挥部和总监办主任(或设驻地办的驻地办主任)批准又离开工地，发包人将按10000元/人·天扣除违约金；其他管理人员没有按时进场，或进场后未经总监办主任(或设驻地办的驻地办主任)和承包人项目经理批准又离开工地，发包人将按5000元/人·天扣除违约金，直至缺员进场为止。根据本项规定扣除的违约金累计不得超过签约合同价的2％。</w:t>
            </w:r>
          </w:p>
          <w:p w14:paraId="35BADA1A">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监理人规定进场的项目经理、项目总工及其他管理人员每人每月在岗时间不得少于22天，否则发包人将对项目经理、项目总工按10000元/人·天扣除违约金，对其他管理人员按5000元/人·天扣除违约金。根据本项规定扣除的违约金累计不得超过签约合同价的2％。</w:t>
            </w:r>
          </w:p>
          <w:p w14:paraId="4298FCC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承包人按照监理人规定进场的每个专业岗位人员同时离开工地人数不得超过1人，否则发包人将按5000元/人·天扣除违约金。根据本项规定扣除的违约金累计不得超过签约合同价的2％。</w:t>
            </w:r>
          </w:p>
          <w:p w14:paraId="57F7EE10">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(2)项目经理每更换一人次将向发包人提交违约金，违约金金额按5‰签约合同价计算，但违约金金额应不低于20万且不高于100万。</w:t>
            </w:r>
          </w:p>
          <w:p w14:paraId="5DC12B14">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(3)项目总工每更换一人次将向发包人提交违约金，违约金金额按3‰签约合同价计算，但违约金金额应不低于15万且不高于80万。</w:t>
            </w:r>
          </w:p>
          <w:p w14:paraId="0AFAEA5F">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承包人自身原因造成其进场的人员的替换，将按照本项(2)、(3)目的规定交纳违约金；由于相关人员不能胜任本职工作、行为不端或玩忽职守而被监理人按合同条款第4.7款规定要求撤换的，除按照本项(2)、(3)目的规定交纳违约金外，项目经理或项目总工每更换一人次还应向发包人另行支付10万元的违约金，其他管理人员每更换一人次还应向发包人另行支付5万元的违约金。</w:t>
            </w:r>
          </w:p>
          <w:p w14:paraId="0FD05F47">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在监理人规定的截止日前，合同谈判期间承包人所承诺的主要机械及试验、测量设备(如有)不能按时进场，每迟到1天，发包人可按照该设备的台班费(以交通运输部现行《预算定额》为准)的三倍扣除违约金，直到设备进场为止。</w:t>
            </w:r>
          </w:p>
          <w:p w14:paraId="0B1C06E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(6)在工程实施期间，未经监理人批准，承包人进场的施工机械和材料试验、质检仪器设备撤离现场，发包人可按该设备的重置价值从工程期中支付款中扣除违约金。</w:t>
            </w:r>
          </w:p>
          <w:p w14:paraId="3BF40893">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(7)在施工期间，承包人若违反施工操作及管理程序，则按5万元/次标准扣除承包人的违约金。</w:t>
            </w:r>
          </w:p>
          <w:p w14:paraId="2656439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(8)承包人在施工期间如果在各种报表及检查试验记录中自己作假或诱导监理人作假，发包人可按每次1万~10万元的标准扣除承包人的违约金。</w:t>
            </w:r>
          </w:p>
          <w:p w14:paraId="1BD17F74">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无条件接受上级交通主管部门、质量监督部门、发包人监理单位的质量检查或抽查，如发现承包人出现降低施工标准或偷工减料或出现较大质量问题，发包人将按每次10万元的标准扣除承包人的违约金。</w:t>
            </w:r>
          </w:p>
          <w:p w14:paraId="5BCC39C0">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(10)承包人在施工期间未能做好环境保护工作，使得周边环境遭到破坏或污染，经监理人认可后，每次按照10万元的标准扣除承包人的违约金。</w:t>
            </w:r>
          </w:p>
          <w:p w14:paraId="4FA68973">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(11)承包人存在安全问题或有违反安全管理规章制度的情况时，视其情节轻重，分别给予承包人通报批评、警告、责令停工等处罚，并可扣处1万~10万元的违约金。</w:t>
            </w:r>
          </w:p>
          <w:p w14:paraId="75B3C42B">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承包人应按劳动合同及时发放薪酬，不得因此影响工程的正常进展及发包人的声誉。因此造成的劳务纠纷，发包人在收到劳动部门的仲裁结果后，有权根据仲裁结果从应付给承包人的工程款中代为扣付。对工程的正常进展及发包人声誉造成影响的，发包人可以向承包人课以10万元以内的违约金。</w:t>
            </w:r>
          </w:p>
          <w:p w14:paraId="42F9BC5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(13)由于承包人原因导致本工程质量未达到合同约定的目标，将扣除质量保证金的20％作为违约金。</w:t>
            </w:r>
          </w:p>
          <w:p w14:paraId="06C207A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提及的所有违约金(包括由于承包人违约而给发包人造成的费用增加和其他损失，下同)将从期中支付证书中扣除或通知履约保函开具银行支付，直至通过诉讼手段向承包人进行追索。所有扣缴的违约金将按照《中华人民共和国企业所得税法》(中华人民共和国主席令第63号)、《中华人民共和国企业所得税暂行条例》(中华人民共和国国务院令第512号)、《基本建设财务规则》(中华人民共和国财政部令第81号)的相关规定处理。</w:t>
            </w:r>
          </w:p>
        </w:tc>
      </w:tr>
      <w:tr w14:paraId="5C6E7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jc w:val="center"/>
        </w:trPr>
        <w:tc>
          <w:tcPr>
            <w:tcW w:w="624" w:type="dxa"/>
            <w:tcBorders>
              <w:left w:val="single" w:color="000000" w:sz="6" w:space="0"/>
            </w:tcBorders>
            <w:vAlign w:val="top"/>
          </w:tcPr>
          <w:p w14:paraId="64964F70">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rPr>
            </w:pPr>
          </w:p>
          <w:p w14:paraId="66C88C54">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rPr>
            </w:pPr>
          </w:p>
          <w:p w14:paraId="15297BE7">
            <w:pPr>
              <w:keepNext/>
              <w:keepLines w:val="0"/>
              <w:pageBreakBefore w:val="0"/>
              <w:widowControl w:val="0"/>
              <w:kinsoku/>
              <w:overflowPunct/>
              <w:topLinePunct w:val="0"/>
              <w:autoSpaceDE/>
              <w:autoSpaceDN/>
              <w:bidi w:val="0"/>
              <w:snapToGrid w:val="0"/>
              <w:spacing w:before="58" w:line="195" w:lineRule="auto"/>
              <w:ind w:left="105" w:leftChars="50" w:right="28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1</w:t>
            </w:r>
          </w:p>
        </w:tc>
        <w:tc>
          <w:tcPr>
            <w:tcW w:w="1384" w:type="dxa"/>
            <w:vAlign w:val="top"/>
          </w:tcPr>
          <w:p w14:paraId="39961A6B">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rPr>
            </w:pPr>
          </w:p>
          <w:p w14:paraId="48315908">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rPr>
            </w:pPr>
          </w:p>
          <w:p w14:paraId="3625ED81">
            <w:pPr>
              <w:keepNext/>
              <w:keepLines w:val="0"/>
              <w:pageBreakBefore w:val="0"/>
              <w:widowControl w:val="0"/>
              <w:kinsoku/>
              <w:overflowPunct/>
              <w:topLinePunct w:val="0"/>
              <w:autoSpaceDE/>
              <w:autoSpaceDN/>
              <w:bidi w:val="0"/>
              <w:snapToGrid w:val="0"/>
              <w:spacing w:before="58" w:line="198" w:lineRule="auto"/>
              <w:ind w:left="105" w:leftChars="50" w:right="283"/>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r>
              <w:rPr>
                <w:rFonts w:hint="eastAsia" w:ascii="宋体" w:hAnsi="宋体" w:eastAsia="宋体" w:cs="宋体"/>
                <w:color w:val="auto"/>
                <w:spacing w:val="5"/>
                <w:sz w:val="21"/>
                <w:szCs w:val="21"/>
              </w:rPr>
              <w:t>2.2.2</w:t>
            </w:r>
          </w:p>
        </w:tc>
        <w:tc>
          <w:tcPr>
            <w:tcW w:w="7054" w:type="dxa"/>
            <w:tcBorders>
              <w:right w:val="single" w:color="000000" w:sz="6" w:space="0"/>
            </w:tcBorders>
            <w:vAlign w:val="top"/>
          </w:tcPr>
          <w:p w14:paraId="14858532">
            <w:pPr>
              <w:keepNext/>
              <w:keepLines w:val="0"/>
              <w:pageBreakBefore w:val="0"/>
              <w:widowControl w:val="0"/>
              <w:kinsoku/>
              <w:overflowPunct/>
              <w:topLinePunct w:val="0"/>
              <w:autoSpaceDE/>
              <w:autoSpaceDN/>
              <w:bidi w:val="0"/>
              <w:snapToGrid w:val="0"/>
              <w:spacing w:before="142" w:line="369" w:lineRule="auto"/>
              <w:ind w:left="105" w:leftChars="50" w:right="283" w:rightChars="0" w:firstLine="238" w:firstLineChars="0"/>
              <w:textAlignment w:val="auto"/>
              <w:rPr>
                <w:rFonts w:hint="eastAsia" w:ascii="宋体" w:hAnsi="宋体" w:eastAsia="宋体" w:cs="宋体"/>
                <w:color w:val="auto"/>
                <w:sz w:val="21"/>
                <w:szCs w:val="21"/>
              </w:rPr>
            </w:pPr>
            <w:r>
              <w:rPr>
                <w:rFonts w:hint="eastAsia" w:ascii="宋体" w:hAnsi="宋体" w:eastAsia="宋体" w:cs="宋体"/>
                <w:color w:val="auto"/>
                <w:spacing w:val="18"/>
                <w:sz w:val="21"/>
                <w:szCs w:val="21"/>
              </w:rPr>
              <w:t>如</w:t>
            </w:r>
            <w:r>
              <w:rPr>
                <w:rFonts w:hint="eastAsia" w:ascii="宋体" w:hAnsi="宋体" w:eastAsia="宋体" w:cs="宋体"/>
                <w:color w:val="auto"/>
                <w:spacing w:val="11"/>
                <w:sz w:val="21"/>
                <w:szCs w:val="21"/>
              </w:rPr>
              <w:t>承包人采用现金形式向发包人提交履约保证金或质量保证金时，发包人无正</w:t>
            </w:r>
            <w:r>
              <w:rPr>
                <w:rFonts w:hint="eastAsia" w:ascii="宋体" w:hAnsi="宋体" w:eastAsia="宋体" w:cs="宋体"/>
                <w:color w:val="auto"/>
                <w:spacing w:val="22"/>
                <w:sz w:val="21"/>
                <w:szCs w:val="21"/>
              </w:rPr>
              <w:t>当理</w:t>
            </w:r>
            <w:r>
              <w:rPr>
                <w:rFonts w:hint="eastAsia" w:ascii="宋体" w:hAnsi="宋体" w:eastAsia="宋体" w:cs="宋体"/>
                <w:color w:val="auto"/>
                <w:spacing w:val="15"/>
                <w:sz w:val="21"/>
                <w:szCs w:val="21"/>
              </w:rPr>
              <w:t>由</w:t>
            </w:r>
            <w:r>
              <w:rPr>
                <w:rFonts w:hint="eastAsia" w:ascii="宋体" w:hAnsi="宋体" w:eastAsia="宋体" w:cs="宋体"/>
                <w:color w:val="auto"/>
                <w:spacing w:val="11"/>
                <w:sz w:val="21"/>
                <w:szCs w:val="21"/>
              </w:rPr>
              <w:t>不按时返还的，发包人应向承包人支付的违约金：</w:t>
            </w:r>
            <w:r>
              <w:rPr>
                <w:rFonts w:hint="eastAsia" w:ascii="宋体" w:hAnsi="宋体" w:eastAsia="宋体" w:cs="宋体"/>
                <w:color w:val="auto"/>
                <w:spacing w:val="11"/>
                <w:sz w:val="21"/>
                <w:szCs w:val="21"/>
                <w:u w:val="single" w:color="auto"/>
              </w:rPr>
              <w:t>按照中国人民银行公布的一年以内(含一年)同期同类金融机构人民币贷款基准利率(不计复利)</w:t>
            </w:r>
            <w:r>
              <w:rPr>
                <w:rFonts w:hint="eastAsia" w:ascii="宋体" w:hAnsi="宋体" w:eastAsia="宋体" w:cs="宋体"/>
                <w:color w:val="auto"/>
                <w:spacing w:val="4"/>
                <w:sz w:val="21"/>
                <w:szCs w:val="21"/>
                <w:u w:val="single" w:color="auto"/>
              </w:rPr>
              <w:t>加</w:t>
            </w:r>
            <w:r>
              <w:rPr>
                <w:rFonts w:hint="eastAsia" w:ascii="宋体" w:hAnsi="宋体" w:eastAsia="宋体" w:cs="宋体"/>
                <w:color w:val="auto"/>
                <w:spacing w:val="13"/>
                <w:sz w:val="21"/>
                <w:szCs w:val="21"/>
                <w:u w:val="single" w:color="auto"/>
              </w:rPr>
              <w:t>手</w:t>
            </w:r>
            <w:r>
              <w:rPr>
                <w:rFonts w:hint="eastAsia" w:ascii="宋体" w:hAnsi="宋体" w:eastAsia="宋体" w:cs="宋体"/>
                <w:color w:val="auto"/>
                <w:spacing w:val="12"/>
                <w:sz w:val="21"/>
                <w:szCs w:val="21"/>
                <w:u w:val="single" w:color="auto"/>
              </w:rPr>
              <w:t>续费。</w:t>
            </w:r>
          </w:p>
        </w:tc>
      </w:tr>
      <w:tr w14:paraId="1FE4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top"/>
          </w:tcPr>
          <w:p w14:paraId="59F6902F">
            <w:pPr>
              <w:keepNext/>
              <w:keepLines w:val="0"/>
              <w:pageBreakBefore w:val="0"/>
              <w:widowControl w:val="0"/>
              <w:kinsoku/>
              <w:overflowPunct/>
              <w:topLinePunct w:val="0"/>
              <w:autoSpaceDE/>
              <w:autoSpaceDN/>
              <w:bidi w:val="0"/>
              <w:snapToGrid w:val="0"/>
              <w:spacing w:line="273" w:lineRule="auto"/>
              <w:ind w:left="105" w:leftChars="50" w:right="283"/>
              <w:textAlignment w:val="auto"/>
              <w:rPr>
                <w:rFonts w:hint="eastAsia" w:ascii="宋体" w:hAnsi="宋体" w:eastAsia="宋体" w:cs="宋体"/>
                <w:color w:val="auto"/>
                <w:sz w:val="21"/>
                <w:szCs w:val="21"/>
              </w:rPr>
            </w:pPr>
          </w:p>
          <w:p w14:paraId="6D5C4B63">
            <w:pPr>
              <w:keepNext/>
              <w:keepLines w:val="0"/>
              <w:pageBreakBefore w:val="0"/>
              <w:widowControl w:val="0"/>
              <w:kinsoku/>
              <w:overflowPunct/>
              <w:topLinePunct w:val="0"/>
              <w:autoSpaceDE/>
              <w:autoSpaceDN/>
              <w:bidi w:val="0"/>
              <w:snapToGrid w:val="0"/>
              <w:spacing w:before="58" w:line="195" w:lineRule="auto"/>
              <w:ind w:left="105" w:leftChars="50" w:right="28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2</w:t>
            </w:r>
          </w:p>
        </w:tc>
        <w:tc>
          <w:tcPr>
            <w:tcW w:w="1384" w:type="dxa"/>
            <w:vAlign w:val="top"/>
          </w:tcPr>
          <w:p w14:paraId="6778A1D6">
            <w:pPr>
              <w:keepNext/>
              <w:keepLines w:val="0"/>
              <w:pageBreakBefore w:val="0"/>
              <w:widowControl w:val="0"/>
              <w:kinsoku/>
              <w:overflowPunct/>
              <w:topLinePunct w:val="0"/>
              <w:autoSpaceDE/>
              <w:autoSpaceDN/>
              <w:bidi w:val="0"/>
              <w:snapToGrid w:val="0"/>
              <w:spacing w:line="273" w:lineRule="auto"/>
              <w:ind w:left="105" w:leftChars="50" w:right="283"/>
              <w:textAlignment w:val="auto"/>
              <w:rPr>
                <w:rFonts w:hint="eastAsia" w:ascii="宋体" w:hAnsi="宋体" w:eastAsia="宋体" w:cs="宋体"/>
                <w:color w:val="auto"/>
                <w:sz w:val="21"/>
                <w:szCs w:val="21"/>
              </w:rPr>
            </w:pPr>
          </w:p>
          <w:p w14:paraId="2C20EF2F">
            <w:pPr>
              <w:keepNext/>
              <w:keepLines w:val="0"/>
              <w:pageBreakBefore w:val="0"/>
              <w:widowControl w:val="0"/>
              <w:kinsoku/>
              <w:overflowPunct/>
              <w:topLinePunct w:val="0"/>
              <w:autoSpaceDE/>
              <w:autoSpaceDN/>
              <w:bidi w:val="0"/>
              <w:snapToGrid w:val="0"/>
              <w:spacing w:before="58" w:line="198" w:lineRule="auto"/>
              <w:ind w:left="105" w:leftChars="50" w:right="283"/>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r>
              <w:rPr>
                <w:rFonts w:hint="eastAsia" w:ascii="宋体" w:hAnsi="宋体" w:eastAsia="宋体" w:cs="宋体"/>
                <w:color w:val="auto"/>
                <w:spacing w:val="-4"/>
                <w:sz w:val="21"/>
                <w:szCs w:val="21"/>
              </w:rPr>
              <w:t>4</w:t>
            </w:r>
            <w:r>
              <w:rPr>
                <w:rFonts w:hint="eastAsia" w:ascii="宋体" w:hAnsi="宋体" w:eastAsia="宋体" w:cs="宋体"/>
                <w:color w:val="auto"/>
                <w:spacing w:val="-3"/>
                <w:sz w:val="21"/>
                <w:szCs w:val="21"/>
              </w:rPr>
              <w:t>.1</w:t>
            </w:r>
          </w:p>
        </w:tc>
        <w:tc>
          <w:tcPr>
            <w:tcW w:w="7054" w:type="dxa"/>
            <w:tcBorders>
              <w:right w:val="single" w:color="000000" w:sz="6" w:space="0"/>
            </w:tcBorders>
            <w:vAlign w:val="top"/>
          </w:tcPr>
          <w:p w14:paraId="68ECD16D">
            <w:pPr>
              <w:keepNext/>
              <w:keepLines w:val="0"/>
              <w:pageBreakBefore w:val="0"/>
              <w:widowControl w:val="0"/>
              <w:kinsoku/>
              <w:overflowPunct/>
              <w:topLinePunct w:val="0"/>
              <w:autoSpaceDE/>
              <w:autoSpaceDN/>
              <w:bidi w:val="0"/>
              <w:snapToGrid w:val="0"/>
              <w:spacing w:before="143" w:line="227" w:lineRule="auto"/>
              <w:ind w:left="105" w:leftChars="50" w:right="283"/>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rPr>
              <w:t>争</w:t>
            </w:r>
            <w:r>
              <w:rPr>
                <w:rFonts w:hint="eastAsia" w:ascii="宋体" w:hAnsi="宋体" w:eastAsia="宋体" w:cs="宋体"/>
                <w:color w:val="auto"/>
                <w:spacing w:val="5"/>
                <w:sz w:val="21"/>
                <w:szCs w:val="21"/>
              </w:rPr>
              <w:t>议的最终解决方式，规定为：</w:t>
            </w:r>
            <w:r>
              <w:rPr>
                <w:rFonts w:hint="eastAsia" w:ascii="宋体" w:hAnsi="宋体" w:eastAsia="宋体" w:cs="宋体"/>
                <w:color w:val="auto"/>
                <w:spacing w:val="5"/>
                <w:sz w:val="21"/>
                <w:szCs w:val="21"/>
                <w:u w:val="single" w:color="auto"/>
              </w:rPr>
              <w:t>仲裁</w:t>
            </w:r>
          </w:p>
          <w:p w14:paraId="4AE379C7">
            <w:pPr>
              <w:keepNext/>
              <w:keepLines w:val="0"/>
              <w:pageBreakBefore w:val="0"/>
              <w:widowControl w:val="0"/>
              <w:kinsoku/>
              <w:overflowPunct/>
              <w:topLinePunct w:val="0"/>
              <w:autoSpaceDE/>
              <w:autoSpaceDN/>
              <w:bidi w:val="0"/>
              <w:snapToGrid w:val="0"/>
              <w:spacing w:before="155" w:line="224" w:lineRule="auto"/>
              <w:ind w:left="105" w:leftChars="50" w:right="283"/>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14"/>
                <w:sz w:val="21"/>
                <w:szCs w:val="21"/>
              </w:rPr>
              <w:t>采</w:t>
            </w:r>
            <w:r>
              <w:rPr>
                <w:rFonts w:hint="eastAsia" w:ascii="宋体" w:hAnsi="宋体" w:eastAsia="宋体" w:cs="宋体"/>
                <w:color w:val="auto"/>
                <w:spacing w:val="9"/>
                <w:sz w:val="21"/>
                <w:szCs w:val="21"/>
              </w:rPr>
              <w:t>用</w:t>
            </w:r>
            <w:r>
              <w:rPr>
                <w:rFonts w:hint="eastAsia" w:ascii="宋体" w:hAnsi="宋体" w:eastAsia="宋体" w:cs="宋体"/>
                <w:color w:val="auto"/>
                <w:spacing w:val="7"/>
                <w:sz w:val="21"/>
                <w:szCs w:val="21"/>
              </w:rPr>
              <w:t>仲裁的仲裁委员会名称，规定为：</w:t>
            </w:r>
            <w:r>
              <w:rPr>
                <w:rFonts w:hint="eastAsia" w:ascii="宋体" w:hAnsi="宋体" w:eastAsia="宋体" w:cs="宋体"/>
                <w:color w:val="auto"/>
                <w:spacing w:val="7"/>
                <w:sz w:val="21"/>
                <w:szCs w:val="21"/>
                <w:u w:val="single" w:color="auto"/>
              </w:rPr>
              <w:t>发包人所在地仲裁委员会</w:t>
            </w:r>
          </w:p>
        </w:tc>
      </w:tr>
      <w:tr w14:paraId="217A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top"/>
          </w:tcPr>
          <w:p w14:paraId="0BE47280">
            <w:pPr>
              <w:keepNext/>
              <w:keepLines w:val="0"/>
              <w:pageBreakBefore w:val="0"/>
              <w:widowControl w:val="0"/>
              <w:kinsoku/>
              <w:overflowPunct/>
              <w:topLinePunct w:val="0"/>
              <w:autoSpaceDE/>
              <w:autoSpaceDN/>
              <w:bidi w:val="0"/>
              <w:snapToGrid w:val="0"/>
              <w:spacing w:before="135" w:line="195" w:lineRule="auto"/>
              <w:ind w:left="105" w:leftChars="50" w:right="28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3</w:t>
            </w:r>
          </w:p>
        </w:tc>
        <w:tc>
          <w:tcPr>
            <w:tcW w:w="1384" w:type="dxa"/>
            <w:vAlign w:val="top"/>
          </w:tcPr>
          <w:p w14:paraId="5EBCC71B">
            <w:pPr>
              <w:keepNext/>
              <w:keepLines w:val="0"/>
              <w:pageBreakBefore w:val="0"/>
              <w:widowControl w:val="0"/>
              <w:kinsoku/>
              <w:overflowPunct/>
              <w:topLinePunct w:val="0"/>
              <w:autoSpaceDE/>
              <w:autoSpaceDN/>
              <w:bidi w:val="0"/>
              <w:snapToGrid w:val="0"/>
              <w:spacing w:before="135" w:line="195" w:lineRule="auto"/>
              <w:ind w:left="105" w:leftChars="50" w:right="283"/>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3"/>
                <w:sz w:val="21"/>
                <w:szCs w:val="21"/>
              </w:rPr>
              <w:t>2</w:t>
            </w:r>
            <w:r>
              <w:rPr>
                <w:rFonts w:hint="eastAsia" w:ascii="宋体" w:hAnsi="宋体" w:eastAsia="宋体" w:cs="宋体"/>
                <w:color w:val="auto"/>
                <w:spacing w:val="2"/>
                <w:sz w:val="21"/>
                <w:szCs w:val="21"/>
              </w:rPr>
              <w:t>5</w:t>
            </w:r>
          </w:p>
        </w:tc>
        <w:tc>
          <w:tcPr>
            <w:tcW w:w="7054" w:type="dxa"/>
            <w:tcBorders>
              <w:right w:val="single" w:color="000000" w:sz="6" w:space="0"/>
            </w:tcBorders>
            <w:vAlign w:val="top"/>
          </w:tcPr>
          <w:p w14:paraId="0CF7D0CD">
            <w:pPr>
              <w:keepNext/>
              <w:keepLines w:val="0"/>
              <w:pageBreakBefore w:val="0"/>
              <w:widowControl w:val="0"/>
              <w:kinsoku/>
              <w:overflowPunct/>
              <w:topLinePunct w:val="0"/>
              <w:autoSpaceDE/>
              <w:autoSpaceDN/>
              <w:bidi w:val="0"/>
              <w:snapToGrid w:val="0"/>
              <w:spacing w:before="138" w:line="228" w:lineRule="auto"/>
              <w:ind w:left="105" w:leftChars="50" w:right="283"/>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为加</w:t>
            </w:r>
            <w:r>
              <w:rPr>
                <w:rFonts w:hint="eastAsia" w:ascii="宋体" w:hAnsi="宋体" w:eastAsia="宋体" w:cs="宋体"/>
                <w:color w:val="auto"/>
                <w:spacing w:val="15"/>
                <w:sz w:val="21"/>
                <w:szCs w:val="21"/>
              </w:rPr>
              <w:t>强</w:t>
            </w:r>
            <w:r>
              <w:rPr>
                <w:rFonts w:hint="eastAsia" w:ascii="宋体" w:hAnsi="宋体" w:eastAsia="宋体" w:cs="宋体"/>
                <w:color w:val="auto"/>
                <w:spacing w:val="8"/>
                <w:sz w:val="21"/>
                <w:szCs w:val="21"/>
              </w:rPr>
              <w:t>安全生产管理工作，规范本工程交通封闭作业行为，在合同执行过程中，</w:t>
            </w:r>
            <w:r>
              <w:rPr>
                <w:rFonts w:hint="eastAsia" w:ascii="宋体" w:hAnsi="宋体" w:eastAsia="宋体" w:cs="宋体"/>
                <w:color w:val="auto"/>
                <w:spacing w:val="14"/>
                <w:sz w:val="21"/>
                <w:szCs w:val="21"/>
              </w:rPr>
              <w:t>结</w:t>
            </w:r>
            <w:r>
              <w:rPr>
                <w:rFonts w:hint="eastAsia" w:ascii="宋体" w:hAnsi="宋体" w:eastAsia="宋体" w:cs="宋体"/>
                <w:color w:val="auto"/>
                <w:spacing w:val="9"/>
                <w:sz w:val="21"/>
                <w:szCs w:val="21"/>
              </w:rPr>
              <w:t>合项目施工特点，严格按照相关要求开展道路交通封闭施工作业。</w:t>
            </w:r>
          </w:p>
          <w:p w14:paraId="2D41CD46">
            <w:pPr>
              <w:keepNext/>
              <w:keepLines w:val="0"/>
              <w:pageBreakBefore w:val="0"/>
              <w:widowControl w:val="0"/>
              <w:kinsoku/>
              <w:overflowPunct/>
              <w:topLinePunct w:val="0"/>
              <w:autoSpaceDE/>
              <w:autoSpaceDN/>
              <w:bidi w:val="0"/>
              <w:snapToGrid w:val="0"/>
              <w:spacing w:before="153" w:line="369" w:lineRule="auto"/>
              <w:ind w:left="105" w:leftChars="50" w:right="283" w:firstLine="207"/>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施</w:t>
            </w:r>
            <w:r>
              <w:rPr>
                <w:rFonts w:hint="eastAsia" w:ascii="宋体" w:hAnsi="宋体" w:eastAsia="宋体" w:cs="宋体"/>
                <w:color w:val="auto"/>
                <w:spacing w:val="12"/>
                <w:sz w:val="21"/>
                <w:szCs w:val="21"/>
              </w:rPr>
              <w:t>工结束时，承包人必须将因施工而损坏的路面及附属设施恢复到原有良好状</w:t>
            </w:r>
            <w:r>
              <w:rPr>
                <w:rFonts w:hint="eastAsia" w:ascii="宋体" w:hAnsi="宋体" w:eastAsia="宋体" w:cs="宋体"/>
                <w:color w:val="auto"/>
                <w:spacing w:val="14"/>
                <w:sz w:val="21"/>
                <w:szCs w:val="21"/>
              </w:rPr>
              <w:t>态</w:t>
            </w:r>
            <w:r>
              <w:rPr>
                <w:rFonts w:hint="eastAsia" w:ascii="宋体" w:hAnsi="宋体" w:eastAsia="宋体" w:cs="宋体"/>
                <w:color w:val="auto"/>
                <w:spacing w:val="12"/>
                <w:sz w:val="21"/>
                <w:szCs w:val="21"/>
              </w:rPr>
              <w:t>。及时施划道路标志、标线，确保道路标志、标线的完整有效。拆除安全隔离</w:t>
            </w:r>
            <w:r>
              <w:rPr>
                <w:rFonts w:hint="eastAsia" w:ascii="宋体" w:hAnsi="宋体" w:eastAsia="宋体" w:cs="宋体"/>
                <w:color w:val="auto"/>
                <w:spacing w:val="14"/>
                <w:sz w:val="21"/>
                <w:szCs w:val="21"/>
              </w:rPr>
              <w:t>设</w:t>
            </w:r>
            <w:r>
              <w:rPr>
                <w:rFonts w:hint="eastAsia" w:ascii="宋体" w:hAnsi="宋体" w:eastAsia="宋体" w:cs="宋体"/>
                <w:color w:val="auto"/>
                <w:spacing w:val="12"/>
                <w:sz w:val="21"/>
                <w:szCs w:val="21"/>
              </w:rPr>
              <w:t>施，并报经所在路域分公司、公安交警大队进行验收合格后，方可撤离现场恢</w:t>
            </w:r>
            <w:r>
              <w:rPr>
                <w:rFonts w:hint="eastAsia" w:ascii="宋体" w:hAnsi="宋体" w:eastAsia="宋体" w:cs="宋体"/>
                <w:color w:val="auto"/>
                <w:spacing w:val="7"/>
                <w:sz w:val="21"/>
                <w:szCs w:val="21"/>
              </w:rPr>
              <w:t>复道路交通</w:t>
            </w:r>
            <w:r>
              <w:rPr>
                <w:rFonts w:hint="eastAsia" w:ascii="宋体" w:hAnsi="宋体" w:eastAsia="宋体" w:cs="宋体"/>
                <w:color w:val="auto"/>
                <w:spacing w:val="5"/>
                <w:sz w:val="21"/>
                <w:szCs w:val="21"/>
              </w:rPr>
              <w:t>。</w:t>
            </w:r>
          </w:p>
          <w:p w14:paraId="3A78CAB6">
            <w:pPr>
              <w:keepNext/>
              <w:keepLines w:val="0"/>
              <w:pageBreakBefore w:val="0"/>
              <w:widowControl w:val="0"/>
              <w:kinsoku/>
              <w:overflowPunct/>
              <w:topLinePunct w:val="0"/>
              <w:autoSpaceDE/>
              <w:autoSpaceDN/>
              <w:bidi w:val="0"/>
              <w:snapToGrid w:val="0"/>
              <w:spacing w:before="1" w:line="368" w:lineRule="auto"/>
              <w:ind w:left="105" w:leftChars="50" w:right="283" w:firstLine="209"/>
              <w:textAlignment w:val="auto"/>
              <w:rPr>
                <w:rFonts w:hint="eastAsia" w:ascii="宋体" w:hAnsi="宋体" w:eastAsia="宋体" w:cs="宋体"/>
                <w:color w:val="auto"/>
                <w:sz w:val="21"/>
                <w:szCs w:val="21"/>
              </w:rPr>
            </w:pPr>
            <w:r>
              <w:rPr>
                <w:rFonts w:hint="eastAsia" w:ascii="宋体" w:hAnsi="宋体" w:eastAsia="宋体" w:cs="宋体"/>
                <w:color w:val="auto"/>
                <w:spacing w:val="20"/>
                <w:sz w:val="21"/>
                <w:szCs w:val="21"/>
              </w:rPr>
              <w:t>工</w:t>
            </w:r>
            <w:r>
              <w:rPr>
                <w:rFonts w:hint="eastAsia" w:ascii="宋体" w:hAnsi="宋体" w:eastAsia="宋体" w:cs="宋体"/>
                <w:color w:val="auto"/>
                <w:spacing w:val="17"/>
                <w:sz w:val="21"/>
                <w:szCs w:val="21"/>
              </w:rPr>
              <w:t>程</w:t>
            </w:r>
            <w:r>
              <w:rPr>
                <w:rFonts w:hint="eastAsia" w:ascii="宋体" w:hAnsi="宋体" w:eastAsia="宋体" w:cs="宋体"/>
                <w:color w:val="auto"/>
                <w:spacing w:val="10"/>
                <w:sz w:val="21"/>
                <w:szCs w:val="21"/>
              </w:rPr>
              <w:t>正式开工前，承包人必须向监理及发包人上报详细的交通封闭组织方案，</w:t>
            </w:r>
            <w:r>
              <w:rPr>
                <w:rFonts w:hint="eastAsia" w:ascii="宋体" w:hAnsi="宋体" w:eastAsia="宋体" w:cs="宋体"/>
                <w:color w:val="auto"/>
                <w:spacing w:val="16"/>
                <w:sz w:val="21"/>
                <w:szCs w:val="21"/>
              </w:rPr>
              <w:t>经</w:t>
            </w:r>
            <w:r>
              <w:rPr>
                <w:rFonts w:hint="eastAsia" w:ascii="宋体" w:hAnsi="宋体" w:eastAsia="宋体" w:cs="宋体"/>
                <w:color w:val="auto"/>
                <w:spacing w:val="11"/>
                <w:sz w:val="21"/>
                <w:szCs w:val="21"/>
              </w:rPr>
              <w:t>发</w:t>
            </w:r>
            <w:r>
              <w:rPr>
                <w:rFonts w:hint="eastAsia" w:ascii="宋体" w:hAnsi="宋体" w:eastAsia="宋体" w:cs="宋体"/>
                <w:color w:val="auto"/>
                <w:spacing w:val="8"/>
                <w:sz w:val="21"/>
                <w:szCs w:val="21"/>
              </w:rPr>
              <w:t>包人审核通过后，方可正式施工。</w:t>
            </w:r>
          </w:p>
          <w:p w14:paraId="7D9CD534">
            <w:pPr>
              <w:keepNext/>
              <w:keepLines w:val="0"/>
              <w:pageBreakBefore w:val="0"/>
              <w:widowControl w:val="0"/>
              <w:kinsoku/>
              <w:overflowPunct/>
              <w:topLinePunct w:val="0"/>
              <w:autoSpaceDE/>
              <w:autoSpaceDN/>
              <w:bidi w:val="0"/>
              <w:snapToGrid w:val="0"/>
              <w:spacing w:before="2" w:line="369" w:lineRule="auto"/>
              <w:ind w:left="105" w:leftChars="50" w:right="283" w:rightChars="0" w:firstLine="207" w:firstLineChars="0"/>
              <w:textAlignment w:val="auto"/>
              <w:rPr>
                <w:rFonts w:hint="eastAsia" w:ascii="宋体" w:hAnsi="宋体" w:eastAsia="宋体" w:cs="宋体"/>
                <w:color w:val="auto"/>
                <w:sz w:val="21"/>
                <w:szCs w:val="21"/>
              </w:rPr>
            </w:pPr>
            <w:r>
              <w:rPr>
                <w:rFonts w:hint="eastAsia" w:ascii="宋体" w:hAnsi="宋体" w:eastAsia="宋体" w:cs="宋体"/>
                <w:color w:val="auto"/>
                <w:spacing w:val="14"/>
                <w:sz w:val="21"/>
                <w:szCs w:val="21"/>
              </w:rPr>
              <w:t>承</w:t>
            </w:r>
            <w:r>
              <w:rPr>
                <w:rFonts w:hint="eastAsia" w:ascii="宋体" w:hAnsi="宋体" w:eastAsia="宋体" w:cs="宋体"/>
                <w:color w:val="auto"/>
                <w:spacing w:val="12"/>
                <w:sz w:val="21"/>
                <w:szCs w:val="21"/>
              </w:rPr>
              <w:t>包人应充分考虑本项目施工过程中执行上述交通封闭作业要求所需的相关费用，且交通封闭规范化作业费用已包含在本合同的相关报价中，发包人将不另行</w:t>
            </w:r>
            <w:r>
              <w:rPr>
                <w:rFonts w:hint="eastAsia" w:ascii="宋体" w:hAnsi="宋体" w:eastAsia="宋体" w:cs="宋体"/>
                <w:color w:val="auto"/>
                <w:spacing w:val="3"/>
                <w:sz w:val="21"/>
                <w:szCs w:val="21"/>
              </w:rPr>
              <w:t>支付</w:t>
            </w:r>
            <w:r>
              <w:rPr>
                <w:rFonts w:hint="eastAsia" w:ascii="宋体" w:hAnsi="宋体" w:eastAsia="宋体" w:cs="宋体"/>
                <w:color w:val="auto"/>
                <w:spacing w:val="2"/>
                <w:sz w:val="21"/>
                <w:szCs w:val="21"/>
              </w:rPr>
              <w:t>。</w:t>
            </w:r>
          </w:p>
        </w:tc>
      </w:tr>
    </w:tbl>
    <w:p w14:paraId="636AAA83">
      <w:pPr>
        <w:rPr>
          <w:rFonts w:hint="eastAsia" w:ascii="宋体" w:hAnsi="宋体" w:eastAsia="宋体" w:cs="宋体"/>
          <w:color w:val="auto"/>
          <w:sz w:val="21"/>
          <w:szCs w:val="21"/>
        </w:rPr>
        <w:sectPr>
          <w:headerReference r:id="rId29" w:type="default"/>
          <w:footerReference r:id="rId30" w:type="default"/>
          <w:pgSz w:w="11907" w:h="16840"/>
          <w:pgMar w:top="1165" w:right="1301" w:bottom="1333" w:left="1299" w:header="883" w:footer="1173" w:gutter="0"/>
          <w:cols w:space="720" w:num="1"/>
        </w:sectPr>
      </w:pPr>
    </w:p>
    <w:p w14:paraId="03B32A97">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bookmarkStart w:id="1444" w:name="_Toc28935"/>
      <w:bookmarkStart w:id="1445" w:name="_Toc1829"/>
      <w:bookmarkStart w:id="1446" w:name="_Toc21888"/>
      <w:r>
        <w:rPr>
          <w:rFonts w:hint="default" w:ascii="Times New Roman" w:hAnsi="Times New Roman" w:eastAsia="黑体" w:cs="Times New Roman"/>
          <w:b w:val="0"/>
          <w:color w:val="auto"/>
          <w:sz w:val="32"/>
          <w:szCs w:val="32"/>
          <w:highlight w:val="none"/>
        </w:rPr>
        <w:t>项目专用合同条款</w:t>
      </w:r>
      <w:bookmarkEnd w:id="1443"/>
      <w:bookmarkEnd w:id="1444"/>
      <w:r>
        <w:rPr>
          <w:rStyle w:val="48"/>
          <w:rFonts w:hint="default" w:ascii="Times New Roman" w:hAnsi="Times New Roman" w:eastAsia="黑体" w:cs="Times New Roman"/>
          <w:b w:val="0"/>
          <w:color w:val="auto"/>
          <w:sz w:val="32"/>
          <w:szCs w:val="32"/>
          <w:highlight w:val="none"/>
        </w:rPr>
        <w:footnoteReference w:id="40"/>
      </w:r>
      <w:bookmarkEnd w:id="1445"/>
      <w:bookmarkEnd w:id="1446"/>
    </w:p>
    <w:p w14:paraId="369530D1">
      <w:pPr>
        <w:pageBreakBefore w:val="0"/>
        <w:kinsoku/>
        <w:wordWrap w:val="0"/>
        <w:bidi w:val="0"/>
        <w:rPr>
          <w:rFonts w:hint="default" w:ascii="Times New Roman" w:hAnsi="Times New Roman" w:cs="Times New Roman"/>
          <w:color w:val="auto"/>
          <w:highlight w:val="none"/>
        </w:rPr>
      </w:pPr>
    </w:p>
    <w:p w14:paraId="043D0EB4">
      <w:pPr>
        <w:pStyle w:val="18"/>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说明：</w:t>
      </w:r>
      <w:r>
        <w:rPr>
          <w:rFonts w:hint="default" w:ascii="Times New Roman" w:hAnsi="Times New Roman" w:eastAsia="楷体_GB2312" w:cs="Times New Roman"/>
          <w:color w:val="auto"/>
          <w:sz w:val="24"/>
          <w:highlight w:val="none"/>
        </w:rPr>
        <w:t>本部分所列的项目专用合同条款是对</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公路工程专用合同条款</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中规定必须在项目专用合同条款中明确的内容的集中，招标人编制的</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项目专用合同条款</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不限于本部分所列内容。</w:t>
      </w:r>
    </w:p>
    <w:p w14:paraId="3826B93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47" w:name="_Toc22768"/>
      <w:bookmarkStart w:id="1448" w:name="_Toc23600"/>
      <w:bookmarkStart w:id="1449" w:name="_Toc3467"/>
      <w:bookmarkStart w:id="1450" w:name="_Toc234833223"/>
      <w:r>
        <w:rPr>
          <w:rFonts w:hint="default" w:ascii="Times New Roman" w:hAnsi="Times New Roman" w:eastAsia="黑体" w:cs="Times New Roman"/>
          <w:b w:val="0"/>
          <w:color w:val="auto"/>
          <w:sz w:val="24"/>
          <w:szCs w:val="24"/>
          <w:highlight w:val="none"/>
        </w:rPr>
        <w:t>4.1承包人的一般义务</w:t>
      </w:r>
      <w:bookmarkEnd w:id="1447"/>
      <w:bookmarkEnd w:id="1448"/>
      <w:bookmarkEnd w:id="1449"/>
      <w:bookmarkEnd w:id="1450"/>
    </w:p>
    <w:p w14:paraId="41840D47">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4.1.10</w:t>
      </w:r>
      <w:r>
        <w:rPr>
          <w:rFonts w:hint="default" w:ascii="Times New Roman" w:hAnsi="Times New Roman" w:eastAsia="黑体" w:cs="Times New Roman"/>
          <w:color w:val="auto"/>
          <w:sz w:val="24"/>
          <w:highlight w:val="none"/>
        </w:rPr>
        <w:t>其他义务</w:t>
      </w:r>
    </w:p>
    <w:p w14:paraId="71CCA058">
      <w:pPr>
        <w:pageBreakBefore w:val="0"/>
        <w:kinsoku/>
        <w:wordWrap w:val="0"/>
        <w:bidi w:val="0"/>
        <w:spacing w:line="400" w:lineRule="atLeast"/>
        <w:ind w:firstLine="39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）承包人应履行的其他义务：</w:t>
      </w:r>
      <w:r>
        <w:rPr>
          <w:rFonts w:hint="eastAsia" w:cs="Times New Roman"/>
          <w:color w:val="auto"/>
          <w:sz w:val="24"/>
          <w:highlight w:val="none"/>
          <w:u w:val="single"/>
          <w:lang w:val="en-US" w:eastAsia="zh-CN"/>
        </w:rPr>
        <w:t xml:space="preserve">                       </w:t>
      </w:r>
    </w:p>
    <w:p w14:paraId="03E44DD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51" w:name="_Toc234833224"/>
      <w:bookmarkStart w:id="1452" w:name="_Toc12950"/>
      <w:bookmarkStart w:id="1453" w:name="_Toc21641"/>
      <w:bookmarkStart w:id="1454" w:name="_Toc121"/>
      <w:r>
        <w:rPr>
          <w:rFonts w:hint="default" w:ascii="Times New Roman" w:hAnsi="Times New Roman" w:eastAsia="黑体" w:cs="Times New Roman"/>
          <w:b w:val="0"/>
          <w:color w:val="auto"/>
          <w:sz w:val="24"/>
          <w:szCs w:val="24"/>
          <w:highlight w:val="none"/>
        </w:rPr>
        <w:t>4.</w:t>
      </w:r>
      <w:r>
        <w:rPr>
          <w:rFonts w:hint="eastAsia" w:cs="Times New Roman"/>
          <w:b w:val="0"/>
          <w:color w:val="auto"/>
          <w:sz w:val="24"/>
          <w:szCs w:val="24"/>
          <w:highlight w:val="none"/>
          <w:lang w:val="en-US" w:eastAsia="zh-CN"/>
        </w:rPr>
        <w:t>6</w:t>
      </w:r>
      <w:r>
        <w:rPr>
          <w:rFonts w:hint="default" w:ascii="Times New Roman" w:hAnsi="Times New Roman" w:eastAsia="黑体" w:cs="Times New Roman"/>
          <w:b w:val="0"/>
          <w:color w:val="auto"/>
          <w:sz w:val="24"/>
          <w:szCs w:val="24"/>
          <w:highlight w:val="none"/>
        </w:rPr>
        <w:t>承包人人员的管理</w:t>
      </w:r>
    </w:p>
    <w:p w14:paraId="68BD01D1">
      <w:pPr>
        <w:pageBreakBefore w:val="0"/>
        <w:kinsoku/>
        <w:wordWrap/>
        <w:bidi w:val="0"/>
        <w:spacing w:before="240" w:after="240" w:line="420" w:lineRule="exact"/>
        <w:ind w:firstLine="480" w:firstLineChars="200"/>
        <w:outlineLvl w:val="9"/>
        <w:rPr>
          <w:rFonts w:hint="default" w:ascii="Times New Roman" w:hAnsi="Times New Roman" w:eastAsia="宋体" w:cs="Times New Roman"/>
          <w:b w:val="0"/>
          <w:color w:val="auto"/>
          <w:sz w:val="24"/>
          <w:szCs w:val="24"/>
          <w:highlight w:val="none"/>
        </w:rPr>
      </w:pPr>
      <w:r>
        <w:rPr>
          <w:rFonts w:hint="default" w:ascii="Times New Roman" w:hAnsi="Times New Roman" w:cs="Times New Roman"/>
          <w:color w:val="auto"/>
          <w:sz w:val="24"/>
          <w:highlight w:val="none"/>
        </w:rPr>
        <w:t>4.</w:t>
      </w:r>
      <w:r>
        <w:rPr>
          <w:rFonts w:hint="default"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default" w:cs="Times New Roman"/>
          <w:color w:val="auto"/>
          <w:sz w:val="24"/>
          <w:highlight w:val="none"/>
          <w:lang w:val="en-US" w:eastAsia="zh-CN"/>
        </w:rPr>
        <w:t>6</w:t>
      </w:r>
      <w:r>
        <w:rPr>
          <w:rFonts w:hint="eastAsia" w:cs="Times New Roman"/>
          <w:color w:val="auto"/>
          <w:sz w:val="24"/>
          <w:highlight w:val="none"/>
          <w:lang w:val="en-US" w:eastAsia="zh-CN"/>
        </w:rPr>
        <w:t>承包人（总承包单位和分包单位）</w:t>
      </w:r>
      <w:r>
        <w:rPr>
          <w:rFonts w:hint="default" w:ascii="Times New Roman" w:hAnsi="Times New Roman" w:cs="Times New Roman"/>
          <w:color w:val="auto"/>
          <w:sz w:val="24"/>
          <w:highlight w:val="none"/>
        </w:rPr>
        <w:t>应严格执行辽宁省交通运输厅关于印发《辽宁省公路工程施工现场主要人员履约监督管理办法》的通知</w:t>
      </w:r>
      <w:r>
        <w:rPr>
          <w:rFonts w:hint="eastAsia" w:cs="Times New Roman"/>
          <w:color w:val="auto"/>
          <w:sz w:val="24"/>
          <w:highlight w:val="none"/>
          <w:lang w:eastAsia="zh-CN"/>
        </w:rPr>
        <w:t>（辽交公路规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2025</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3号）</w:t>
      </w:r>
      <w:r>
        <w:rPr>
          <w:rFonts w:hint="eastAsia" w:cs="Times New Roman"/>
          <w:color w:val="auto"/>
          <w:sz w:val="24"/>
          <w:highlight w:val="none"/>
          <w:lang w:val="en-US" w:eastAsia="zh-CN"/>
        </w:rPr>
        <w:t>中关于主要人员履约考核管理的规定。</w:t>
      </w:r>
    </w:p>
    <w:p w14:paraId="70E7173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4.11不利物质条件</w:t>
      </w:r>
      <w:bookmarkEnd w:id="1451"/>
      <w:bookmarkEnd w:id="1452"/>
      <w:bookmarkEnd w:id="1453"/>
      <w:bookmarkEnd w:id="1454"/>
    </w:p>
    <w:p w14:paraId="383C36D0">
      <w:pPr>
        <w:pageBreakBefore w:val="0"/>
        <w:kinsoku/>
        <w:wordWrap w:val="0"/>
        <w:bidi w:val="0"/>
        <w:spacing w:line="38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4.11.1不利物质条件的范围：</w:t>
      </w:r>
      <w:r>
        <w:rPr>
          <w:rFonts w:hint="eastAsia" w:cs="Times New Roman"/>
          <w:color w:val="auto"/>
          <w:sz w:val="24"/>
          <w:highlight w:val="none"/>
          <w:u w:val="single"/>
          <w:lang w:val="en-US" w:eastAsia="zh-CN"/>
        </w:rPr>
        <w:t xml:space="preserve">                          </w:t>
      </w:r>
    </w:p>
    <w:p w14:paraId="51F62B9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55" w:name="_Toc1967"/>
      <w:bookmarkStart w:id="1456" w:name="_Toc234833225"/>
      <w:bookmarkStart w:id="1457" w:name="_Toc9469"/>
      <w:bookmarkStart w:id="1458" w:name="_Toc18605"/>
      <w:r>
        <w:rPr>
          <w:rFonts w:hint="default" w:ascii="Times New Roman" w:hAnsi="Times New Roman" w:eastAsia="黑体" w:cs="Times New Roman"/>
          <w:b w:val="0"/>
          <w:color w:val="auto"/>
          <w:sz w:val="24"/>
          <w:szCs w:val="24"/>
          <w:highlight w:val="none"/>
        </w:rPr>
        <w:t>10.1合同进度计划</w:t>
      </w:r>
      <w:bookmarkEnd w:id="1455"/>
      <w:bookmarkEnd w:id="1456"/>
      <w:bookmarkEnd w:id="1457"/>
      <w:bookmarkEnd w:id="1458"/>
    </w:p>
    <w:p w14:paraId="3EFFFE73">
      <w:pPr>
        <w:pageBreakBefore w:val="0"/>
        <w:kinsoku/>
        <w:wordWrap w:val="0"/>
        <w:bidi w:val="0"/>
        <w:spacing w:line="38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承包人编制施工方案的内容：</w:t>
      </w:r>
      <w:r>
        <w:rPr>
          <w:rFonts w:hint="eastAsia" w:cs="Times New Roman"/>
          <w:color w:val="auto"/>
          <w:sz w:val="24"/>
          <w:highlight w:val="none"/>
          <w:u w:val="single"/>
          <w:lang w:val="en-US" w:eastAsia="zh-CN"/>
        </w:rPr>
        <w:t xml:space="preserve">                         </w:t>
      </w:r>
    </w:p>
    <w:p w14:paraId="3787ABF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59" w:name="_Toc5467"/>
      <w:bookmarkStart w:id="1460" w:name="_Toc19055"/>
      <w:bookmarkStart w:id="1461" w:name="_Toc24011"/>
      <w:bookmarkStart w:id="1462" w:name="_Toc234833226"/>
      <w:r>
        <w:rPr>
          <w:rFonts w:hint="default" w:ascii="Times New Roman" w:hAnsi="Times New Roman" w:eastAsia="黑体" w:cs="Times New Roman"/>
          <w:b w:val="0"/>
          <w:color w:val="auto"/>
          <w:sz w:val="24"/>
          <w:szCs w:val="24"/>
          <w:highlight w:val="none"/>
        </w:rPr>
        <w:t>11.4异常恶劣的气候条件</w:t>
      </w:r>
      <w:bookmarkEnd w:id="1459"/>
      <w:bookmarkEnd w:id="1460"/>
      <w:bookmarkEnd w:id="1461"/>
      <w:bookmarkEnd w:id="1462"/>
    </w:p>
    <w:p w14:paraId="77936BE2">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异常恶劣的气候条件的范围：</w:t>
      </w:r>
      <w:r>
        <w:rPr>
          <w:rFonts w:hint="eastAsia" w:cs="Times New Roman"/>
          <w:color w:val="auto"/>
          <w:sz w:val="24"/>
          <w:highlight w:val="none"/>
          <w:u w:val="single"/>
          <w:lang w:val="en-US" w:eastAsia="zh-CN"/>
        </w:rPr>
        <w:t xml:space="preserve">                         </w:t>
      </w:r>
    </w:p>
    <w:p w14:paraId="5E53134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63" w:name="_Toc3031"/>
      <w:bookmarkStart w:id="1464" w:name="_Toc27699"/>
      <w:bookmarkStart w:id="1465" w:name="_Toc9009"/>
      <w:bookmarkStart w:id="1466" w:name="_Toc234833227"/>
      <w:r>
        <w:rPr>
          <w:rFonts w:hint="default" w:ascii="Times New Roman" w:hAnsi="Times New Roman" w:eastAsia="黑体" w:cs="Times New Roman"/>
          <w:b w:val="0"/>
          <w:color w:val="auto"/>
          <w:sz w:val="24"/>
          <w:szCs w:val="24"/>
          <w:highlight w:val="none"/>
        </w:rPr>
        <w:t>12.1承包人暂停施工的责任</w:t>
      </w:r>
      <w:bookmarkEnd w:id="1463"/>
      <w:bookmarkEnd w:id="1464"/>
      <w:bookmarkEnd w:id="1465"/>
      <w:bookmarkEnd w:id="1466"/>
    </w:p>
    <w:p w14:paraId="0A8D290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12.1（6）由承包人承担的其他暂停施工：</w:t>
      </w:r>
      <w:r>
        <w:rPr>
          <w:rFonts w:hint="eastAsia" w:cs="Times New Roman"/>
          <w:color w:val="auto"/>
          <w:sz w:val="24"/>
          <w:highlight w:val="none"/>
          <w:u w:val="single"/>
          <w:lang w:val="en-US" w:eastAsia="zh-CN"/>
        </w:rPr>
        <w:t xml:space="preserve">               </w:t>
      </w:r>
    </w:p>
    <w:p w14:paraId="7812DC6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lang w:eastAsia="zh-CN"/>
        </w:rPr>
      </w:pPr>
      <w:bookmarkStart w:id="1467" w:name="_Toc6894"/>
      <w:bookmarkStart w:id="1468" w:name="_Toc18562"/>
      <w:bookmarkStart w:id="1469" w:name="_Toc31576"/>
      <w:r>
        <w:rPr>
          <w:rFonts w:hint="default" w:ascii="Times New Roman" w:hAnsi="Times New Roman" w:eastAsia="黑体" w:cs="Times New Roman"/>
          <w:b w:val="0"/>
          <w:color w:val="auto"/>
          <w:sz w:val="24"/>
          <w:szCs w:val="24"/>
          <w:highlight w:val="none"/>
        </w:rPr>
        <w:t>1</w:t>
      </w:r>
      <w:r>
        <w:rPr>
          <w:rFonts w:hint="default" w:ascii="Times New Roman" w:hAnsi="Times New Roman" w:eastAsia="黑体" w:cs="Times New Roman"/>
          <w:b w:val="0"/>
          <w:color w:val="auto"/>
          <w:sz w:val="24"/>
          <w:szCs w:val="24"/>
          <w:highlight w:val="none"/>
          <w:lang w:eastAsia="zh-CN"/>
        </w:rPr>
        <w:t>7</w:t>
      </w:r>
      <w:r>
        <w:rPr>
          <w:rFonts w:hint="default" w:ascii="Times New Roman" w:hAnsi="Times New Roman" w:eastAsia="黑体" w:cs="Times New Roman"/>
          <w:b w:val="0"/>
          <w:color w:val="auto"/>
          <w:sz w:val="24"/>
          <w:szCs w:val="24"/>
          <w:highlight w:val="none"/>
        </w:rPr>
        <w:t>.1</w:t>
      </w:r>
      <w:r>
        <w:rPr>
          <w:rFonts w:hint="default" w:ascii="Times New Roman" w:hAnsi="Times New Roman" w:eastAsia="黑体" w:cs="Times New Roman"/>
          <w:b w:val="0"/>
          <w:color w:val="auto"/>
          <w:sz w:val="24"/>
          <w:szCs w:val="24"/>
          <w:highlight w:val="none"/>
          <w:lang w:eastAsia="zh-CN"/>
        </w:rPr>
        <w:t>计量</w:t>
      </w:r>
      <w:bookmarkEnd w:id="1467"/>
      <w:bookmarkEnd w:id="1468"/>
      <w:bookmarkEnd w:id="1469"/>
    </w:p>
    <w:p w14:paraId="51697B0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17.1.5本项目工程量清单中总额价子目的支付原则和支付进度：</w:t>
      </w:r>
      <w:r>
        <w:rPr>
          <w:rFonts w:hint="eastAsia" w:cs="Times New Roman"/>
          <w:color w:val="auto"/>
          <w:sz w:val="24"/>
          <w:highlight w:val="none"/>
          <w:u w:val="single"/>
          <w:lang w:val="en-US" w:eastAsia="zh-CN"/>
        </w:rPr>
        <w:t xml:space="preserve">            </w:t>
      </w:r>
    </w:p>
    <w:p w14:paraId="4C25053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70" w:name="_Toc12223"/>
      <w:bookmarkStart w:id="1471" w:name="_Toc6486"/>
      <w:bookmarkStart w:id="1472" w:name="_Toc30430"/>
      <w:bookmarkStart w:id="1473" w:name="_Toc234833228"/>
      <w:r>
        <w:rPr>
          <w:rFonts w:hint="default" w:ascii="Times New Roman" w:hAnsi="Times New Roman" w:eastAsia="黑体" w:cs="Times New Roman"/>
          <w:b w:val="0"/>
          <w:color w:val="auto"/>
          <w:sz w:val="24"/>
          <w:szCs w:val="24"/>
          <w:highlight w:val="none"/>
        </w:rPr>
        <w:t>17.3工程进度付款</w:t>
      </w:r>
      <w:bookmarkEnd w:id="1470"/>
      <w:bookmarkEnd w:id="1471"/>
      <w:bookmarkEnd w:id="1472"/>
    </w:p>
    <w:p w14:paraId="46B297AF">
      <w:pPr>
        <w:pageBreakBefore w:val="0"/>
        <w:kinsoku/>
        <w:wordWrap w:val="0"/>
        <w:bidi w:val="0"/>
        <w:spacing w:line="420" w:lineRule="atLeast"/>
        <w:ind w:firstLine="470" w:firstLineChars="196"/>
        <w:outlineLvl w:val="9"/>
        <w:rPr>
          <w:rFonts w:hint="eastAsia"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17.3.5农民工工资保证金的缴存时间：</w:t>
      </w:r>
      <w:r>
        <w:rPr>
          <w:rFonts w:hint="eastAsia" w:cs="Times New Roman"/>
          <w:color w:val="auto"/>
          <w:sz w:val="24"/>
          <w:highlight w:val="none"/>
          <w:u w:val="single"/>
          <w:lang w:val="en-US" w:eastAsia="zh-CN"/>
        </w:rPr>
        <w:t xml:space="preserve">                     </w:t>
      </w:r>
    </w:p>
    <w:p w14:paraId="37356351">
      <w:pPr>
        <w:pageBreakBefore w:val="0"/>
        <w:kinsoku/>
        <w:wordWrap w:val="0"/>
        <w:bidi w:val="0"/>
        <w:spacing w:line="420" w:lineRule="atLeast"/>
        <w:ind w:firstLine="470" w:firstLineChars="196"/>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农民工工资保证金的缴存金额：</w:t>
      </w:r>
      <w:r>
        <w:rPr>
          <w:rFonts w:hint="eastAsia" w:cs="Times New Roman"/>
          <w:color w:val="auto"/>
          <w:sz w:val="24"/>
          <w:highlight w:val="none"/>
          <w:u w:val="single"/>
          <w:lang w:val="en-US" w:eastAsia="zh-CN"/>
        </w:rPr>
        <w:t xml:space="preserve">                          </w:t>
      </w:r>
    </w:p>
    <w:p w14:paraId="695E7595">
      <w:pPr>
        <w:pageBreakBefore w:val="0"/>
        <w:kinsoku/>
        <w:wordWrap w:val="0"/>
        <w:bidi w:val="0"/>
        <w:spacing w:line="420" w:lineRule="atLeast"/>
        <w:ind w:firstLine="470" w:firstLineChars="196"/>
        <w:outlineLvl w:val="9"/>
        <w:rPr>
          <w:rFonts w:hint="eastAsia" w:ascii="Times New Roman" w:hAnsi="Times New Roman" w:eastAsia="宋体" w:cs="Times New Roman"/>
          <w:b/>
          <w:bCs/>
          <w:color w:val="auto"/>
          <w:sz w:val="24"/>
          <w:highlight w:val="none"/>
          <w:u w:val="single"/>
          <w:lang w:eastAsia="zh-CN"/>
        </w:rPr>
      </w:pPr>
      <w:r>
        <w:rPr>
          <w:rFonts w:hint="default" w:ascii="Times New Roman" w:hAnsi="Times New Roman" w:cs="Times New Roman"/>
          <w:color w:val="auto"/>
          <w:sz w:val="24"/>
          <w:highlight w:val="none"/>
        </w:rPr>
        <w:t>农民工工资保证金的扣留条件：</w:t>
      </w:r>
      <w:r>
        <w:rPr>
          <w:rFonts w:hint="eastAsia" w:cs="Times New Roman"/>
          <w:color w:val="auto"/>
          <w:sz w:val="24"/>
          <w:highlight w:val="none"/>
          <w:u w:val="single"/>
          <w:lang w:val="en-US" w:eastAsia="zh-CN"/>
        </w:rPr>
        <w:t xml:space="preserve">                          </w:t>
      </w:r>
    </w:p>
    <w:p w14:paraId="2333F159">
      <w:pPr>
        <w:pageBreakBefore w:val="0"/>
        <w:widowControl/>
        <w:kinsoku/>
        <w:wordWrap w:val="0"/>
        <w:bidi w:val="0"/>
        <w:spacing w:line="420" w:lineRule="atLeast"/>
        <w:ind w:firstLine="480" w:firstLineChars="200"/>
        <w:outlineLvl w:val="9"/>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color w:val="auto"/>
          <w:sz w:val="24"/>
          <w:highlight w:val="none"/>
        </w:rPr>
        <w:t>农民工工资保证金的返还时间：</w:t>
      </w:r>
      <w:r>
        <w:rPr>
          <w:rFonts w:hint="eastAsia" w:cs="Times New Roman"/>
          <w:color w:val="auto"/>
          <w:sz w:val="24"/>
          <w:highlight w:val="none"/>
          <w:u w:val="single"/>
          <w:lang w:val="en-US" w:eastAsia="zh-CN"/>
        </w:rPr>
        <w:t xml:space="preserve">                          </w:t>
      </w:r>
    </w:p>
    <w:p w14:paraId="2744F5E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74" w:name="_Toc29939"/>
      <w:bookmarkStart w:id="1475" w:name="_Toc27005"/>
      <w:bookmarkStart w:id="1476" w:name="_Toc13982"/>
      <w:r>
        <w:rPr>
          <w:rFonts w:hint="default" w:ascii="Times New Roman" w:hAnsi="Times New Roman" w:eastAsia="黑体" w:cs="Times New Roman"/>
          <w:b w:val="0"/>
          <w:color w:val="auto"/>
          <w:sz w:val="24"/>
          <w:szCs w:val="24"/>
          <w:highlight w:val="none"/>
        </w:rPr>
        <w:t>21.1不可抗力的确认</w:t>
      </w:r>
      <w:bookmarkEnd w:id="1473"/>
      <w:bookmarkEnd w:id="1474"/>
      <w:bookmarkEnd w:id="1475"/>
      <w:bookmarkEnd w:id="1476"/>
    </w:p>
    <w:p w14:paraId="5F73BBBE">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21.1.1（6）不可抗力的其他情形：</w:t>
      </w:r>
      <w:r>
        <w:rPr>
          <w:rFonts w:hint="eastAsia" w:cs="Times New Roman"/>
          <w:color w:val="auto"/>
          <w:sz w:val="24"/>
          <w:highlight w:val="none"/>
          <w:u w:val="single"/>
          <w:lang w:val="en-US" w:eastAsia="zh-CN"/>
        </w:rPr>
        <w:t xml:space="preserve">                        </w:t>
      </w:r>
    </w:p>
    <w:p w14:paraId="533B868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77" w:name="_Toc28435"/>
      <w:bookmarkStart w:id="1478" w:name="_Toc234833229"/>
      <w:bookmarkStart w:id="1479" w:name="_Toc527"/>
      <w:bookmarkStart w:id="1480" w:name="_Toc1677"/>
      <w:r>
        <w:rPr>
          <w:rFonts w:hint="default" w:ascii="Times New Roman" w:hAnsi="Times New Roman" w:eastAsia="黑体" w:cs="Times New Roman"/>
          <w:b w:val="0"/>
          <w:color w:val="auto"/>
          <w:sz w:val="24"/>
          <w:szCs w:val="24"/>
          <w:highlight w:val="none"/>
        </w:rPr>
        <w:t>22.1承包人违约</w:t>
      </w:r>
      <w:bookmarkEnd w:id="1477"/>
      <w:bookmarkEnd w:id="1478"/>
      <w:bookmarkEnd w:id="1479"/>
      <w:bookmarkEnd w:id="1480"/>
    </w:p>
    <w:p w14:paraId="4950C786">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22.1.2当承包人发生第22.1.1项约定的违约情况时，发包人有权向承包人课以违约金，具体约定如下：</w:t>
      </w:r>
      <w:r>
        <w:rPr>
          <w:rFonts w:hint="eastAsia" w:cs="Times New Roman"/>
          <w:color w:val="auto"/>
          <w:sz w:val="24"/>
          <w:highlight w:val="none"/>
          <w:u w:val="single"/>
          <w:lang w:val="en-US" w:eastAsia="zh-CN"/>
        </w:rPr>
        <w:t xml:space="preserve">                         </w:t>
      </w:r>
    </w:p>
    <w:p w14:paraId="5465AB9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81" w:name="_Toc10655"/>
      <w:bookmarkStart w:id="1482" w:name="_Toc27242"/>
      <w:bookmarkStart w:id="1483" w:name="_Toc29318"/>
      <w:r>
        <w:rPr>
          <w:rFonts w:hint="default" w:ascii="Times New Roman" w:hAnsi="Times New Roman" w:eastAsia="黑体" w:cs="Times New Roman"/>
          <w:b w:val="0"/>
          <w:color w:val="auto"/>
          <w:sz w:val="24"/>
          <w:szCs w:val="24"/>
          <w:highlight w:val="none"/>
        </w:rPr>
        <w:t>22.2发包人违约</w:t>
      </w:r>
      <w:bookmarkEnd w:id="1481"/>
      <w:bookmarkEnd w:id="1482"/>
      <w:bookmarkEnd w:id="1483"/>
    </w:p>
    <w:p w14:paraId="012F70E4">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22.2.2发包人无正当理由不按时返还履约保证金、质量保证金或农民工工资保证金的，发包人应向承包人支付的违约金如下：</w:t>
      </w:r>
      <w:r>
        <w:rPr>
          <w:rFonts w:hint="eastAsia" w:cs="Times New Roman"/>
          <w:color w:val="auto"/>
          <w:sz w:val="24"/>
          <w:highlight w:val="none"/>
          <w:u w:val="single"/>
          <w:lang w:val="en-US" w:eastAsia="zh-CN"/>
        </w:rPr>
        <w:t xml:space="preserve">                         </w:t>
      </w:r>
    </w:p>
    <w:p w14:paraId="04C621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p w14:paraId="38A493C0">
      <w:pPr>
        <w:pageBreakBefore w:val="0"/>
        <w:kinsoku/>
        <w:wordWrap w:val="0"/>
        <w:bidi w:val="0"/>
        <w:spacing w:line="380" w:lineRule="atLeast"/>
        <w:outlineLvl w:val="9"/>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4"/>
          <w:highlight w:val="none"/>
        </w:rPr>
        <w:br w:type="page"/>
      </w:r>
    </w:p>
    <w:p w14:paraId="1B04BDD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bookmarkStart w:id="1484" w:name="_Toc234833230"/>
    </w:p>
    <w:p w14:paraId="319043F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32FD07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4575E1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616C9F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F21EA2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251173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FEE4CD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DC671E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412114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F319B1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8EE1027">
      <w:pPr>
        <w:pStyle w:val="5"/>
        <w:pageBreakBefore w:val="0"/>
        <w:kinsoku/>
        <w:wordWrap w:val="0"/>
        <w:bidi w:val="0"/>
        <w:spacing w:before="240" w:after="240" w:line="380" w:lineRule="atLeast"/>
        <w:jc w:val="center"/>
        <w:outlineLvl w:val="2"/>
        <w:rPr>
          <w:rFonts w:hint="default" w:ascii="Times New Roman" w:hAnsi="Times New Roman" w:eastAsia="黑体" w:cs="Times New Roman"/>
          <w:b w:val="0"/>
          <w:color w:val="auto"/>
          <w:sz w:val="42"/>
          <w:szCs w:val="42"/>
          <w:highlight w:val="none"/>
        </w:rPr>
      </w:pPr>
      <w:bookmarkStart w:id="1485" w:name="_Toc25230"/>
      <w:bookmarkStart w:id="1486" w:name="_Toc22321"/>
      <w:bookmarkStart w:id="1487" w:name="_Toc26085"/>
      <w:bookmarkStart w:id="1488" w:name="_Toc20691"/>
      <w:r>
        <w:rPr>
          <w:rFonts w:hint="default" w:ascii="Times New Roman" w:hAnsi="Times New Roman" w:eastAsia="黑体" w:cs="Times New Roman"/>
          <w:b w:val="0"/>
          <w:color w:val="auto"/>
          <w:sz w:val="42"/>
          <w:szCs w:val="42"/>
          <w:highlight w:val="none"/>
        </w:rPr>
        <w:t>第三节</w:t>
      </w:r>
      <w:r>
        <w:rPr>
          <w:rFonts w:hint="eastAsia" w:cs="Times New Roman"/>
          <w:b w:val="0"/>
          <w:color w:val="auto"/>
          <w:sz w:val="42"/>
          <w:szCs w:val="42"/>
          <w:highlight w:val="none"/>
          <w:lang w:val="en-US" w:eastAsia="zh-CN"/>
        </w:rPr>
        <w:t xml:space="preserve"> </w:t>
      </w:r>
      <w:r>
        <w:rPr>
          <w:rFonts w:hint="default" w:ascii="Times New Roman" w:hAnsi="Times New Roman" w:eastAsia="黑体" w:cs="Times New Roman"/>
          <w:b w:val="0"/>
          <w:color w:val="auto"/>
          <w:sz w:val="42"/>
          <w:szCs w:val="42"/>
          <w:highlight w:val="none"/>
        </w:rPr>
        <w:t>合同附件格式</w:t>
      </w:r>
      <w:bookmarkEnd w:id="1484"/>
      <w:bookmarkEnd w:id="1485"/>
      <w:bookmarkEnd w:id="1486"/>
      <w:bookmarkEnd w:id="1487"/>
      <w:bookmarkEnd w:id="1488"/>
    </w:p>
    <w:p w14:paraId="768B4AE8">
      <w:pPr>
        <w:pageBreakBefore w:val="0"/>
        <w:kinsoku/>
        <w:wordWrap w:val="0"/>
        <w:bidi w:val="0"/>
        <w:spacing w:line="440" w:lineRule="exact"/>
        <w:rPr>
          <w:rFonts w:hint="eastAsia" w:ascii="Times New Roman" w:hAnsi="Times New Roman" w:eastAsia="黑体" w:cs="Times New Roman"/>
          <w:color w:val="auto"/>
          <w:sz w:val="20"/>
          <w:szCs w:val="20"/>
          <w:highlight w:val="none"/>
          <w:lang w:eastAsia="zh-CN"/>
        </w:rPr>
      </w:pPr>
    </w:p>
    <w:p w14:paraId="0934D755">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0"/>
          <w:szCs w:val="20"/>
          <w:highlight w:val="none"/>
        </w:rPr>
        <w:br w:type="page"/>
      </w:r>
      <w:bookmarkStart w:id="1489" w:name="_Toc234833231"/>
      <w:bookmarkStart w:id="1490" w:name="_Toc24087"/>
      <w:bookmarkStart w:id="1491" w:name="_Toc17942"/>
      <w:bookmarkStart w:id="1492" w:name="_Toc24256"/>
      <w:r>
        <w:rPr>
          <w:rFonts w:hint="default" w:ascii="Times New Roman" w:hAnsi="Times New Roman" w:eastAsia="黑体" w:cs="Times New Roman"/>
          <w:b w:val="0"/>
          <w:i w:val="0"/>
          <w:iCs/>
          <w:color w:val="auto"/>
          <w:sz w:val="24"/>
          <w:szCs w:val="24"/>
          <w:highlight w:val="none"/>
        </w:rPr>
        <w:t>附件一</w:t>
      </w:r>
      <w:r>
        <w:rPr>
          <w:rFonts w:hint="eastAsia"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rPr>
        <w:t>合同协议书</w:t>
      </w:r>
      <w:bookmarkEnd w:id="1489"/>
      <w:bookmarkEnd w:id="1490"/>
      <w:bookmarkEnd w:id="1491"/>
      <w:bookmarkEnd w:id="1492"/>
    </w:p>
    <w:p w14:paraId="554A0E2C">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合同协议书</w:t>
      </w:r>
    </w:p>
    <w:p w14:paraId="58FB67E5">
      <w:pPr>
        <w:pageBreakBefore w:val="0"/>
        <w:kinsoku/>
        <w:wordWrap w:val="0"/>
        <w:bidi w:val="0"/>
        <w:spacing w:line="440" w:lineRule="exact"/>
        <w:ind w:firstLine="480" w:firstLineChars="200"/>
        <w:rPr>
          <w:rFonts w:hint="default" w:ascii="Times New Roman" w:hAnsi="Times New Roman" w:cs="Times New Roman"/>
          <w:color w:val="auto"/>
          <w:sz w:val="24"/>
          <w:highlight w:val="none"/>
          <w:u w:val="single"/>
        </w:rPr>
      </w:pPr>
    </w:p>
    <w:p w14:paraId="4C38E21E">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）为实施</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（项目名称），已接受</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）对该项目</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标段施工的投标。发包人和承包人共同达成如下协议。</w:t>
      </w:r>
    </w:p>
    <w:p w14:paraId="1977061B">
      <w:pPr>
        <w:pageBreakBefore w:val="0"/>
        <w:kinsoku/>
        <w:wordWrap w:val="0"/>
        <w:bidi w:val="0"/>
        <w:spacing w:line="440" w:lineRule="exac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标段由K</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至K</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，长约</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km，公路等级为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，设计速度为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路面，有</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立交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处；特大桥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座，计长</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m；大中桥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座，计长</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m；隧道</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座，计长</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m以及其他构造物工程等。</w:t>
      </w:r>
    </w:p>
    <w:p w14:paraId="16E30C7E">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下列文件应视为构成合同文件的组成部分：</w:t>
      </w:r>
    </w:p>
    <w:p w14:paraId="18BF1A0B">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（1）本协议书及各种合同附件（含评标期间和合同谈判过程中的澄清文件和补充资料）；</w:t>
      </w:r>
    </w:p>
    <w:p w14:paraId="385F6B26">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（2）中标通知书；</w:t>
      </w:r>
    </w:p>
    <w:p w14:paraId="19ED4567">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（3）投标函及投标函附录；</w:t>
      </w:r>
    </w:p>
    <w:p w14:paraId="7CFFD455">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（4）项目专用合同条款；</w:t>
      </w:r>
    </w:p>
    <w:p w14:paraId="1005F8E3">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（5）公路工程专用合同条款；</w:t>
      </w:r>
    </w:p>
    <w:p w14:paraId="224CBCB6">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（6）通用合同条款；</w:t>
      </w:r>
    </w:p>
    <w:p w14:paraId="13771874">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（7）工程量清单计量规则；</w:t>
      </w:r>
    </w:p>
    <w:p w14:paraId="5E9509E1">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（8）技术规范；</w:t>
      </w:r>
    </w:p>
    <w:p w14:paraId="204790AA">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（9）图纸；</w:t>
      </w:r>
    </w:p>
    <w:p w14:paraId="2E2A27E7">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（10）已标价工程量清单；</w:t>
      </w:r>
    </w:p>
    <w:p w14:paraId="2BC3D312">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（11）承包人有关人员、设备投入的承诺及投标文件中的施工组织设计；</w:t>
      </w:r>
    </w:p>
    <w:p w14:paraId="5FF5389B">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（12）其他合同文件。</w:t>
      </w:r>
    </w:p>
    <w:p w14:paraId="49D37493">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上述合同文件互相补充和解释。如果合同文件之间存在矛盾或不一致之处，以上述文件的排列顺序在先者为准。</w:t>
      </w:r>
    </w:p>
    <w:p w14:paraId="08F76F5D">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3.根据工程量清单所列的预计数量和单价或总额价计算的签约合同价：人民币（大写）________元（¥________）。</w:t>
      </w:r>
    </w:p>
    <w:p w14:paraId="1A8B818C">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4.承包人项目经理：</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。承包人项目总工：</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p>
    <w:p w14:paraId="17C63979">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5.工程质量符合标准</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。工程安全目标：</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p>
    <w:p w14:paraId="1767A123">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6.承包人承诺按合同约定承担工程的实施、完成及缺陷修复。</w:t>
      </w:r>
    </w:p>
    <w:p w14:paraId="46D3F569">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7.发包人承诺按合同约定的条件、时间和方式向承包人支付合同价款。</w:t>
      </w:r>
    </w:p>
    <w:p w14:paraId="79F5C55D">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8.承包人应按照监理人指示开工，工期为</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日历天。</w:t>
      </w:r>
    </w:p>
    <w:p w14:paraId="1DE6EA5E">
      <w:pPr>
        <w:pageBreakBefore w:val="0"/>
        <w:kinsoku/>
        <w:wordWrap w:val="0"/>
        <w:bidi w:val="0"/>
        <w:spacing w:line="440" w:lineRule="exac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9.本协议书在承包人提供履约保证金后，由双方法定代表人或其委托代理人签署并加盖单位章后生效。全部工程完工后经交工验收合格、缺陷责任期满签发缺陷责任终止证书后失效。</w:t>
      </w:r>
    </w:p>
    <w:p w14:paraId="139B7EC1">
      <w:pPr>
        <w:pageBreakBefore w:val="0"/>
        <w:kinsoku/>
        <w:wordWrap w:val="0"/>
        <w:bidi w:val="0"/>
        <w:spacing w:line="440" w:lineRule="exac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10.本协议书正本二份、副本____份，合同双方各执正本一份，副本____份，当正本与副本的内容不一致时，以正本为准。</w:t>
      </w:r>
    </w:p>
    <w:p w14:paraId="2F8313FE">
      <w:pPr>
        <w:pageBreakBefore w:val="0"/>
        <w:kinsoku/>
        <w:wordWrap w:val="0"/>
        <w:bidi w:val="0"/>
        <w:spacing w:line="440" w:lineRule="exac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11.合同未尽事宜，双方另行签订补充协议。补充协议是合同的组成部分。</w:t>
      </w:r>
    </w:p>
    <w:p w14:paraId="7C282A05">
      <w:pPr>
        <w:pageBreakBefore w:val="0"/>
        <w:kinsoku/>
        <w:wordWrap w:val="0"/>
        <w:bidi w:val="0"/>
        <w:spacing w:line="440" w:lineRule="exact"/>
        <w:rPr>
          <w:rFonts w:hint="default" w:ascii="Times New Roman" w:hAnsi="Times New Roman" w:cs="Times New Roman"/>
          <w:color w:val="auto"/>
          <w:sz w:val="24"/>
          <w:highlight w:val="none"/>
        </w:rPr>
      </w:pPr>
    </w:p>
    <w:p w14:paraId="63B7AF61">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07BAD0CA">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  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7F70320D">
      <w:pPr>
        <w:pageBreakBefore w:val="0"/>
        <w:kinsoku/>
        <w:wordWrap w:val="0"/>
        <w:bidi w:val="0"/>
        <w:spacing w:line="440" w:lineRule="exact"/>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日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71ED8DAC">
      <w:pPr>
        <w:pageBreakBefore w:val="0"/>
        <w:kinsoku/>
        <w:wordWrap w:val="0"/>
        <w:bidi w:val="0"/>
        <w:spacing w:line="440" w:lineRule="exact"/>
        <w:rPr>
          <w:rFonts w:hint="default" w:ascii="Times New Roman" w:hAnsi="Times New Roman" w:cs="Times New Roman"/>
          <w:color w:val="auto"/>
          <w:sz w:val="24"/>
          <w:highlight w:val="none"/>
        </w:rPr>
      </w:pPr>
    </w:p>
    <w:p w14:paraId="3DCE7E5D">
      <w:pPr>
        <w:pageBreakBefore w:val="0"/>
        <w:kinsoku/>
        <w:wordWrap w:val="0"/>
        <w:bidi w:val="0"/>
        <w:spacing w:line="440" w:lineRule="exact"/>
        <w:rPr>
          <w:rFonts w:hint="default" w:ascii="Times New Roman" w:hAnsi="Times New Roman" w:cs="Times New Roman"/>
          <w:color w:val="auto"/>
          <w:sz w:val="24"/>
          <w:highlight w:val="none"/>
        </w:rPr>
      </w:pPr>
    </w:p>
    <w:p w14:paraId="0E1C7913">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493" w:name="_Toc5419"/>
      <w:bookmarkStart w:id="1494" w:name="_Toc22527"/>
      <w:bookmarkStart w:id="1495" w:name="_Toc7242"/>
      <w:bookmarkStart w:id="1496" w:name="_Toc234833232"/>
      <w:r>
        <w:rPr>
          <w:rFonts w:hint="default" w:ascii="Times New Roman" w:hAnsi="Times New Roman" w:eastAsia="黑体" w:cs="Times New Roman"/>
          <w:b w:val="0"/>
          <w:i w:val="0"/>
          <w:iCs/>
          <w:color w:val="auto"/>
          <w:sz w:val="24"/>
          <w:szCs w:val="24"/>
          <w:highlight w:val="none"/>
        </w:rPr>
        <w:t>附件二</w:t>
      </w:r>
      <w:r>
        <w:rPr>
          <w:rFonts w:hint="eastAsia" w:ascii="Times New Roman" w:hAnsi="Times New Roman" w:eastAsia="黑体"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rPr>
        <w:t>廉政合同</w:t>
      </w:r>
      <w:bookmarkEnd w:id="1493"/>
      <w:bookmarkEnd w:id="1494"/>
      <w:bookmarkEnd w:id="1495"/>
      <w:bookmarkEnd w:id="1496"/>
    </w:p>
    <w:p w14:paraId="1CF6C2A9">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廉政合同</w:t>
      </w:r>
    </w:p>
    <w:p w14:paraId="18EBE8D8">
      <w:pPr>
        <w:pageBreakBefore w:val="0"/>
        <w:kinsoku/>
        <w:wordWrap w:val="0"/>
        <w:bidi w:val="0"/>
        <w:spacing w:line="400" w:lineRule="atLeast"/>
        <w:rPr>
          <w:rFonts w:hint="default" w:ascii="Times New Roman" w:hAnsi="Times New Roman" w:eastAsia="黑体" w:cs="Times New Roman"/>
          <w:b/>
          <w:color w:val="auto"/>
          <w:spacing w:val="30"/>
          <w:sz w:val="24"/>
          <w:highlight w:val="none"/>
        </w:rPr>
      </w:pPr>
    </w:p>
    <w:p w14:paraId="1875AA30">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bookmarkStart w:id="1497" w:name="_Toc234833233"/>
      <w:bookmarkStart w:id="1498" w:name="_Toc7071"/>
      <w:bookmarkStart w:id="1499" w:name="_Toc20728"/>
      <w:bookmarkStart w:id="1500" w:name="_Toc1095"/>
      <w:r>
        <w:rPr>
          <w:rFonts w:hint="default" w:ascii="Times New Roman" w:hAnsi="Times New Roman" w:cs="Times New Roman"/>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（项目名称）的项目法人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（项目法人名称，以下简称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）与该项目</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标段的施工单位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（施工单位名称，以下简称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），特订立如下合同。</w:t>
      </w:r>
    </w:p>
    <w:p w14:paraId="752B0038">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bookmarkStart w:id="1501" w:name="_Toc16895"/>
      <w:r>
        <w:rPr>
          <w:rFonts w:hint="default" w:ascii="Times New Roman" w:hAnsi="Times New Roman" w:eastAsia="黑体" w:cs="Times New Roman"/>
          <w:color w:val="auto"/>
          <w:sz w:val="24"/>
          <w:highlight w:val="none"/>
        </w:rPr>
        <w:t>1. 发包人和承包人双方的权利和义务</w:t>
      </w:r>
      <w:bookmarkEnd w:id="1501"/>
    </w:p>
    <w:p w14:paraId="6F0E6838">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（1）严格遵守党的政策规定和国家有关法律法规及交通运输部的有关规定。</w:t>
      </w:r>
    </w:p>
    <w:p w14:paraId="37536AB8">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（2）严格执行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标段施工合同文件，自觉按合同办事。</w:t>
      </w:r>
    </w:p>
    <w:p w14:paraId="112AC029">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（3）双方的业务活动坚持公开、公正、诚信、透明的原则（法律认定的商业秘密和合同文件另有规定除外），不得损害国家和集体利益，不得违反工程建设管理规章制度。</w:t>
      </w:r>
    </w:p>
    <w:p w14:paraId="3BB18B20">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（4）建立健全廉政制度，开展廉政教育，设立廉政告示牌，公布举报电话，监督并认真查处违法违纪行为。</w:t>
      </w:r>
    </w:p>
    <w:p w14:paraId="5575C7B3">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（5）发现对方在业务活动中有违反廉政规定的行为，有及时提醒对方纠正的权利和义务。</w:t>
      </w:r>
    </w:p>
    <w:p w14:paraId="4C1424E0">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（6）发现对方严重违反本合同义务条款的行为，有向其上级有关部门举报、建议给予处理并要求告知处理结果的权利。</w:t>
      </w:r>
    </w:p>
    <w:p w14:paraId="231CAD49">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bookmarkStart w:id="1502" w:name="_Toc26938"/>
      <w:r>
        <w:rPr>
          <w:rFonts w:hint="default" w:ascii="Times New Roman" w:hAnsi="Times New Roman" w:eastAsia="黑体" w:cs="Times New Roman"/>
          <w:color w:val="auto"/>
          <w:sz w:val="24"/>
          <w:highlight w:val="none"/>
        </w:rPr>
        <w:t>2. 发包人的义务</w:t>
      </w:r>
      <w:bookmarkEnd w:id="1502"/>
    </w:p>
    <w:p w14:paraId="0AC0C5D7">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（1）发包人及其工作人员不得索要或接受承包人的礼金、有价证券和贵重物品，不得让承包人报销任何应由发包人或发包人工作人员个人支付的费用等。</w:t>
      </w:r>
    </w:p>
    <w:p w14:paraId="5022CC03">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（2）发包人工作人员不得参加承包人安排的超标准宴请和娱乐活动；不得接受承包人提供的通信工具、交通工具和高档办公用品等。</w:t>
      </w:r>
    </w:p>
    <w:p w14:paraId="2FDE1750">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（3）发包人及其工作人员不得要求或者接受承包人为其住房装修、婚丧嫁娶活动、配偶子女的工作安排以及出国出境、旅游等提供方便等。</w:t>
      </w:r>
    </w:p>
    <w:p w14:paraId="73A8E434">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（4）发包人工作人员及其配偶、子女不得从事与发包人工程有关的材料设备供应、工程分包、劳务等经济活动等。</w:t>
      </w:r>
    </w:p>
    <w:p w14:paraId="13B057ED">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（5）发包人及其工作人员不得以任何理由向承包人推荐分包单位或推销材料，不得要求承包人购买合同规定外的材料和设备。</w:t>
      </w:r>
    </w:p>
    <w:p w14:paraId="7275C1F9">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（6）发包人工作人员要秉公办事，不准营私舞弊，不准利用职权从事各种个人有偿中介活动和安排个人施工队伍。</w:t>
      </w:r>
    </w:p>
    <w:p w14:paraId="021AF2A7">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3. 承包人的义务</w:t>
      </w:r>
    </w:p>
    <w:p w14:paraId="4CE86D8A">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（1）承包人不得以任何理由向发包人及其工作人员行贿或馈赠礼金、有价证券、贵重礼品。</w:t>
      </w:r>
    </w:p>
    <w:p w14:paraId="6BF76029">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（2）承包人不得以任何名义为发包人及其工作人员报销应由发包人单位或个人支付的任何费用。</w:t>
      </w:r>
    </w:p>
    <w:p w14:paraId="2B8A5880">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（3）承包人不得以任何理由安排发包人工作人员参加超标准宴请及娱乐活动。</w:t>
      </w:r>
    </w:p>
    <w:p w14:paraId="0A417609">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（4）承包人不得为发包人单位和个人购置或提供通信工具、交通工具和高档办公用品等。</w:t>
      </w:r>
    </w:p>
    <w:p w14:paraId="44945F6B">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bookmarkStart w:id="1503" w:name="_Toc21007"/>
      <w:r>
        <w:rPr>
          <w:rFonts w:hint="default" w:ascii="Times New Roman" w:hAnsi="Times New Roman" w:eastAsia="黑体" w:cs="Times New Roman"/>
          <w:color w:val="auto"/>
          <w:sz w:val="24"/>
          <w:highlight w:val="none"/>
        </w:rPr>
        <w:t>4. 违约责任</w:t>
      </w:r>
      <w:bookmarkEnd w:id="1503"/>
    </w:p>
    <w:p w14:paraId="00FAEF63">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5552E60F">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3507FA08">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5.</w:t>
      </w:r>
      <w:r>
        <w:rPr>
          <w:rFonts w:hint="default" w:ascii="Times New Roman" w:hAnsi="Times New Roman" w:cs="Times New Roman"/>
          <w:color w:val="auto"/>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DDED6B2">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 xml:space="preserve">6. </w:t>
      </w:r>
      <w:r>
        <w:rPr>
          <w:rFonts w:hint="default" w:ascii="Times New Roman" w:hAnsi="Times New Roman" w:cs="Times New Roman"/>
          <w:color w:val="auto"/>
          <w:sz w:val="24"/>
          <w:highlight w:val="none"/>
        </w:rPr>
        <w:t>本合同有效期为发包人和承包人签署之日起至该工程项目竣工验收后止。</w:t>
      </w:r>
    </w:p>
    <w:p w14:paraId="7744FCC1">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 xml:space="preserve">7. </w:t>
      </w:r>
      <w:r>
        <w:rPr>
          <w:rFonts w:hint="default" w:ascii="Times New Roman" w:hAnsi="Times New Roman" w:cs="Times New Roman"/>
          <w:color w:val="auto"/>
          <w:sz w:val="24"/>
          <w:highlight w:val="none"/>
        </w:rPr>
        <w:t>本合同作为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标段施工合同的附件，与工程施工合同具有同等的法律效力，经合同双方签署后立即生效。</w:t>
      </w:r>
    </w:p>
    <w:p w14:paraId="7C6E038D">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8.</w:t>
      </w:r>
      <w:r>
        <w:rPr>
          <w:rFonts w:hint="default" w:ascii="Times New Roman" w:hAnsi="Times New Roman" w:cs="Times New Roman"/>
          <w:color w:val="auto"/>
          <w:sz w:val="24"/>
          <w:highlight w:val="none"/>
        </w:rPr>
        <w:t xml:space="preserve"> 本合同一式四份，由发包人和承包人各执一份，送交发包人和承包人的监督单位各一份。</w:t>
      </w:r>
    </w:p>
    <w:p w14:paraId="5DA13981">
      <w:pPr>
        <w:pageBreakBefore w:val="0"/>
        <w:kinsoku/>
        <w:wordWrap w:val="0"/>
        <w:bidi w:val="0"/>
        <w:spacing w:line="400" w:lineRule="atLeast"/>
        <w:rPr>
          <w:rFonts w:hint="default" w:ascii="Times New Roman" w:hAnsi="Times New Roman" w:cs="Times New Roman"/>
          <w:color w:val="auto"/>
          <w:sz w:val="24"/>
          <w:highlight w:val="none"/>
        </w:rPr>
      </w:pPr>
    </w:p>
    <w:p w14:paraId="1F5D9E04">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5183336B">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  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203FF927">
      <w:pPr>
        <w:pageBreakBefore w:val="0"/>
        <w:kinsoku/>
        <w:wordWrap w:val="0"/>
        <w:bidi w:val="0"/>
        <w:spacing w:line="440" w:lineRule="exact"/>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日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EFD99ED">
      <w:pPr>
        <w:pageBreakBefore w:val="0"/>
        <w:kinsoku/>
        <w:wordWrap w:val="0"/>
        <w:bidi w:val="0"/>
        <w:spacing w:line="440" w:lineRule="exact"/>
        <w:ind w:firstLine="360" w:firstLineChars="150"/>
        <w:rPr>
          <w:rFonts w:hint="default" w:ascii="Times New Roman" w:hAnsi="Times New Roman" w:cs="Times New Roman"/>
          <w:color w:val="auto"/>
          <w:sz w:val="24"/>
          <w:highlight w:val="none"/>
        </w:rPr>
      </w:pPr>
    </w:p>
    <w:p w14:paraId="51B1C050">
      <w:pPr>
        <w:pageBreakBefore w:val="0"/>
        <w:kinsoku/>
        <w:wordWrap w:val="0"/>
        <w:bidi w:val="0"/>
        <w:spacing w:line="400" w:lineRule="atLeas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发包人监督单位：</w:t>
      </w:r>
      <w:r>
        <w:rPr>
          <w:rFonts w:hint="default" w:ascii="Times New Roman" w:hAnsi="Times New Roman" w:cs="Times New Roman"/>
          <w:color w:val="auto"/>
          <w:sz w:val="24"/>
          <w:highlight w:val="none"/>
          <w:u w:val="single"/>
        </w:rPr>
        <w:t>（全称）（盖单位章）</w:t>
      </w:r>
      <w:r>
        <w:rPr>
          <w:rFonts w:hint="default" w:ascii="Times New Roman" w:hAnsi="Times New Roman" w:cs="Times New Roman"/>
          <w:color w:val="auto"/>
          <w:sz w:val="24"/>
          <w:highlight w:val="none"/>
        </w:rPr>
        <w:t xml:space="preserve">   承包人监督单位：</w:t>
      </w:r>
      <w:r>
        <w:rPr>
          <w:rFonts w:hint="default" w:ascii="Times New Roman" w:hAnsi="Times New Roman" w:cs="Times New Roman"/>
          <w:color w:val="auto"/>
          <w:sz w:val="24"/>
          <w:highlight w:val="none"/>
          <w:u w:val="single"/>
        </w:rPr>
        <w:t>（全称）（盖单位章）</w:t>
      </w:r>
    </w:p>
    <w:p w14:paraId="2E8D1927">
      <w:pPr>
        <w:pageBreakBefore w:val="0"/>
        <w:kinsoku/>
        <w:wordWrap w:val="0"/>
        <w:bidi w:val="0"/>
        <w:spacing w:line="400" w:lineRule="atLeast"/>
        <w:rPr>
          <w:rFonts w:hint="default" w:ascii="Times New Roman" w:hAnsi="Times New Roman" w:cs="Times New Roman"/>
          <w:color w:val="auto"/>
          <w:sz w:val="24"/>
          <w:highlight w:val="none"/>
        </w:rPr>
      </w:pPr>
    </w:p>
    <w:p w14:paraId="4C3C0A5C">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4"/>
          <w:highlight w:val="none"/>
        </w:rPr>
        <w:br w:type="page"/>
      </w:r>
      <w:bookmarkEnd w:id="1497"/>
      <w:bookmarkEnd w:id="1498"/>
      <w:bookmarkEnd w:id="1499"/>
      <w:bookmarkEnd w:id="1500"/>
      <w:bookmarkStart w:id="1504" w:name="_Toc24497"/>
      <w:bookmarkStart w:id="1505" w:name="_Toc14696"/>
      <w:bookmarkStart w:id="1506" w:name="_Toc5077"/>
      <w:bookmarkStart w:id="1507" w:name="_Toc234833234"/>
      <w:r>
        <w:rPr>
          <w:rFonts w:hint="default" w:ascii="Times New Roman" w:hAnsi="Times New Roman" w:eastAsia="黑体" w:cs="Times New Roman"/>
          <w:i w:val="0"/>
          <w:iCs/>
          <w:color w:val="auto"/>
          <w:sz w:val="24"/>
          <w:highlight w:val="none"/>
        </w:rPr>
        <w:t>附件三</w:t>
      </w:r>
      <w:r>
        <w:rPr>
          <w:rFonts w:hint="default" w:ascii="Times New Roman" w:hAnsi="Times New Roman" w:eastAsia="黑体" w:cs="Times New Roman"/>
          <w:i w:val="0"/>
          <w:iCs/>
          <w:color w:val="auto"/>
          <w:sz w:val="24"/>
          <w:highlight w:val="none"/>
          <w:lang w:eastAsia="zh-CN"/>
        </w:rPr>
        <w:t xml:space="preserve"> </w:t>
      </w:r>
      <w:r>
        <w:rPr>
          <w:rFonts w:hint="default" w:ascii="Times New Roman" w:hAnsi="Times New Roman" w:eastAsia="黑体" w:cs="Times New Roman"/>
          <w:i w:val="0"/>
          <w:iCs/>
          <w:color w:val="auto"/>
          <w:sz w:val="24"/>
          <w:highlight w:val="none"/>
        </w:rPr>
        <w:t>安全生产合同</w:t>
      </w:r>
    </w:p>
    <w:p w14:paraId="36CC94D4">
      <w:pPr>
        <w:pageBreakBefore w:val="0"/>
        <w:kinsoku/>
        <w:wordWrap w:val="0"/>
        <w:bidi w:val="0"/>
        <w:spacing w:line="39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安全生产合同</w:t>
      </w:r>
    </w:p>
    <w:p w14:paraId="151E7DB4">
      <w:pPr>
        <w:pageBreakBefore w:val="0"/>
        <w:kinsoku/>
        <w:wordWrap w:val="0"/>
        <w:bidi w:val="0"/>
        <w:spacing w:line="390" w:lineRule="atLeast"/>
        <w:rPr>
          <w:rFonts w:hint="default" w:ascii="Times New Roman" w:hAnsi="Times New Roman" w:eastAsia="黑体" w:cs="Times New Roman"/>
          <w:b/>
          <w:color w:val="auto"/>
          <w:sz w:val="24"/>
          <w:highlight w:val="none"/>
        </w:rPr>
      </w:pPr>
    </w:p>
    <w:p w14:paraId="0895B0D2">
      <w:pPr>
        <w:pageBreakBefore w:val="0"/>
        <w:kinsoku/>
        <w:wordWrap w:val="0"/>
        <w:bidi w:val="0"/>
        <w:spacing w:line="39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标段施工合同的实施过程中创造安全、高效的施工环境，切实搞好本项目的安全管理工作，本项目发包人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）与承包人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）特此签订安全生产合同。</w:t>
      </w:r>
    </w:p>
    <w:p w14:paraId="33F144E9">
      <w:pPr>
        <w:pageBreakBefore w:val="0"/>
        <w:kinsoku/>
        <w:wordWrap w:val="0"/>
        <w:bidi w:val="0"/>
        <w:spacing w:line="390" w:lineRule="atLeast"/>
        <w:ind w:firstLine="616" w:firstLineChars="257"/>
        <w:outlineLvl w:val="9"/>
        <w:rPr>
          <w:rFonts w:hint="default" w:ascii="Times New Roman" w:hAnsi="Times New Roman" w:eastAsia="黑体" w:cs="Times New Roman"/>
          <w:color w:val="auto"/>
          <w:sz w:val="24"/>
          <w:highlight w:val="none"/>
        </w:rPr>
      </w:pPr>
      <w:bookmarkStart w:id="1508" w:name="_Toc19308"/>
      <w:r>
        <w:rPr>
          <w:rFonts w:hint="default" w:ascii="Times New Roman" w:hAnsi="Times New Roman" w:eastAsia="黑体" w:cs="Times New Roman"/>
          <w:color w:val="auto"/>
          <w:sz w:val="24"/>
          <w:highlight w:val="none"/>
        </w:rPr>
        <w:t>1.发包人职责</w:t>
      </w:r>
      <w:bookmarkEnd w:id="1508"/>
    </w:p>
    <w:p w14:paraId="7A372314">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（1）严格遵守国家有关安全生产的法律法规，认真执行工程承包合同中的有关安全要求。</w:t>
      </w:r>
    </w:p>
    <w:p w14:paraId="144B179A">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（2）按照</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安全第一、预防为主、综合治理</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和坚持</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管生产必须管安全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的原则进行安全生产管理，做到生产与安全工作同时计划、布置、检查、总结和评比。</w:t>
      </w:r>
    </w:p>
    <w:p w14:paraId="4C0F0D86">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（3）重要的安全设施必须坚持与主体工程</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三同时</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的原则，即：同时设计、审批，同时施工，同时验收，投入使用。</w:t>
      </w:r>
    </w:p>
    <w:p w14:paraId="4E2173EA">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（4）定期召开安全生产调度会，及时传达中央及地方有关安全生产的精神。</w:t>
      </w:r>
    </w:p>
    <w:p w14:paraId="79DBFFDA">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（5）组织对承包人施工现场进行安全生产检查，监督承包人及时处理发现的各种安全隐患。</w:t>
      </w:r>
    </w:p>
    <w:p w14:paraId="6BF897A0">
      <w:pPr>
        <w:pageBreakBefore w:val="0"/>
        <w:kinsoku/>
        <w:wordWrap w:val="0"/>
        <w:bidi w:val="0"/>
        <w:spacing w:line="390" w:lineRule="atLeast"/>
        <w:ind w:firstLine="616" w:firstLineChars="257"/>
        <w:outlineLvl w:val="9"/>
        <w:rPr>
          <w:rFonts w:hint="default" w:ascii="Times New Roman" w:hAnsi="Times New Roman" w:eastAsia="黑体" w:cs="Times New Roman"/>
          <w:color w:val="auto"/>
          <w:sz w:val="24"/>
          <w:highlight w:val="none"/>
        </w:rPr>
      </w:pPr>
      <w:bookmarkStart w:id="1509" w:name="_Toc18835"/>
      <w:r>
        <w:rPr>
          <w:rFonts w:hint="default" w:ascii="Times New Roman" w:hAnsi="Times New Roman" w:eastAsia="黑体" w:cs="Times New Roman"/>
          <w:color w:val="auto"/>
          <w:sz w:val="24"/>
          <w:highlight w:val="none"/>
        </w:rPr>
        <w:t>2.承包人职责</w:t>
      </w:r>
      <w:bookmarkEnd w:id="1509"/>
    </w:p>
    <w:p w14:paraId="7567041C">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37ACE302">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（2）坚持</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安全第一、预防为主、综合治理</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和</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管生产必须管安全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673D5AB">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73871B2">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（4）承包人在任何时候都应采取各种合理的预防措施，防止其员工发生任何违法、违禁、暴力或妨碍治安的行为。</w:t>
      </w:r>
    </w:p>
    <w:p w14:paraId="7D127578">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958EBA4">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人，或允许、容忍上述同样行为。</w:t>
      </w:r>
    </w:p>
    <w:p w14:paraId="7353B943">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（7）操作人员上岗，必须按规定穿戴防护用品。施工负责人和安全检查员应随时检查劳动防护用品的穿戴情况，不按规定穿戴防护用品的人员不得上岗。</w:t>
      </w:r>
    </w:p>
    <w:p w14:paraId="39A32F52">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（8）所有施工机具设备和高空作业的设备均应定期检查，并有安全员的签字记录，保证其经常处于完好状态；不合格的机具、设备和劳动保护用品严禁使用。</w:t>
      </w:r>
    </w:p>
    <w:p w14:paraId="46C4F00C">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（9）施工中采用新技术、新工艺、新设备、新材料时，必须制定相应的安全技术措施，施工现场必须具有相关的安全标志牌。</w:t>
      </w:r>
    </w:p>
    <w:p w14:paraId="1A82961B">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四不放过</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的原则，严肃处理相关责任人。</w:t>
      </w:r>
    </w:p>
    <w:p w14:paraId="322483E8">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（11）安全生产费用按照</w:t>
      </w:r>
      <w:bookmarkStart w:id="1510" w:name="_Toc187470650"/>
      <w:r>
        <w:rPr>
          <w:rFonts w:hint="default" w:ascii="Times New Roman" w:hAnsi="Times New Roman" w:cs="Times New Roman"/>
          <w:color w:val="auto"/>
          <w:sz w:val="24"/>
          <w:highlight w:val="none"/>
        </w:rPr>
        <w:t>《公路水运工程安全生产监督管理办法</w:t>
      </w:r>
      <w:bookmarkEnd w:id="1510"/>
      <w:r>
        <w:rPr>
          <w:rFonts w:hint="default" w:ascii="Times New Roman" w:hAnsi="Times New Roman" w:cs="Times New Roman"/>
          <w:color w:val="auto"/>
          <w:sz w:val="24"/>
          <w:highlight w:val="none"/>
        </w:rPr>
        <w:t>》的相关规定使用和管理。</w:t>
      </w:r>
    </w:p>
    <w:p w14:paraId="5FCB4FC4">
      <w:pPr>
        <w:pageBreakBefore w:val="0"/>
        <w:kinsoku/>
        <w:wordWrap w:val="0"/>
        <w:bidi w:val="0"/>
        <w:spacing w:line="390" w:lineRule="atLeast"/>
        <w:ind w:firstLine="616" w:firstLineChars="257"/>
        <w:outlineLvl w:val="9"/>
        <w:rPr>
          <w:rFonts w:hint="default" w:ascii="Times New Roman" w:hAnsi="Times New Roman" w:eastAsia="黑体" w:cs="Times New Roman"/>
          <w:color w:val="auto"/>
          <w:sz w:val="24"/>
          <w:highlight w:val="none"/>
        </w:rPr>
      </w:pPr>
      <w:bookmarkStart w:id="1511" w:name="_Toc19815"/>
      <w:r>
        <w:rPr>
          <w:rFonts w:hint="default" w:ascii="Times New Roman" w:hAnsi="Times New Roman" w:eastAsia="黑体" w:cs="Times New Roman"/>
          <w:color w:val="auto"/>
          <w:sz w:val="24"/>
          <w:highlight w:val="none"/>
        </w:rPr>
        <w:t>3.违约责任</w:t>
      </w:r>
      <w:bookmarkEnd w:id="1511"/>
    </w:p>
    <w:p w14:paraId="7F542210">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如因发包人或承包人违约造成安全事故，将依法追究责任。</w:t>
      </w:r>
    </w:p>
    <w:p w14:paraId="775C10D0">
      <w:pPr>
        <w:pageBreakBefore w:val="0"/>
        <w:kinsoku/>
        <w:wordWrap w:val="0"/>
        <w:bidi w:val="0"/>
        <w:spacing w:line="39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 本合同由双方法定代表人或其授权的代理人签署并加盖单位章后生效，全部工程竣工验收后失效。</w:t>
      </w:r>
    </w:p>
    <w:p w14:paraId="25529D80">
      <w:pPr>
        <w:pageBreakBefore w:val="0"/>
        <w:kinsoku/>
        <w:wordWrap w:val="0"/>
        <w:bidi w:val="0"/>
        <w:spacing w:line="39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 本合同正本二份、副本____份，合同双方各执正本一份，副本____份，当正本与副本的内容不一致时，以正本为准。</w:t>
      </w:r>
    </w:p>
    <w:p w14:paraId="14A1FECD">
      <w:pPr>
        <w:pageBreakBefore w:val="0"/>
        <w:kinsoku/>
        <w:wordWrap w:val="0"/>
        <w:bidi w:val="0"/>
        <w:spacing w:line="400" w:lineRule="atLeast"/>
        <w:ind w:firstLine="525"/>
        <w:rPr>
          <w:rFonts w:hint="default" w:ascii="Times New Roman" w:hAnsi="Times New Roman" w:cs="Times New Roman"/>
          <w:color w:val="auto"/>
          <w:sz w:val="24"/>
          <w:highlight w:val="none"/>
        </w:rPr>
      </w:pPr>
    </w:p>
    <w:p w14:paraId="72FAB73E">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5002A0B1">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  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7F5A1FCE">
      <w:pPr>
        <w:pageBreakBefore w:val="0"/>
        <w:kinsoku/>
        <w:wordWrap w:val="0"/>
        <w:bidi w:val="0"/>
        <w:spacing w:line="440" w:lineRule="exact"/>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日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AB41FA2">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r>
        <w:rPr>
          <w:rFonts w:hint="default" w:ascii="Times New Roman" w:hAnsi="Times New Roman" w:eastAsia="黑体" w:cs="Times New Roman"/>
          <w:b w:val="0"/>
          <w:i w:val="0"/>
          <w:iCs/>
          <w:color w:val="auto"/>
          <w:sz w:val="24"/>
          <w:szCs w:val="24"/>
          <w:highlight w:val="none"/>
          <w:lang w:val="en-US" w:eastAsia="zh-CN"/>
        </w:rPr>
        <w:t>附件四</w:t>
      </w:r>
      <w:r>
        <w:rPr>
          <w:rFonts w:hint="eastAsia" w:ascii="Times New Roman" w:hAnsi="Times New Roman" w:eastAsia="黑体"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lang w:val="en-US" w:eastAsia="zh-CN"/>
        </w:rPr>
        <w:t>其他管理和技术人员最低要求</w:t>
      </w:r>
      <w:r>
        <w:rPr>
          <w:rFonts w:hint="default" w:ascii="Times New Roman" w:hAnsi="Times New Roman" w:eastAsia="黑体" w:cs="Times New Roman"/>
          <w:b w:val="0"/>
          <w:i w:val="0"/>
          <w:iCs/>
          <w:color w:val="auto"/>
          <w:sz w:val="24"/>
          <w:szCs w:val="24"/>
          <w:highlight w:val="none"/>
          <w:vertAlign w:val="superscript"/>
        </w:rPr>
        <w:footnoteReference w:id="41"/>
      </w:r>
      <w:bookmarkEnd w:id="1504"/>
      <w:bookmarkEnd w:id="1505"/>
      <w:bookmarkEnd w:id="1506"/>
      <w:bookmarkEnd w:id="1507"/>
    </w:p>
    <w:p w14:paraId="60812B6D">
      <w:pPr>
        <w:pageBreakBefore w:val="0"/>
        <w:kinsoku/>
        <w:wordWrap w:val="0"/>
        <w:bidi w:val="0"/>
        <w:adjustRightInd w:val="0"/>
        <w:snapToGrid w:val="0"/>
        <w:spacing w:line="400" w:lineRule="atLeast"/>
        <w:rPr>
          <w:rFonts w:hint="default" w:ascii="Times New Roman" w:hAnsi="Times New Roman" w:cs="Times New Roman"/>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3B7F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52A2FFA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2161" w:type="dxa"/>
            <w:noWrap w:val="0"/>
            <w:vAlign w:val="center"/>
          </w:tcPr>
          <w:p w14:paraId="4FF88BD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4282" w:type="dxa"/>
            <w:noWrap w:val="0"/>
            <w:vAlign w:val="center"/>
          </w:tcPr>
          <w:p w14:paraId="34A045D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资格要求</w:t>
            </w:r>
          </w:p>
        </w:tc>
      </w:tr>
      <w:tr w14:paraId="1F2A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AE9999A">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3F9FED5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549B1CCC">
            <w:pPr>
              <w:pageBreakBefore w:val="0"/>
              <w:kinsoku/>
              <w:wordWrap w:val="0"/>
              <w:bidi w:val="0"/>
              <w:spacing w:line="400" w:lineRule="atLeast"/>
              <w:rPr>
                <w:rFonts w:hint="default" w:ascii="Times New Roman" w:hAnsi="Times New Roman" w:cs="Times New Roman"/>
                <w:color w:val="auto"/>
                <w:sz w:val="24"/>
                <w:highlight w:val="none"/>
              </w:rPr>
            </w:pPr>
          </w:p>
        </w:tc>
      </w:tr>
      <w:tr w14:paraId="2EED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B9A22E">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045A47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DA7C695">
            <w:pPr>
              <w:pageBreakBefore w:val="0"/>
              <w:kinsoku/>
              <w:wordWrap w:val="0"/>
              <w:bidi w:val="0"/>
              <w:spacing w:line="400" w:lineRule="atLeast"/>
              <w:rPr>
                <w:rFonts w:hint="default" w:ascii="Times New Roman" w:hAnsi="Times New Roman" w:cs="Times New Roman"/>
                <w:color w:val="auto"/>
                <w:sz w:val="24"/>
                <w:highlight w:val="none"/>
              </w:rPr>
            </w:pPr>
          </w:p>
        </w:tc>
      </w:tr>
      <w:tr w14:paraId="77D1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98719AB">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013CC2E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018C5BB4">
            <w:pPr>
              <w:pageBreakBefore w:val="0"/>
              <w:kinsoku/>
              <w:wordWrap w:val="0"/>
              <w:bidi w:val="0"/>
              <w:spacing w:line="400" w:lineRule="atLeast"/>
              <w:rPr>
                <w:rFonts w:hint="default" w:ascii="Times New Roman" w:hAnsi="Times New Roman" w:cs="Times New Roman"/>
                <w:color w:val="auto"/>
                <w:sz w:val="24"/>
                <w:highlight w:val="none"/>
              </w:rPr>
            </w:pPr>
          </w:p>
        </w:tc>
      </w:tr>
      <w:tr w14:paraId="539F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43CF542">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291F041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B07ADC7">
            <w:pPr>
              <w:pageBreakBefore w:val="0"/>
              <w:kinsoku/>
              <w:wordWrap w:val="0"/>
              <w:bidi w:val="0"/>
              <w:spacing w:line="400" w:lineRule="atLeast"/>
              <w:rPr>
                <w:rFonts w:hint="default" w:ascii="Times New Roman" w:hAnsi="Times New Roman" w:cs="Times New Roman"/>
                <w:color w:val="auto"/>
                <w:sz w:val="24"/>
                <w:highlight w:val="none"/>
              </w:rPr>
            </w:pPr>
          </w:p>
        </w:tc>
      </w:tr>
      <w:tr w14:paraId="4C64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879AB81">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666C2C7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3F6DBE77">
            <w:pPr>
              <w:pageBreakBefore w:val="0"/>
              <w:kinsoku/>
              <w:wordWrap w:val="0"/>
              <w:bidi w:val="0"/>
              <w:spacing w:line="400" w:lineRule="atLeast"/>
              <w:rPr>
                <w:rFonts w:hint="default" w:ascii="Times New Roman" w:hAnsi="Times New Roman" w:cs="Times New Roman"/>
                <w:color w:val="auto"/>
                <w:sz w:val="24"/>
                <w:highlight w:val="none"/>
              </w:rPr>
            </w:pPr>
          </w:p>
        </w:tc>
      </w:tr>
      <w:tr w14:paraId="2088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0B88BA">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5A28E9E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28297BE">
            <w:pPr>
              <w:pageBreakBefore w:val="0"/>
              <w:kinsoku/>
              <w:wordWrap w:val="0"/>
              <w:bidi w:val="0"/>
              <w:spacing w:line="400" w:lineRule="atLeast"/>
              <w:rPr>
                <w:rFonts w:hint="default" w:ascii="Times New Roman" w:hAnsi="Times New Roman" w:cs="Times New Roman"/>
                <w:color w:val="auto"/>
                <w:sz w:val="24"/>
                <w:highlight w:val="none"/>
              </w:rPr>
            </w:pPr>
          </w:p>
        </w:tc>
      </w:tr>
      <w:tr w14:paraId="0932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EFE01DC">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89BA22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596F8D4">
            <w:pPr>
              <w:pageBreakBefore w:val="0"/>
              <w:kinsoku/>
              <w:wordWrap w:val="0"/>
              <w:bidi w:val="0"/>
              <w:spacing w:line="400" w:lineRule="atLeast"/>
              <w:rPr>
                <w:rFonts w:hint="default" w:ascii="Times New Roman" w:hAnsi="Times New Roman" w:cs="Times New Roman"/>
                <w:color w:val="auto"/>
                <w:sz w:val="24"/>
                <w:highlight w:val="none"/>
              </w:rPr>
            </w:pPr>
          </w:p>
        </w:tc>
      </w:tr>
      <w:tr w14:paraId="108B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1D57B6FF">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9F667F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12DF63B4">
            <w:pPr>
              <w:pageBreakBefore w:val="0"/>
              <w:kinsoku/>
              <w:wordWrap w:val="0"/>
              <w:bidi w:val="0"/>
              <w:spacing w:line="400" w:lineRule="atLeast"/>
              <w:rPr>
                <w:rFonts w:hint="default" w:ascii="Times New Roman" w:hAnsi="Times New Roman" w:cs="Times New Roman"/>
                <w:color w:val="auto"/>
                <w:sz w:val="24"/>
                <w:highlight w:val="none"/>
              </w:rPr>
            </w:pPr>
          </w:p>
        </w:tc>
      </w:tr>
      <w:tr w14:paraId="67FD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E861774">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3E93928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BB14064">
            <w:pPr>
              <w:pageBreakBefore w:val="0"/>
              <w:kinsoku/>
              <w:wordWrap w:val="0"/>
              <w:bidi w:val="0"/>
              <w:spacing w:line="400" w:lineRule="atLeast"/>
              <w:rPr>
                <w:rFonts w:hint="default" w:ascii="Times New Roman" w:hAnsi="Times New Roman" w:cs="Times New Roman"/>
                <w:color w:val="auto"/>
                <w:sz w:val="24"/>
                <w:highlight w:val="none"/>
              </w:rPr>
            </w:pPr>
          </w:p>
        </w:tc>
      </w:tr>
      <w:tr w14:paraId="252D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7114918D">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EADD0E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FA6EE78">
            <w:pPr>
              <w:pageBreakBefore w:val="0"/>
              <w:kinsoku/>
              <w:wordWrap w:val="0"/>
              <w:bidi w:val="0"/>
              <w:spacing w:line="400" w:lineRule="atLeast"/>
              <w:rPr>
                <w:rFonts w:hint="default" w:ascii="Times New Roman" w:hAnsi="Times New Roman" w:cs="Times New Roman"/>
                <w:color w:val="auto"/>
                <w:sz w:val="24"/>
                <w:highlight w:val="none"/>
              </w:rPr>
            </w:pPr>
          </w:p>
        </w:tc>
      </w:tr>
      <w:tr w14:paraId="3232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E2169DC">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1655E69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1438082">
            <w:pPr>
              <w:pageBreakBefore w:val="0"/>
              <w:kinsoku/>
              <w:wordWrap w:val="0"/>
              <w:bidi w:val="0"/>
              <w:spacing w:line="400" w:lineRule="atLeast"/>
              <w:rPr>
                <w:rFonts w:hint="default" w:ascii="Times New Roman" w:hAnsi="Times New Roman" w:cs="Times New Roman"/>
                <w:color w:val="auto"/>
                <w:sz w:val="24"/>
                <w:highlight w:val="none"/>
              </w:rPr>
            </w:pPr>
          </w:p>
        </w:tc>
      </w:tr>
      <w:tr w14:paraId="574D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351E9F4">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501EAC2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3566DA93">
            <w:pPr>
              <w:pageBreakBefore w:val="0"/>
              <w:kinsoku/>
              <w:wordWrap w:val="0"/>
              <w:bidi w:val="0"/>
              <w:spacing w:line="400" w:lineRule="atLeast"/>
              <w:rPr>
                <w:rFonts w:hint="default" w:ascii="Times New Roman" w:hAnsi="Times New Roman" w:cs="Times New Roman"/>
                <w:color w:val="auto"/>
                <w:sz w:val="24"/>
                <w:highlight w:val="none"/>
              </w:rPr>
            </w:pPr>
          </w:p>
        </w:tc>
      </w:tr>
      <w:tr w14:paraId="39A2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70952F63">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E8CA07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5373738B">
            <w:pPr>
              <w:pageBreakBefore w:val="0"/>
              <w:kinsoku/>
              <w:wordWrap w:val="0"/>
              <w:bidi w:val="0"/>
              <w:spacing w:line="400" w:lineRule="atLeast"/>
              <w:rPr>
                <w:rFonts w:hint="default" w:ascii="Times New Roman" w:hAnsi="Times New Roman" w:cs="Times New Roman"/>
                <w:color w:val="auto"/>
                <w:sz w:val="24"/>
                <w:highlight w:val="none"/>
              </w:rPr>
            </w:pPr>
          </w:p>
        </w:tc>
      </w:tr>
      <w:tr w14:paraId="6416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1725C65">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17FDD69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1FAAB6C4">
            <w:pPr>
              <w:pageBreakBefore w:val="0"/>
              <w:kinsoku/>
              <w:wordWrap w:val="0"/>
              <w:bidi w:val="0"/>
              <w:spacing w:line="400" w:lineRule="atLeast"/>
              <w:rPr>
                <w:rFonts w:hint="default" w:ascii="Times New Roman" w:hAnsi="Times New Roman" w:cs="Times New Roman"/>
                <w:color w:val="auto"/>
                <w:sz w:val="24"/>
                <w:highlight w:val="none"/>
              </w:rPr>
            </w:pPr>
          </w:p>
        </w:tc>
      </w:tr>
      <w:tr w14:paraId="3E10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1D15F040">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32BE21A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8B6D4E9">
            <w:pPr>
              <w:pageBreakBefore w:val="0"/>
              <w:kinsoku/>
              <w:wordWrap w:val="0"/>
              <w:bidi w:val="0"/>
              <w:spacing w:line="400" w:lineRule="atLeast"/>
              <w:rPr>
                <w:rFonts w:hint="default" w:ascii="Times New Roman" w:hAnsi="Times New Roman" w:cs="Times New Roman"/>
                <w:color w:val="auto"/>
                <w:sz w:val="24"/>
                <w:highlight w:val="none"/>
              </w:rPr>
            </w:pPr>
          </w:p>
        </w:tc>
      </w:tr>
    </w:tbl>
    <w:p w14:paraId="4936E647">
      <w:pPr>
        <w:pStyle w:val="6"/>
        <w:pageBreakBefore w:val="0"/>
        <w:kinsoku/>
        <w:wordWrap w:val="0"/>
        <w:bidi w:val="0"/>
        <w:spacing w:before="0" w:after="0" w:line="380" w:lineRule="atLeast"/>
        <w:jc w:val="both"/>
        <w:outlineLvl w:val="3"/>
        <w:rPr>
          <w:rFonts w:hint="default" w:ascii="Times New Roman" w:hAnsi="Times New Roman" w:eastAsia="黑体" w:cs="Times New Roman"/>
          <w:i w:val="0"/>
          <w:iCs/>
          <w:color w:val="auto"/>
          <w:sz w:val="24"/>
          <w:highlight w:val="none"/>
        </w:rPr>
      </w:pPr>
      <w:r>
        <w:rPr>
          <w:rFonts w:hint="default" w:ascii="Times New Roman" w:hAnsi="Times New Roman" w:eastAsia="黑体" w:cs="Times New Roman"/>
          <w:color w:val="auto"/>
          <w:sz w:val="24"/>
          <w:highlight w:val="none"/>
        </w:rPr>
        <w:br w:type="page"/>
      </w:r>
      <w:bookmarkStart w:id="1512" w:name="_Toc28672"/>
      <w:bookmarkStart w:id="1513" w:name="_Toc22982"/>
      <w:bookmarkStart w:id="1514" w:name="_Toc234833235"/>
      <w:bookmarkStart w:id="1515" w:name="_Toc28190"/>
      <w:r>
        <w:rPr>
          <w:rFonts w:hint="default" w:ascii="Times New Roman" w:hAnsi="Times New Roman" w:eastAsia="黑体" w:cs="Times New Roman"/>
          <w:i w:val="0"/>
          <w:iCs/>
          <w:color w:val="auto"/>
          <w:sz w:val="24"/>
          <w:highlight w:val="none"/>
        </w:rPr>
        <w:t>附件五</w:t>
      </w:r>
      <w:r>
        <w:rPr>
          <w:rFonts w:hint="eastAsia" w:ascii="Times New Roman" w:hAnsi="Times New Roman" w:eastAsia="黑体" w:cs="Times New Roman"/>
          <w:i w:val="0"/>
          <w:iCs/>
          <w:color w:val="auto"/>
          <w:sz w:val="24"/>
          <w:highlight w:val="none"/>
          <w:lang w:val="en-US" w:eastAsia="zh-CN"/>
        </w:rPr>
        <w:t xml:space="preserve"> </w:t>
      </w:r>
      <w:r>
        <w:rPr>
          <w:rFonts w:hint="default" w:ascii="Times New Roman" w:hAnsi="Times New Roman" w:eastAsia="黑体" w:cs="Times New Roman"/>
          <w:i w:val="0"/>
          <w:iCs/>
          <w:color w:val="auto"/>
          <w:sz w:val="24"/>
          <w:highlight w:val="none"/>
        </w:rPr>
        <w:t>主要机械设备和试验检测设备最低要求</w:t>
      </w:r>
      <w:r>
        <w:rPr>
          <w:rFonts w:hint="default" w:ascii="Times New Roman" w:hAnsi="Times New Roman" w:eastAsia="黑体" w:cs="Times New Roman"/>
          <w:i w:val="0"/>
          <w:iCs/>
          <w:color w:val="auto"/>
          <w:sz w:val="24"/>
          <w:highlight w:val="none"/>
          <w:vertAlign w:val="superscript"/>
        </w:rPr>
        <w:footnoteReference w:id="42"/>
      </w:r>
      <w:bookmarkEnd w:id="1512"/>
      <w:bookmarkEnd w:id="1513"/>
      <w:bookmarkEnd w:id="1514"/>
      <w:bookmarkEnd w:id="1515"/>
    </w:p>
    <w:p w14:paraId="64765A12">
      <w:pPr>
        <w:pageBreakBefore w:val="0"/>
        <w:kinsoku/>
        <w:wordWrap w:val="0"/>
        <w:bidi w:val="0"/>
        <w:spacing w:before="0" w:after="0" w:line="380" w:lineRule="atLeast"/>
        <w:jc w:val="both"/>
        <w:outlineLvl w:val="9"/>
        <w:rPr>
          <w:rFonts w:hint="default" w:ascii="Times New Roman" w:hAnsi="Times New Roman" w:eastAsia="黑体" w:cs="Times New Roman"/>
          <w:i w:val="0"/>
          <w:iCs/>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67F5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022457E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设备名称</w:t>
            </w:r>
          </w:p>
        </w:tc>
        <w:tc>
          <w:tcPr>
            <w:tcW w:w="2745" w:type="dxa"/>
            <w:noWrap w:val="0"/>
            <w:vAlign w:val="center"/>
          </w:tcPr>
          <w:p w14:paraId="4A12D5F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规格、功率及容量</w:t>
            </w:r>
          </w:p>
        </w:tc>
        <w:tc>
          <w:tcPr>
            <w:tcW w:w="1386" w:type="dxa"/>
            <w:noWrap w:val="0"/>
            <w:vAlign w:val="center"/>
          </w:tcPr>
          <w:p w14:paraId="7F42ED7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w:t>
            </w:r>
          </w:p>
        </w:tc>
        <w:tc>
          <w:tcPr>
            <w:tcW w:w="2194" w:type="dxa"/>
            <w:noWrap w:val="0"/>
            <w:vAlign w:val="center"/>
          </w:tcPr>
          <w:p w14:paraId="1A656A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最低数量要求</w:t>
            </w:r>
          </w:p>
        </w:tc>
      </w:tr>
      <w:tr w14:paraId="49AC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10A2A00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noWrap w:val="0"/>
            <w:vAlign w:val="center"/>
          </w:tcPr>
          <w:p w14:paraId="5106A18A">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noWrap w:val="0"/>
            <w:vAlign w:val="center"/>
          </w:tcPr>
          <w:p w14:paraId="70704E8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noWrap w:val="0"/>
            <w:vAlign w:val="center"/>
          </w:tcPr>
          <w:p w14:paraId="3BDFA144">
            <w:pPr>
              <w:pageBreakBefore w:val="0"/>
              <w:kinsoku/>
              <w:wordWrap w:val="0"/>
              <w:bidi w:val="0"/>
              <w:spacing w:line="400" w:lineRule="atLeast"/>
              <w:rPr>
                <w:rFonts w:hint="default" w:ascii="Times New Roman" w:hAnsi="Times New Roman" w:cs="Times New Roman"/>
                <w:color w:val="auto"/>
                <w:sz w:val="24"/>
                <w:highlight w:val="none"/>
              </w:rPr>
            </w:pPr>
          </w:p>
        </w:tc>
      </w:tr>
      <w:tr w14:paraId="093E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431BA58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noWrap w:val="0"/>
            <w:vAlign w:val="center"/>
          </w:tcPr>
          <w:p w14:paraId="2726C2A9">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noWrap w:val="0"/>
            <w:vAlign w:val="center"/>
          </w:tcPr>
          <w:p w14:paraId="366B21D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noWrap w:val="0"/>
            <w:vAlign w:val="center"/>
          </w:tcPr>
          <w:p w14:paraId="52F392B0">
            <w:pPr>
              <w:pageBreakBefore w:val="0"/>
              <w:kinsoku/>
              <w:wordWrap w:val="0"/>
              <w:bidi w:val="0"/>
              <w:spacing w:line="400" w:lineRule="atLeast"/>
              <w:rPr>
                <w:rFonts w:hint="default" w:ascii="Times New Roman" w:hAnsi="Times New Roman" w:cs="Times New Roman"/>
                <w:color w:val="auto"/>
                <w:sz w:val="24"/>
                <w:highlight w:val="none"/>
              </w:rPr>
            </w:pPr>
          </w:p>
        </w:tc>
      </w:tr>
      <w:tr w14:paraId="52CB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0E1CC2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noWrap w:val="0"/>
            <w:vAlign w:val="center"/>
          </w:tcPr>
          <w:p w14:paraId="5D976A74">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noWrap w:val="0"/>
            <w:vAlign w:val="center"/>
          </w:tcPr>
          <w:p w14:paraId="612E48F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noWrap w:val="0"/>
            <w:vAlign w:val="center"/>
          </w:tcPr>
          <w:p w14:paraId="1B60814B">
            <w:pPr>
              <w:pageBreakBefore w:val="0"/>
              <w:kinsoku/>
              <w:wordWrap w:val="0"/>
              <w:bidi w:val="0"/>
              <w:spacing w:line="400" w:lineRule="atLeast"/>
              <w:rPr>
                <w:rFonts w:hint="default" w:ascii="Times New Roman" w:hAnsi="Times New Roman" w:cs="Times New Roman"/>
                <w:color w:val="auto"/>
                <w:sz w:val="24"/>
                <w:highlight w:val="none"/>
              </w:rPr>
            </w:pPr>
          </w:p>
        </w:tc>
      </w:tr>
      <w:tr w14:paraId="352E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2AC7EBB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787D7E">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DD8CEF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5CB2A14">
            <w:pPr>
              <w:pageBreakBefore w:val="0"/>
              <w:kinsoku/>
              <w:wordWrap w:val="0"/>
              <w:bidi w:val="0"/>
              <w:spacing w:line="400" w:lineRule="atLeast"/>
              <w:rPr>
                <w:rFonts w:hint="default" w:ascii="Times New Roman" w:hAnsi="Times New Roman" w:cs="Times New Roman"/>
                <w:color w:val="auto"/>
                <w:sz w:val="24"/>
                <w:highlight w:val="none"/>
              </w:rPr>
            </w:pPr>
          </w:p>
        </w:tc>
      </w:tr>
      <w:tr w14:paraId="1D97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25FC5BE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6B3F6FB">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E5A774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7B59065">
            <w:pPr>
              <w:pageBreakBefore w:val="0"/>
              <w:kinsoku/>
              <w:wordWrap w:val="0"/>
              <w:bidi w:val="0"/>
              <w:spacing w:line="400" w:lineRule="atLeast"/>
              <w:rPr>
                <w:rFonts w:hint="default" w:ascii="Times New Roman" w:hAnsi="Times New Roman" w:cs="Times New Roman"/>
                <w:color w:val="auto"/>
                <w:sz w:val="24"/>
                <w:highlight w:val="none"/>
              </w:rPr>
            </w:pPr>
          </w:p>
        </w:tc>
      </w:tr>
      <w:tr w14:paraId="6BD5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E2B0C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548E780">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2F9BA0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C18EF53">
            <w:pPr>
              <w:pageBreakBefore w:val="0"/>
              <w:kinsoku/>
              <w:wordWrap w:val="0"/>
              <w:bidi w:val="0"/>
              <w:spacing w:line="400" w:lineRule="atLeast"/>
              <w:rPr>
                <w:rFonts w:hint="default" w:ascii="Times New Roman" w:hAnsi="Times New Roman" w:cs="Times New Roman"/>
                <w:color w:val="auto"/>
                <w:sz w:val="24"/>
                <w:highlight w:val="none"/>
              </w:rPr>
            </w:pPr>
          </w:p>
        </w:tc>
      </w:tr>
      <w:tr w14:paraId="428D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EBBCC8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B6D4793">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764DA8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460F321">
            <w:pPr>
              <w:pageBreakBefore w:val="0"/>
              <w:kinsoku/>
              <w:wordWrap w:val="0"/>
              <w:bidi w:val="0"/>
              <w:spacing w:line="400" w:lineRule="atLeast"/>
              <w:rPr>
                <w:rFonts w:hint="default" w:ascii="Times New Roman" w:hAnsi="Times New Roman" w:cs="Times New Roman"/>
                <w:color w:val="auto"/>
                <w:sz w:val="24"/>
                <w:highlight w:val="none"/>
              </w:rPr>
            </w:pPr>
          </w:p>
        </w:tc>
      </w:tr>
      <w:tr w14:paraId="498E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635345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27477C">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34C17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568971A">
            <w:pPr>
              <w:pageBreakBefore w:val="0"/>
              <w:kinsoku/>
              <w:wordWrap w:val="0"/>
              <w:bidi w:val="0"/>
              <w:spacing w:line="400" w:lineRule="atLeast"/>
              <w:rPr>
                <w:rFonts w:hint="default" w:ascii="Times New Roman" w:hAnsi="Times New Roman" w:cs="Times New Roman"/>
                <w:color w:val="auto"/>
                <w:sz w:val="24"/>
                <w:highlight w:val="none"/>
              </w:rPr>
            </w:pPr>
          </w:p>
        </w:tc>
      </w:tr>
      <w:tr w14:paraId="7BE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E6EBDA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5B120C9">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368CAD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9DE44BF">
            <w:pPr>
              <w:pageBreakBefore w:val="0"/>
              <w:kinsoku/>
              <w:wordWrap w:val="0"/>
              <w:bidi w:val="0"/>
              <w:spacing w:line="400" w:lineRule="atLeast"/>
              <w:rPr>
                <w:rFonts w:hint="default" w:ascii="Times New Roman" w:hAnsi="Times New Roman" w:cs="Times New Roman"/>
                <w:color w:val="auto"/>
                <w:sz w:val="24"/>
                <w:highlight w:val="none"/>
              </w:rPr>
            </w:pPr>
          </w:p>
        </w:tc>
      </w:tr>
      <w:tr w14:paraId="2BB9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1F9BDC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55A0E23">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702435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C68510">
            <w:pPr>
              <w:pageBreakBefore w:val="0"/>
              <w:kinsoku/>
              <w:wordWrap w:val="0"/>
              <w:bidi w:val="0"/>
              <w:spacing w:line="400" w:lineRule="atLeast"/>
              <w:rPr>
                <w:rFonts w:hint="default" w:ascii="Times New Roman" w:hAnsi="Times New Roman" w:cs="Times New Roman"/>
                <w:color w:val="auto"/>
                <w:sz w:val="24"/>
                <w:highlight w:val="none"/>
              </w:rPr>
            </w:pPr>
          </w:p>
        </w:tc>
      </w:tr>
      <w:tr w14:paraId="2014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D17597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12CF4D9">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E216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F5A7B82">
            <w:pPr>
              <w:pageBreakBefore w:val="0"/>
              <w:kinsoku/>
              <w:wordWrap w:val="0"/>
              <w:bidi w:val="0"/>
              <w:spacing w:line="400" w:lineRule="atLeast"/>
              <w:rPr>
                <w:rFonts w:hint="default" w:ascii="Times New Roman" w:hAnsi="Times New Roman" w:cs="Times New Roman"/>
                <w:color w:val="auto"/>
                <w:sz w:val="24"/>
                <w:highlight w:val="none"/>
              </w:rPr>
            </w:pPr>
          </w:p>
        </w:tc>
      </w:tr>
      <w:tr w14:paraId="1349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5B37823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BC90872">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CABDF8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827E6B7">
            <w:pPr>
              <w:pageBreakBefore w:val="0"/>
              <w:kinsoku/>
              <w:wordWrap w:val="0"/>
              <w:bidi w:val="0"/>
              <w:spacing w:line="400" w:lineRule="atLeast"/>
              <w:rPr>
                <w:rFonts w:hint="default" w:ascii="Times New Roman" w:hAnsi="Times New Roman" w:cs="Times New Roman"/>
                <w:color w:val="auto"/>
                <w:sz w:val="24"/>
                <w:highlight w:val="none"/>
              </w:rPr>
            </w:pPr>
          </w:p>
        </w:tc>
      </w:tr>
      <w:tr w14:paraId="078F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898D52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03E513">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64725C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DFCF529">
            <w:pPr>
              <w:pageBreakBefore w:val="0"/>
              <w:kinsoku/>
              <w:wordWrap w:val="0"/>
              <w:bidi w:val="0"/>
              <w:spacing w:line="400" w:lineRule="atLeast"/>
              <w:rPr>
                <w:rFonts w:hint="default" w:ascii="Times New Roman" w:hAnsi="Times New Roman" w:cs="Times New Roman"/>
                <w:color w:val="auto"/>
                <w:sz w:val="24"/>
                <w:highlight w:val="none"/>
              </w:rPr>
            </w:pPr>
          </w:p>
        </w:tc>
      </w:tr>
      <w:tr w14:paraId="30FC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17FA1B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B7F2DDE">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1BB16B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A15B7C3">
            <w:pPr>
              <w:pageBreakBefore w:val="0"/>
              <w:kinsoku/>
              <w:wordWrap w:val="0"/>
              <w:bidi w:val="0"/>
              <w:spacing w:line="400" w:lineRule="atLeast"/>
              <w:rPr>
                <w:rFonts w:hint="default" w:ascii="Times New Roman" w:hAnsi="Times New Roman" w:cs="Times New Roman"/>
                <w:color w:val="auto"/>
                <w:sz w:val="24"/>
                <w:highlight w:val="none"/>
              </w:rPr>
            </w:pPr>
          </w:p>
        </w:tc>
      </w:tr>
      <w:tr w14:paraId="00D5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966F5E5">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D123DAF">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F6B6AC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1F3CD01F">
            <w:pPr>
              <w:pageBreakBefore w:val="0"/>
              <w:kinsoku/>
              <w:wordWrap w:val="0"/>
              <w:bidi w:val="0"/>
              <w:spacing w:line="400" w:lineRule="atLeast"/>
              <w:rPr>
                <w:rFonts w:hint="default" w:ascii="Times New Roman" w:hAnsi="Times New Roman" w:cs="Times New Roman"/>
                <w:color w:val="auto"/>
                <w:sz w:val="24"/>
                <w:highlight w:val="none"/>
              </w:rPr>
            </w:pPr>
          </w:p>
        </w:tc>
      </w:tr>
    </w:tbl>
    <w:p w14:paraId="2DC0CC53">
      <w:pPr>
        <w:pageBreakBefore w:val="0"/>
        <w:kinsoku/>
        <w:wordWrap w:val="0"/>
        <w:bidi w:val="0"/>
        <w:spacing w:line="400" w:lineRule="atLeast"/>
        <w:rPr>
          <w:rFonts w:hint="default" w:ascii="Times New Roman" w:hAnsi="Times New Roman" w:eastAsia="黑体" w:cs="Times New Roman"/>
          <w:color w:val="auto"/>
          <w:sz w:val="24"/>
          <w:highlight w:val="none"/>
        </w:rPr>
      </w:pPr>
    </w:p>
    <w:p w14:paraId="4ED4F958">
      <w:pPr>
        <w:pStyle w:val="6"/>
        <w:pageBreakBefore w:val="0"/>
        <w:kinsoku/>
        <w:wordWrap w:val="0"/>
        <w:bidi w:val="0"/>
        <w:spacing w:before="0" w:after="0" w:line="380" w:lineRule="atLeast"/>
        <w:jc w:val="both"/>
        <w:outlineLvl w:val="3"/>
        <w:rPr>
          <w:rFonts w:hint="default" w:ascii="Times New Roman" w:hAnsi="Times New Roman" w:eastAsia="黑体" w:cs="Times New Roman"/>
          <w:i w:val="0"/>
          <w:iCs/>
          <w:color w:val="auto"/>
          <w:sz w:val="24"/>
          <w:highlight w:val="none"/>
        </w:rPr>
      </w:pPr>
      <w:bookmarkStart w:id="1516" w:name="_Toc13117"/>
      <w:bookmarkStart w:id="1517" w:name="_Toc32399"/>
      <w:bookmarkStart w:id="1518" w:name="_Toc9623"/>
      <w:bookmarkStart w:id="1519" w:name="_Toc234833236"/>
      <w:r>
        <w:rPr>
          <w:rFonts w:hint="default" w:ascii="Times New Roman" w:hAnsi="Times New Roman" w:eastAsia="黑体" w:cs="Times New Roman"/>
          <w:i w:val="0"/>
          <w:iCs/>
          <w:color w:val="auto"/>
          <w:sz w:val="24"/>
          <w:highlight w:val="none"/>
        </w:rPr>
        <w:t>附件六</w:t>
      </w:r>
      <w:r>
        <w:rPr>
          <w:rFonts w:hint="eastAsia" w:ascii="Times New Roman" w:hAnsi="Times New Roman" w:eastAsia="黑体" w:cs="Times New Roman"/>
          <w:i w:val="0"/>
          <w:iCs/>
          <w:color w:val="auto"/>
          <w:sz w:val="24"/>
          <w:highlight w:val="none"/>
          <w:lang w:val="en-US" w:eastAsia="zh-CN"/>
        </w:rPr>
        <w:t xml:space="preserve"> </w:t>
      </w:r>
      <w:r>
        <w:rPr>
          <w:rFonts w:hint="default" w:ascii="Times New Roman" w:hAnsi="Times New Roman" w:eastAsia="黑体" w:cs="Times New Roman"/>
          <w:i w:val="0"/>
          <w:iCs/>
          <w:color w:val="auto"/>
          <w:sz w:val="24"/>
          <w:highlight w:val="none"/>
        </w:rPr>
        <w:t>项目经理委任书</w:t>
      </w:r>
      <w:bookmarkEnd w:id="1516"/>
      <w:bookmarkEnd w:id="1517"/>
      <w:bookmarkEnd w:id="1518"/>
      <w:bookmarkEnd w:id="1519"/>
    </w:p>
    <w:p w14:paraId="6E395060">
      <w:pPr>
        <w:pageBreakBefore w:val="0"/>
        <w:kinsoku/>
        <w:wordWrap w:val="0"/>
        <w:bidi w:val="0"/>
        <w:snapToGrid w:val="0"/>
        <w:spacing w:line="400" w:lineRule="atLeast"/>
        <w:jc w:val="center"/>
        <w:rPr>
          <w:rFonts w:hint="default" w:ascii="Times New Roman" w:hAnsi="Times New Roman" w:eastAsia="黑体" w:cs="Times New Roman"/>
          <w:color w:val="auto"/>
          <w:sz w:val="28"/>
          <w:szCs w:val="28"/>
          <w:highlight w:val="none"/>
          <w:u w:val="single"/>
        </w:rPr>
      </w:pPr>
      <w:r>
        <w:rPr>
          <w:rFonts w:hint="default" w:ascii="Times New Roman" w:hAnsi="Times New Roman" w:eastAsia="黑体" w:cs="Times New Roman"/>
          <w:color w:val="auto"/>
          <w:sz w:val="28"/>
          <w:szCs w:val="28"/>
          <w:highlight w:val="none"/>
          <w:u w:val="single"/>
        </w:rPr>
        <w:t>（承包人全称）</w:t>
      </w:r>
    </w:p>
    <w:p w14:paraId="0F3F5D78">
      <w:pPr>
        <w:pageBreakBefore w:val="0"/>
        <w:kinsoku/>
        <w:wordWrap w:val="0"/>
        <w:bidi w:val="0"/>
        <w:snapToGrid w:val="0"/>
        <w:spacing w:line="40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（合同工程名称）</w:t>
      </w:r>
      <w:r>
        <w:rPr>
          <w:rFonts w:hint="default" w:ascii="Times New Roman" w:hAnsi="Times New Roman" w:eastAsia="黑体" w:cs="Times New Roman"/>
          <w:color w:val="auto"/>
          <w:sz w:val="28"/>
          <w:szCs w:val="28"/>
          <w:highlight w:val="none"/>
        </w:rPr>
        <w:t>项目经理委任书</w:t>
      </w:r>
    </w:p>
    <w:p w14:paraId="104D86CF">
      <w:pPr>
        <w:pageBreakBefore w:val="0"/>
        <w:kinsoku/>
        <w:wordWrap w:val="0"/>
        <w:bidi w:val="0"/>
        <w:snapToGrid w:val="0"/>
        <w:spacing w:line="400" w:lineRule="atLeast"/>
        <w:rPr>
          <w:rFonts w:hint="default" w:ascii="Times New Roman" w:hAnsi="Times New Roman" w:eastAsia="黑体" w:cs="Times New Roman"/>
          <w:color w:val="auto"/>
          <w:sz w:val="24"/>
          <w:highlight w:val="none"/>
        </w:rPr>
      </w:pPr>
    </w:p>
    <w:p w14:paraId="53A141E1">
      <w:pPr>
        <w:pageBreakBefore w:val="0"/>
        <w:kinsoku/>
        <w:wordWrap w:val="0"/>
        <w:bidi w:val="0"/>
        <w:snapToGrid w:val="0"/>
        <w:spacing w:line="400" w:lineRule="atLeast"/>
        <w:rPr>
          <w:rFonts w:hint="default" w:ascii="Times New Roman" w:hAnsi="Times New Roman" w:eastAsia="黑体" w:cs="Times New Roman"/>
          <w:color w:val="auto"/>
          <w:sz w:val="24"/>
          <w:highlight w:val="none"/>
        </w:rPr>
      </w:pPr>
    </w:p>
    <w:p w14:paraId="339E26F7">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（发包人全称）</w:t>
      </w:r>
    </w:p>
    <w:p w14:paraId="078BAD4E">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（承包人全称） </w:t>
      </w: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（职务、姓名） </w:t>
      </w:r>
      <w:r>
        <w:rPr>
          <w:rFonts w:hint="default" w:ascii="Times New Roman" w:hAnsi="Times New Roman" w:cs="Times New Roman"/>
          <w:color w:val="auto"/>
          <w:sz w:val="24"/>
          <w:highlight w:val="none"/>
        </w:rPr>
        <w:t>代表本单位委任</w:t>
      </w:r>
      <w:r>
        <w:rPr>
          <w:rFonts w:hint="default" w:ascii="Times New Roman" w:hAnsi="Times New Roman" w:cs="Times New Roman"/>
          <w:color w:val="auto"/>
          <w:sz w:val="24"/>
          <w:highlight w:val="none"/>
          <w:u w:val="single"/>
        </w:rPr>
        <w:t xml:space="preserve"> （职务、姓名） </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（合同工程名称）</w:t>
      </w:r>
      <w:r>
        <w:rPr>
          <w:rFonts w:hint="default" w:ascii="Times New Roman" w:hAnsi="Times New Roman" w:cs="Times New Roman"/>
          <w:color w:val="auto"/>
          <w:sz w:val="24"/>
          <w:highlight w:val="none"/>
        </w:rPr>
        <w:t>的项目经理。凡本合同执行中的有关技术、工程进度、现场管理、质量检验、结算与支付等方面工作，由</w:t>
      </w:r>
      <w:r>
        <w:rPr>
          <w:rFonts w:hint="default" w:ascii="Times New Roman" w:hAnsi="Times New Roman" w:cs="Times New Roman"/>
          <w:color w:val="auto"/>
          <w:sz w:val="24"/>
          <w:highlight w:val="none"/>
          <w:u w:val="single"/>
        </w:rPr>
        <w:t xml:space="preserve">  （姓名） </w:t>
      </w:r>
      <w:r>
        <w:rPr>
          <w:rFonts w:hint="default" w:ascii="Times New Roman" w:hAnsi="Times New Roman" w:cs="Times New Roman"/>
          <w:color w:val="auto"/>
          <w:sz w:val="24"/>
          <w:highlight w:val="none"/>
        </w:rPr>
        <w:t>代表本单位全面负责。</w:t>
      </w:r>
    </w:p>
    <w:p w14:paraId="779573C9">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p>
    <w:p w14:paraId="1A4B4604">
      <w:pPr>
        <w:pageBreakBefore w:val="0"/>
        <w:kinsoku/>
        <w:wordWrap w:val="0"/>
        <w:bidi w:val="0"/>
        <w:snapToGrid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282C711A">
      <w:pPr>
        <w:pageBreakBefore w:val="0"/>
        <w:kinsoku/>
        <w:wordWrap w:val="0"/>
        <w:bidi w:val="0"/>
        <w:snapToGrid w:val="0"/>
        <w:spacing w:line="400" w:lineRule="atLeast"/>
        <w:ind w:firstLine="4603" w:firstLineChars="1918"/>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（职务）        </w:t>
      </w:r>
    </w:p>
    <w:p w14:paraId="704BA689">
      <w:pPr>
        <w:pageBreakBefore w:val="0"/>
        <w:kinsoku/>
        <w:wordWrap w:val="0"/>
        <w:bidi w:val="0"/>
        <w:snapToGrid w:val="0"/>
        <w:spacing w:line="400" w:lineRule="atLeas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（姓名）       </w:t>
      </w:r>
    </w:p>
    <w:p w14:paraId="308C8BCD">
      <w:pPr>
        <w:pageBreakBefore w:val="0"/>
        <w:kinsoku/>
        <w:wordWrap w:val="0"/>
        <w:bidi w:val="0"/>
        <w:snapToGrid w:val="0"/>
        <w:spacing w:line="400" w:lineRule="atLeas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（签字）       </w:t>
      </w:r>
    </w:p>
    <w:p w14:paraId="7EF2FD54">
      <w:pPr>
        <w:pageBreakBefore w:val="0"/>
        <w:kinsoku/>
        <w:wordWrap w:val="0"/>
        <w:bidi w:val="0"/>
        <w:snapToGrid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81D7C33">
      <w:pPr>
        <w:pStyle w:val="28"/>
        <w:pageBreakBefore w:val="0"/>
        <w:tabs>
          <w:tab w:val="clear" w:pos="4153"/>
          <w:tab w:val="clear" w:pos="8306"/>
        </w:tabs>
        <w:kinsoku/>
        <w:wordWrap w:val="0"/>
        <w:bidi w:val="0"/>
        <w:spacing w:line="40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14:paraId="6D1AB8DE">
      <w:pPr>
        <w:pStyle w:val="28"/>
        <w:pageBreakBefore w:val="0"/>
        <w:tabs>
          <w:tab w:val="clear" w:pos="4153"/>
          <w:tab w:val="clear" w:pos="8306"/>
        </w:tabs>
        <w:kinsoku/>
        <w:wordWrap w:val="0"/>
        <w:bidi w:val="0"/>
        <w:spacing w:line="400" w:lineRule="atLeast"/>
        <w:rPr>
          <w:rFonts w:hint="default" w:ascii="Times New Roman" w:hAnsi="Times New Roman" w:cs="Times New Roman"/>
          <w:color w:val="auto"/>
          <w:sz w:val="24"/>
          <w:szCs w:val="24"/>
          <w:highlight w:val="none"/>
        </w:rPr>
      </w:pPr>
    </w:p>
    <w:p w14:paraId="17C5F632">
      <w:pPr>
        <w:pageBreakBefore w:val="0"/>
        <w:kinsoku/>
        <w:wordWrap w:val="0"/>
        <w:bidi w:val="0"/>
        <w:snapToGrid w:val="0"/>
        <w:spacing w:line="400" w:lineRule="atLeast"/>
        <w:rPr>
          <w:rFonts w:hint="default" w:ascii="Times New Roman" w:hAnsi="Times New Roman" w:cs="Times New Roman"/>
          <w:color w:val="auto"/>
          <w:sz w:val="24"/>
          <w:highlight w:val="none"/>
        </w:rPr>
      </w:pPr>
    </w:p>
    <w:p w14:paraId="739D49B1">
      <w:pPr>
        <w:pageBreakBefore w:val="0"/>
        <w:kinsoku/>
        <w:wordWrap w:val="0"/>
        <w:bidi w:val="0"/>
        <w:snapToGrid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抄送：</w:t>
      </w:r>
      <w:r>
        <w:rPr>
          <w:rFonts w:hint="default" w:ascii="Times New Roman" w:hAnsi="Times New Roman" w:cs="Times New Roman"/>
          <w:color w:val="auto"/>
          <w:sz w:val="24"/>
          <w:highlight w:val="none"/>
          <w:u w:val="single"/>
        </w:rPr>
        <w:t xml:space="preserve">  （监理人）  </w:t>
      </w:r>
      <w:r>
        <w:rPr>
          <w:rFonts w:hint="default" w:ascii="Times New Roman" w:hAnsi="Times New Roman" w:cs="Times New Roman"/>
          <w:color w:val="auto"/>
          <w:sz w:val="24"/>
          <w:highlight w:val="none"/>
        </w:rPr>
        <w:br w:type="page"/>
      </w:r>
    </w:p>
    <w:p w14:paraId="5B974FE2">
      <w:pPr>
        <w:pStyle w:val="6"/>
        <w:pageBreakBefore w:val="0"/>
        <w:kinsoku/>
        <w:wordWrap w:val="0"/>
        <w:bidi w:val="0"/>
        <w:spacing w:before="0" w:after="0" w:line="380" w:lineRule="atLeast"/>
        <w:jc w:val="both"/>
        <w:outlineLvl w:val="3"/>
        <w:rPr>
          <w:rFonts w:hint="default" w:ascii="Times New Roman" w:hAnsi="Times New Roman" w:eastAsia="黑体" w:cs="Times New Roman"/>
          <w:b w:val="0"/>
          <w:i w:val="0"/>
          <w:iCs/>
          <w:color w:val="auto"/>
          <w:sz w:val="24"/>
          <w:szCs w:val="24"/>
          <w:highlight w:val="none"/>
        </w:rPr>
      </w:pPr>
      <w:r>
        <w:rPr>
          <w:rFonts w:hint="default" w:ascii="Times New Roman" w:hAnsi="Times New Roman" w:eastAsia="黑体" w:cs="Times New Roman"/>
          <w:b w:val="0"/>
          <w:i w:val="0"/>
          <w:iCs/>
          <w:color w:val="auto"/>
          <w:sz w:val="24"/>
          <w:szCs w:val="24"/>
          <w:highlight w:val="none"/>
          <w:lang w:val="en-US" w:eastAsia="zh-CN"/>
        </w:rPr>
        <w:t>附件七</w:t>
      </w:r>
      <w:r>
        <w:rPr>
          <w:rFonts w:hint="eastAsia" w:ascii="Times New Roman" w:hAnsi="Times New Roman" w:eastAsia="黑体"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lang w:val="en-US" w:eastAsia="zh-CN"/>
        </w:rPr>
        <w:t>履约保证金格式</w:t>
      </w:r>
    </w:p>
    <w:p w14:paraId="78CE23F1">
      <w:pPr>
        <w:pageBreakBefore w:val="0"/>
        <w:kinsoku/>
        <w:wordWrap w:val="0"/>
        <w:bidi w:val="0"/>
        <w:spacing w:line="400" w:lineRule="atLeast"/>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如采用银行保函，格式如下。</w:t>
      </w:r>
    </w:p>
    <w:p w14:paraId="6BDCE1BF">
      <w:pPr>
        <w:pageBreakBefore w:val="0"/>
        <w:kinsoku/>
        <w:wordWrap w:val="0"/>
        <w:bidi w:val="0"/>
        <w:spacing w:line="400" w:lineRule="atLeast"/>
        <w:ind w:firstLine="3360" w:firstLineChars="1200"/>
        <w:rPr>
          <w:rFonts w:hint="default" w:ascii="Times New Roman" w:hAnsi="Times New Roman" w:eastAsia="黑体" w:cs="Times New Roman"/>
          <w:color w:val="auto"/>
          <w:sz w:val="28"/>
          <w:szCs w:val="28"/>
          <w:highlight w:val="none"/>
        </w:rPr>
      </w:pPr>
    </w:p>
    <w:p w14:paraId="7B437576">
      <w:pPr>
        <w:pageBreakBefore w:val="0"/>
        <w:kinsoku/>
        <w:wordWrap w:val="0"/>
        <w:bidi w:val="0"/>
        <w:spacing w:line="40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履约保证金</w:t>
      </w:r>
    </w:p>
    <w:p w14:paraId="223730E9">
      <w:pPr>
        <w:pageBreakBefore w:val="0"/>
        <w:kinsoku/>
        <w:wordWrap w:val="0"/>
        <w:bidi w:val="0"/>
        <w:spacing w:line="400" w:lineRule="atLeast"/>
        <w:rPr>
          <w:rFonts w:hint="default" w:ascii="Times New Roman" w:hAnsi="Times New Roman" w:cs="Times New Roman"/>
          <w:color w:val="auto"/>
          <w:sz w:val="24"/>
          <w:highlight w:val="none"/>
        </w:rPr>
      </w:pPr>
    </w:p>
    <w:p w14:paraId="5F93E186">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w:t>
      </w:r>
    </w:p>
    <w:p w14:paraId="798F6A4F">
      <w:pPr>
        <w:pageBreakBefore w:val="0"/>
        <w:kinsoku/>
        <w:wordWrap w:val="0"/>
        <w:bidi w:val="0"/>
        <w:spacing w:line="400" w:lineRule="atLeast"/>
        <w:rPr>
          <w:rFonts w:hint="default" w:ascii="Times New Roman" w:hAnsi="Times New Roman" w:cs="Times New Roman"/>
          <w:color w:val="auto"/>
          <w:sz w:val="24"/>
          <w:highlight w:val="none"/>
        </w:rPr>
      </w:pPr>
    </w:p>
    <w:p w14:paraId="0FCDD719">
      <w:pPr>
        <w:pageBreakBefore w:val="0"/>
        <w:kinsoku/>
        <w:wordWrap w:val="0"/>
        <w:bidi w:val="0"/>
        <w:spacing w:line="400" w:lineRule="atLeast"/>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）接受</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日参加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标段施工的投标。我方愿意无条件地、不可撤销地就承包人履行与你方订立的合同，向你方提供担保。</w:t>
      </w:r>
    </w:p>
    <w:p w14:paraId="03F2A582">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担保金额人民币（大写）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元（¥</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9FE78A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担保有效期自发包人与承包人签订的合同生效之日起至发包人签发交工验收证书且承包人按照合同约定缴纳质量保证金之日止。</w:t>
      </w:r>
      <w:r>
        <w:rPr>
          <w:rStyle w:val="48"/>
          <w:rFonts w:hint="default" w:ascii="Times New Roman" w:hAnsi="Times New Roman" w:eastAsia="黑体" w:cs="Times New Roman"/>
          <w:color w:val="auto"/>
          <w:sz w:val="28"/>
          <w:szCs w:val="28"/>
          <w:highlight w:val="none"/>
        </w:rPr>
        <w:footnoteReference w:id="43"/>
      </w:r>
    </w:p>
    <w:p w14:paraId="482B2552">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7053977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 发包人和承包人按合同条款第15条变更合同时，无论我方是否收到该变更，我方承担本担保规定的义务不变。</w:t>
      </w:r>
    </w:p>
    <w:p w14:paraId="2BCEC8FC">
      <w:pPr>
        <w:pageBreakBefore w:val="0"/>
        <w:kinsoku/>
        <w:wordWrap w:val="0"/>
        <w:bidi w:val="0"/>
        <w:spacing w:line="400" w:lineRule="atLeast"/>
        <w:rPr>
          <w:rFonts w:hint="default" w:ascii="Times New Roman" w:hAnsi="Times New Roman" w:cs="Times New Roman"/>
          <w:color w:val="auto"/>
          <w:sz w:val="24"/>
          <w:highlight w:val="none"/>
        </w:rPr>
      </w:pPr>
    </w:p>
    <w:p w14:paraId="30B709CE">
      <w:pPr>
        <w:pageBreakBefore w:val="0"/>
        <w:kinsoku/>
        <w:wordWrap w:val="0"/>
        <w:bidi w:val="0"/>
        <w:spacing w:line="400" w:lineRule="atLeast"/>
        <w:rPr>
          <w:rFonts w:hint="default" w:ascii="Times New Roman" w:hAnsi="Times New Roman" w:cs="Times New Roman"/>
          <w:color w:val="auto"/>
          <w:sz w:val="24"/>
          <w:highlight w:val="none"/>
        </w:rPr>
      </w:pPr>
    </w:p>
    <w:p w14:paraId="4281545E">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担保人名称：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2B9C3CD6">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37D96521">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p>
    <w:p w14:paraId="4D2FC985">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p>
    <w:p w14:paraId="61FB1DA8">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6680E0F">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4D335D6">
      <w:pPr>
        <w:pageBreakBefore w:val="0"/>
        <w:kinsoku/>
        <w:wordWrap w:val="0"/>
        <w:bidi w:val="0"/>
        <w:spacing w:line="400" w:lineRule="atLeast"/>
        <w:ind w:firstLine="4216" w:firstLineChars="1757"/>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3A844DC5">
      <w:pPr>
        <w:pageBreakBefore w:val="0"/>
        <w:kinsoku/>
        <w:wordWrap w:val="0"/>
        <w:bidi w:val="0"/>
        <w:spacing w:line="400" w:lineRule="atLeast"/>
        <w:rPr>
          <w:rFonts w:hint="default" w:ascii="Times New Roman" w:hAnsi="Times New Roman" w:cs="Times New Roman"/>
          <w:color w:val="auto"/>
          <w:sz w:val="24"/>
          <w:highlight w:val="none"/>
        </w:rPr>
      </w:pPr>
    </w:p>
    <w:p w14:paraId="2FCEDF54">
      <w:pPr>
        <w:pageBreakBefore w:val="0"/>
        <w:kinsoku/>
        <w:wordWrap w:val="0"/>
        <w:bidi w:val="0"/>
        <w:spacing w:line="400" w:lineRule="atLeast"/>
        <w:rPr>
          <w:rFonts w:hint="default" w:ascii="Times New Roman" w:hAnsi="Times New Roman" w:eastAsia="黑体" w:cs="Times New Roman"/>
          <w:color w:val="auto"/>
          <w:sz w:val="24"/>
          <w:highlight w:val="none"/>
        </w:rPr>
      </w:pPr>
    </w:p>
    <w:p w14:paraId="266F3195">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520" w:name="_Toc234833238"/>
      <w:bookmarkStart w:id="1521" w:name="_Toc21835"/>
      <w:bookmarkStart w:id="1522" w:name="_Toc24417"/>
      <w:bookmarkStart w:id="1523" w:name="_Toc18852"/>
      <w:r>
        <w:rPr>
          <w:rFonts w:hint="default" w:ascii="Times New Roman" w:hAnsi="Times New Roman" w:eastAsia="黑体" w:cs="Times New Roman"/>
          <w:b w:val="0"/>
          <w:i w:val="0"/>
          <w:iCs/>
          <w:color w:val="auto"/>
          <w:sz w:val="24"/>
          <w:szCs w:val="24"/>
          <w:highlight w:val="none"/>
        </w:rPr>
        <w:t>附件八</w:t>
      </w:r>
      <w:r>
        <w:rPr>
          <w:rFonts w:hint="default" w:ascii="Times New Roman" w:hAnsi="Times New Roman" w:eastAsia="黑体" w:cs="Times New Roman"/>
          <w:b w:val="0"/>
          <w:i w:val="0"/>
          <w:iCs/>
          <w:color w:val="auto"/>
          <w:sz w:val="24"/>
          <w:szCs w:val="24"/>
          <w:highlight w:val="none"/>
          <w:lang w:eastAsia="zh-CN"/>
        </w:rPr>
        <w:t xml:space="preserve"> </w:t>
      </w:r>
      <w:r>
        <w:rPr>
          <w:rFonts w:hint="default" w:ascii="Times New Roman" w:hAnsi="Times New Roman" w:eastAsia="黑体" w:cs="Times New Roman"/>
          <w:b w:val="0"/>
          <w:i w:val="0"/>
          <w:iCs/>
          <w:color w:val="auto"/>
          <w:sz w:val="24"/>
          <w:szCs w:val="24"/>
          <w:highlight w:val="none"/>
        </w:rPr>
        <w:t>工程资金监管协议格式</w:t>
      </w:r>
      <w:bookmarkEnd w:id="1520"/>
      <w:bookmarkEnd w:id="1521"/>
      <w:bookmarkEnd w:id="1522"/>
      <w:bookmarkEnd w:id="1523"/>
    </w:p>
    <w:p w14:paraId="6E31E48B">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（发包人与承包人签订合同协议书时应与发包人指定的银行签署工程资金监管协议，工程资金监管协议内容在保证本项目资金有效监管的前提下由三方共同商定）</w:t>
      </w:r>
    </w:p>
    <w:p w14:paraId="10662783">
      <w:pPr>
        <w:pageBreakBefore w:val="0"/>
        <w:kinsoku/>
        <w:wordWrap w:val="0"/>
        <w:bidi w:val="0"/>
        <w:spacing w:line="380" w:lineRule="atLeast"/>
        <w:rPr>
          <w:rFonts w:hint="default" w:ascii="Times New Roman" w:hAnsi="Times New Roman" w:eastAsia="黑体" w:cs="Times New Roman"/>
          <w:color w:val="auto"/>
          <w:sz w:val="24"/>
          <w:highlight w:val="none"/>
        </w:rPr>
      </w:pPr>
    </w:p>
    <w:p w14:paraId="504CE6D2">
      <w:pPr>
        <w:pageBreakBefore w:val="0"/>
        <w:kinsoku/>
        <w:wordWrap w:val="0"/>
        <w:bidi w:val="0"/>
        <w:spacing w:line="38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工程资金监管协议</w:t>
      </w:r>
    </w:p>
    <w:p w14:paraId="7CBC1821">
      <w:pPr>
        <w:pageBreakBefore w:val="0"/>
        <w:kinsoku/>
        <w:wordWrap w:val="0"/>
        <w:bidi w:val="0"/>
        <w:spacing w:line="380" w:lineRule="atLeast"/>
        <w:jc w:val="center"/>
        <w:rPr>
          <w:rFonts w:hint="default" w:ascii="Times New Roman" w:hAnsi="Times New Roman" w:eastAsia="黑体" w:cs="Times New Roman"/>
          <w:color w:val="auto"/>
          <w:sz w:val="28"/>
          <w:szCs w:val="28"/>
          <w:highlight w:val="none"/>
        </w:rPr>
      </w:pPr>
    </w:p>
    <w:p w14:paraId="13DB93F1">
      <w:pPr>
        <w:pageBreakBefore w:val="0"/>
        <w:kinsoku/>
        <w:wordWrap w:val="0"/>
        <w:bidi w:val="0"/>
        <w:spacing w:line="380" w:lineRule="atLeast"/>
        <w:rPr>
          <w:rFonts w:hint="default" w:ascii="Times New Roman" w:hAnsi="Times New Roman" w:cs="Times New Roman"/>
          <w:color w:val="auto"/>
          <w:sz w:val="24"/>
          <w:highlight w:val="none"/>
        </w:rPr>
      </w:pPr>
      <w:bookmarkStart w:id="1524" w:name="_Toc234833239"/>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甲方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bookmarkEnd w:id="1524"/>
    </w:p>
    <w:p w14:paraId="1DD56B80">
      <w:pPr>
        <w:pageBreakBefore w:val="0"/>
        <w:kinsoku/>
        <w:wordWrap w:val="0"/>
        <w:bidi w:val="0"/>
        <w:spacing w:line="38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乙方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p>
    <w:p w14:paraId="335A2157">
      <w:pPr>
        <w:pageBreakBefore w:val="0"/>
        <w:kinsoku/>
        <w:wordWrap w:val="0"/>
        <w:bidi w:val="0"/>
        <w:spacing w:line="38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经办银行：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丙方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p>
    <w:p w14:paraId="09052958">
      <w:pPr>
        <w:pageBreakBefore w:val="0"/>
        <w:kinsoku/>
        <w:wordWrap w:val="0"/>
        <w:bidi w:val="0"/>
        <w:spacing w:line="380" w:lineRule="atLeast"/>
        <w:jc w:val="left"/>
        <w:rPr>
          <w:rFonts w:hint="default" w:ascii="Times New Roman" w:hAnsi="Times New Roman" w:cs="Times New Roman"/>
          <w:color w:val="auto"/>
          <w:sz w:val="24"/>
          <w:highlight w:val="none"/>
        </w:rPr>
      </w:pPr>
    </w:p>
    <w:p w14:paraId="3D2AD694">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为了促进</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（项目名称）的顺利实施，管好用好建设资金，确保工程资金专款专用，同时为承包人提供便捷有效的银行业务服务，根据</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（项目名称）合同条款有关规定，经甲、乙、丙三方协商，达成协议如下：</w:t>
      </w:r>
    </w:p>
    <w:p w14:paraId="722460D7">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资金管理的内容</w:t>
      </w:r>
    </w:p>
    <w:p w14:paraId="0FEB7E11">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（1）乙方为完成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（项目名称）工程成立的项目经理部在丙方开设基本结算户；</w:t>
      </w:r>
    </w:p>
    <w:p w14:paraId="30B16078">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（2）甲方应按合同规定将工程款汇入乙方在丙方开设的账户；</w:t>
      </w:r>
    </w:p>
    <w:p w14:paraId="4C745CCD">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（3）乙方应将流动资金及甲方所拨付资金专项用于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p>
    <w:p w14:paraId="4ED88207">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（4）丙方应为乙方提供便捷有效的银行业务服务，并接受甲方委托对乙方在丙方开设的基本结算户资金使用情况进行监督。</w:t>
      </w:r>
    </w:p>
    <w:p w14:paraId="3F0F602E">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甲方的权责</w:t>
      </w:r>
    </w:p>
    <w:p w14:paraId="3F551000">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（1）按照</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（项目名称）合同有关条款规定的时间和方式，向乙方支付工程款；</w:t>
      </w:r>
    </w:p>
    <w:p w14:paraId="02E98D25">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（2）在发现乙方将本项目资金挪用、转移时，甲方有权中止工程支付，直至乙方改正为止；</w:t>
      </w:r>
    </w:p>
    <w:p w14:paraId="06C47B96">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（3）不定期审查丙方对乙方的资金使用监督情况，如丙方不能履行其责任，甲方有权随时终止本协议；</w:t>
      </w:r>
    </w:p>
    <w:p w14:paraId="74A38BF2">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（4）在乙、丙双方发生争议时，甲方应负责协调、解决。</w:t>
      </w:r>
    </w:p>
    <w:p w14:paraId="08F7C078">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乙方的权责</w:t>
      </w:r>
    </w:p>
    <w:p w14:paraId="634FECA3">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（1）项目经理部成立以后，乙方应尽快在丙方开设基本结算户；</w:t>
      </w:r>
    </w:p>
    <w:p w14:paraId="1C95E0DA">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（2）确保本项目资金专款专用，不发生挪用、转移资金的现象；保证不通过权益转让、抵押、担保承担债务等任何其他方式使用基本结算户的资金；</w:t>
      </w:r>
    </w:p>
    <w:p w14:paraId="17993F09">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（3）办理材料、设备等采购业务金额在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万元以上的，应出示购货合同、协议和发票；在办理总额超过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万元以上的采购业务时，应将合同、协议和发票复印件送丙方备案；购买应急材料、设备时可先办理支付手续，但事后必须补备有关资料；</w:t>
      </w:r>
    </w:p>
    <w:p w14:paraId="022A9C86">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（4）用银行转账支票办理支付款项时，必须将转账支票送交丙方，由丙方负责办理支票转付手续；</w:t>
      </w:r>
    </w:p>
    <w:p w14:paraId="3A90C807">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（5）向分包单位支付工程进度款时，应附甲方批准分包的文件；</w:t>
      </w:r>
    </w:p>
    <w:p w14:paraId="7D5DD901">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（6）向上级单位缴纳管理费、机械设备及周转材料租赁摊销费等款项时，应附上级单位出具的转账通知等有关资料，以确保资金专款专用。</w:t>
      </w:r>
    </w:p>
    <w:p w14:paraId="53F5DA16">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 丙方的权责</w:t>
      </w:r>
    </w:p>
    <w:p w14:paraId="30B7BAF1">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（1）成立</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（项目名称）工程资金管理服务小组，明确业务流程，提高工作效率，杜绝</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压票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现象；</w:t>
      </w:r>
    </w:p>
    <w:p w14:paraId="2723026C">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pacing w:val="-6"/>
          <w:sz w:val="24"/>
          <w:highlight w:val="none"/>
        </w:rPr>
        <w:t>根据乙方提供的购货合同、协议和发票，检查其所购材料、设备是否用于</w:t>
      </w:r>
      <w:r>
        <w:rPr>
          <w:rFonts w:hint="default" w:ascii="Times New Roman" w:hAnsi="Times New Roman" w:cs="Times New Roman"/>
          <w:color w:val="auto"/>
          <w:spacing w:val="-6"/>
          <w:sz w:val="24"/>
          <w:highlight w:val="none"/>
          <w:u w:val="single"/>
        </w:rPr>
        <w:t xml:space="preserve">   </w:t>
      </w:r>
      <w:r>
        <w:rPr>
          <w:rFonts w:hint="default" w:ascii="Times New Roman" w:hAnsi="Times New Roman" w:cs="Times New Roman"/>
          <w:color w:val="auto"/>
          <w:sz w:val="24"/>
          <w:highlight w:val="none"/>
        </w:rPr>
        <w:t>（项目名称）工程建设，对本标段以外的购货款项，有权拒绝办理，并及时报告甲方；</w:t>
      </w:r>
    </w:p>
    <w:p w14:paraId="08B5C85F">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（3）根据乙方与分包单位签订的合同及支付文件，检查其支付款项是否符合有关条件，向分包单位以外单位的支付有权拒绝办理，并及时报告甲方；</w:t>
      </w:r>
    </w:p>
    <w:p w14:paraId="37A6FE23">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4EF1F19C">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（5）定期将乙方前一个周期的支付情况，整理后书面报送甲方；乙方复印备案的材料一并送甲方。</w:t>
      </w:r>
    </w:p>
    <w:p w14:paraId="16D6EBF4">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 甲、乙、丙三方都应履行保密责任，不得将其他两方的业务情况透露给三方以外的其他单位或个人。</w:t>
      </w:r>
    </w:p>
    <w:p w14:paraId="4CC5F732">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 本协议有效期自乙方在丙方开户起，至工程交工验收甲方向乙方颁发交工验收证书后结束。</w:t>
      </w:r>
    </w:p>
    <w:p w14:paraId="44075BAF">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 本协议未尽事宜，由甲方牵头，三方协商解决。</w:t>
      </w:r>
    </w:p>
    <w:p w14:paraId="18EA7CB9">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 本协议正本三份、副本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份。合同三方各执正本一份、副本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份，当正本与副本内容不一致时，以正本为准。</w:t>
      </w:r>
    </w:p>
    <w:p w14:paraId="2A2DB9FB">
      <w:pPr>
        <w:pageBreakBefore w:val="0"/>
        <w:kinsoku/>
        <w:wordWrap w:val="0"/>
        <w:bidi w:val="0"/>
        <w:spacing w:line="340" w:lineRule="atLeast"/>
        <w:outlineLvl w:val="9"/>
        <w:rPr>
          <w:rFonts w:hint="default" w:ascii="Times New Roman" w:hAnsi="Times New Roman" w:cs="Times New Roman"/>
          <w:b/>
          <w:color w:val="auto"/>
          <w:sz w:val="24"/>
          <w:highlight w:val="none"/>
        </w:rPr>
      </w:pPr>
    </w:p>
    <w:p w14:paraId="2091F5DA">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（盖单位章）    </w:t>
      </w:r>
    </w:p>
    <w:p w14:paraId="3CEE4CC0">
      <w:pPr>
        <w:pageBreakBefore w:val="0"/>
        <w:kinsoku/>
        <w:wordWrap w:val="0"/>
        <w:bidi w:val="0"/>
        <w:spacing w:line="340" w:lineRule="atLeast"/>
        <w:outlineLvl w:val="9"/>
        <w:rPr>
          <w:rFonts w:hint="default" w:ascii="Times New Roman" w:hAnsi="Times New Roman" w:cs="Times New Roman"/>
          <w:color w:val="auto"/>
          <w:sz w:val="24"/>
          <w:highlight w:val="none"/>
        </w:rPr>
      </w:pPr>
      <w:bookmarkStart w:id="1525" w:name="_Toc27026"/>
      <w:bookmarkStart w:id="1526" w:name="_Toc25487"/>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bookmarkEnd w:id="1525"/>
      <w:bookmarkEnd w:id="1526"/>
      <w:r>
        <w:rPr>
          <w:rFonts w:hint="default" w:ascii="Times New Roman" w:hAnsi="Times New Roman" w:cs="Times New Roman"/>
          <w:color w:val="auto"/>
          <w:sz w:val="24"/>
          <w:highlight w:val="none"/>
        </w:rPr>
        <w:t xml:space="preserve">  </w:t>
      </w:r>
    </w:p>
    <w:p w14:paraId="42D786FC">
      <w:pPr>
        <w:pageBreakBefore w:val="0"/>
        <w:kinsoku/>
        <w:wordWrap w:val="0"/>
        <w:bidi w:val="0"/>
        <w:spacing w:line="340" w:lineRule="atLeast"/>
        <w:ind w:firstLine="1920" w:firstLineChars="800"/>
        <w:rPr>
          <w:rFonts w:hint="default" w:ascii="Times New Roman" w:hAnsi="Times New Roman" w:cs="Times New Roman"/>
          <w:b/>
          <w:bCs/>
          <w:color w:val="auto"/>
          <w:sz w:val="4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1C28BC1D">
      <w:pPr>
        <w:pageBreakBefore w:val="0"/>
        <w:kinsoku/>
        <w:wordWrap w:val="0"/>
        <w:bidi w:val="0"/>
        <w:spacing w:line="340" w:lineRule="atLeast"/>
        <w:rPr>
          <w:rFonts w:hint="default" w:ascii="Times New Roman" w:hAnsi="Times New Roman" w:cs="Times New Roman"/>
          <w:color w:val="auto"/>
          <w:sz w:val="24"/>
          <w:highlight w:val="none"/>
        </w:rPr>
      </w:pPr>
    </w:p>
    <w:p w14:paraId="1414C8CA">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（盖单位章）    </w:t>
      </w:r>
    </w:p>
    <w:p w14:paraId="30AE40FF">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（签字）  </w:t>
      </w:r>
    </w:p>
    <w:p w14:paraId="00458D6D">
      <w:pPr>
        <w:pageBreakBefore w:val="0"/>
        <w:kinsoku/>
        <w:wordWrap w:val="0"/>
        <w:bidi w:val="0"/>
        <w:spacing w:line="340" w:lineRule="atLeast"/>
        <w:ind w:firstLine="1920" w:firstLineChars="800"/>
        <w:rPr>
          <w:rFonts w:hint="default" w:ascii="Times New Roman" w:hAnsi="Times New Roman" w:cs="Times New Roman"/>
          <w:b/>
          <w:bCs/>
          <w:color w:val="auto"/>
          <w:sz w:val="4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7A7D099A">
      <w:pPr>
        <w:pageBreakBefore w:val="0"/>
        <w:kinsoku/>
        <w:wordWrap w:val="0"/>
        <w:bidi w:val="0"/>
        <w:spacing w:line="340" w:lineRule="atLeast"/>
        <w:rPr>
          <w:rFonts w:hint="default" w:ascii="Times New Roman" w:hAnsi="Times New Roman" w:cs="Times New Roman"/>
          <w:color w:val="auto"/>
          <w:sz w:val="24"/>
          <w:highlight w:val="none"/>
        </w:rPr>
      </w:pPr>
    </w:p>
    <w:p w14:paraId="785C2B32">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经办银行：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（盖单位章）    </w:t>
      </w:r>
    </w:p>
    <w:p w14:paraId="3CFEF524">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（签字）  </w:t>
      </w:r>
    </w:p>
    <w:p w14:paraId="3F2B6691">
      <w:pPr>
        <w:pageBreakBefore w:val="0"/>
        <w:kinsoku/>
        <w:wordWrap w:val="0"/>
        <w:bidi w:val="0"/>
        <w:spacing w:line="340" w:lineRule="atLeast"/>
        <w:ind w:firstLine="1920" w:firstLineChars="800"/>
        <w:rPr>
          <w:rFonts w:hint="default" w:ascii="Times New Roman" w:hAnsi="Times New Roman" w:cs="Times New Roman"/>
          <w:color w:val="auto"/>
          <w:sz w:val="24"/>
          <w:highlight w:val="none"/>
        </w:rPr>
        <w:sectPr>
          <w:headerReference r:id="rId31" w:type="default"/>
          <w:footerReference r:id="rId32"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07D6095F">
      <w:pPr>
        <w:pageBreakBefore w:val="0"/>
        <w:kinsoku/>
        <w:wordWrap w:val="0"/>
        <w:bidi w:val="0"/>
        <w:spacing w:line="340" w:lineRule="atLeast"/>
        <w:rPr>
          <w:rFonts w:hint="default" w:ascii="Times New Roman" w:hAnsi="Times New Roman" w:cs="Times New Roman"/>
          <w:b/>
          <w:bCs/>
          <w:color w:val="auto"/>
          <w:sz w:val="44"/>
          <w:highlight w:val="none"/>
        </w:rPr>
      </w:pPr>
    </w:p>
    <w:p w14:paraId="31670C83">
      <w:pPr>
        <w:pageBreakBefore w:val="0"/>
        <w:kinsoku/>
        <w:wordWrap w:val="0"/>
        <w:bidi w:val="0"/>
        <w:spacing w:line="400" w:lineRule="exact"/>
        <w:rPr>
          <w:rFonts w:hint="default" w:ascii="Times New Roman" w:hAnsi="Times New Roman" w:cs="Times New Roman"/>
          <w:color w:val="auto"/>
          <w:sz w:val="24"/>
          <w:highlight w:val="none"/>
        </w:rPr>
      </w:pPr>
    </w:p>
    <w:p w14:paraId="4698DAD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5B4446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813B16">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513AE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E7342B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2CDB162">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56"/>
          <w:szCs w:val="56"/>
          <w:highlight w:val="none"/>
        </w:rPr>
      </w:pPr>
    </w:p>
    <w:p w14:paraId="3F4884D9">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56"/>
          <w:szCs w:val="56"/>
          <w:highlight w:val="none"/>
        </w:rPr>
      </w:pPr>
    </w:p>
    <w:p w14:paraId="2E6FB1D1">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56"/>
          <w:szCs w:val="56"/>
          <w:highlight w:val="none"/>
        </w:rPr>
      </w:pPr>
    </w:p>
    <w:p w14:paraId="34A12DB1">
      <w:pPr>
        <w:pageBreakBefore w:val="0"/>
        <w:kinsoku/>
        <w:wordWrap w:val="0"/>
        <w:bidi w:val="0"/>
        <w:spacing w:before="0" w:after="480" w:afterLines="200" w:line="380" w:lineRule="atLeast"/>
        <w:ind w:firstLine="1680" w:firstLineChars="300"/>
        <w:jc w:val="both"/>
        <w:outlineLvl w:val="1"/>
        <w:rPr>
          <w:rFonts w:hint="default" w:ascii="Times New Roman" w:hAnsi="Times New Roman" w:eastAsia="黑体" w:cs="Times New Roman"/>
          <w:b w:val="0"/>
          <w:color w:val="auto"/>
          <w:sz w:val="32"/>
          <w:szCs w:val="32"/>
          <w:highlight w:val="none"/>
        </w:rPr>
        <w:sectPr>
          <w:headerReference r:id="rId33" w:type="default"/>
          <w:footerReference r:id="rId34"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527" w:name="_Toc15757"/>
      <w:bookmarkStart w:id="1528" w:name="_Toc234835927"/>
      <w:bookmarkStart w:id="1529" w:name="_Toc28723"/>
      <w:bookmarkStart w:id="1530" w:name="_Toc234833240"/>
      <w:bookmarkStart w:id="1531" w:name="_Toc14742"/>
      <w:bookmarkStart w:id="1532" w:name="_Toc3845"/>
      <w:r>
        <w:rPr>
          <w:rFonts w:hint="default" w:ascii="Times New Roman" w:hAnsi="Times New Roman" w:eastAsia="黑体" w:cs="Times New Roman"/>
          <w:color w:val="auto"/>
          <w:sz w:val="56"/>
          <w:szCs w:val="56"/>
          <w:highlight w:val="none"/>
        </w:rPr>
        <w:t>第五章</w:t>
      </w:r>
      <w:r>
        <w:rPr>
          <w:rFonts w:hint="eastAsia"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工程量清单</w:t>
      </w:r>
      <w:bookmarkEnd w:id="1527"/>
      <w:bookmarkEnd w:id="1528"/>
      <w:bookmarkEnd w:id="1529"/>
      <w:bookmarkEnd w:id="1530"/>
      <w:bookmarkStart w:id="1533" w:name="_Toc234833241"/>
      <w:r>
        <w:rPr>
          <w:rStyle w:val="48"/>
          <w:rFonts w:hint="default" w:ascii="Times New Roman" w:hAnsi="Times New Roman" w:eastAsia="黑体" w:cs="Times New Roman"/>
          <w:b w:val="0"/>
          <w:color w:val="auto"/>
          <w:sz w:val="56"/>
          <w:szCs w:val="56"/>
          <w:highlight w:val="none"/>
        </w:rPr>
        <w:footnoteReference w:id="44"/>
      </w:r>
      <w:bookmarkEnd w:id="1531"/>
      <w:bookmarkEnd w:id="1532"/>
    </w:p>
    <w:p w14:paraId="25F2D036">
      <w:pPr>
        <w:pageBreakBefore w:val="0"/>
        <w:kinsoku/>
        <w:wordWrap w:val="0"/>
        <w:bidi w:val="0"/>
        <w:spacing w:before="0" w:after="480" w:afterLines="200" w:line="380" w:lineRule="atLeast"/>
        <w:jc w:val="center"/>
        <w:outlineLvl w:val="9"/>
        <w:rPr>
          <w:rFonts w:hint="default" w:ascii="Times New Roman" w:hAnsi="Times New Roman" w:eastAsia="黑体" w:cs="Times New Roman"/>
          <w:b w:val="0"/>
          <w:color w:val="auto"/>
          <w:sz w:val="32"/>
          <w:szCs w:val="32"/>
          <w:highlight w:val="none"/>
        </w:rPr>
      </w:pPr>
      <w:bookmarkStart w:id="1534" w:name="_Toc2221"/>
      <w:bookmarkStart w:id="1535" w:name="_Toc9304"/>
      <w:bookmarkStart w:id="1536" w:name="_Toc3537"/>
      <w:r>
        <w:rPr>
          <w:rFonts w:hint="default" w:ascii="Times New Roman" w:hAnsi="Times New Roman" w:eastAsia="黑体" w:cs="Times New Roman"/>
          <w:b w:val="0"/>
          <w:color w:val="auto"/>
          <w:sz w:val="32"/>
          <w:szCs w:val="32"/>
          <w:highlight w:val="none"/>
        </w:rPr>
        <w:t>第五章</w:t>
      </w:r>
      <w:r>
        <w:rPr>
          <w:rFonts w:hint="eastAsia" w:eastAsia="黑体" w:cs="Times New Roman"/>
          <w:b w:val="0"/>
          <w:color w:val="auto"/>
          <w:sz w:val="32"/>
          <w:szCs w:val="32"/>
          <w:highlight w:val="none"/>
          <w:lang w:val="en-US" w:eastAsia="zh-CN"/>
        </w:rPr>
        <w:t xml:space="preserve"> </w:t>
      </w:r>
      <w:r>
        <w:rPr>
          <w:rFonts w:hint="default" w:ascii="Times New Roman" w:hAnsi="Times New Roman" w:eastAsia="黑体" w:cs="Times New Roman"/>
          <w:b w:val="0"/>
          <w:color w:val="auto"/>
          <w:sz w:val="32"/>
          <w:szCs w:val="32"/>
          <w:highlight w:val="none"/>
        </w:rPr>
        <w:t>工程量清单</w:t>
      </w:r>
      <w:bookmarkEnd w:id="1533"/>
      <w:bookmarkEnd w:id="1534"/>
      <w:bookmarkEnd w:id="1535"/>
      <w:bookmarkEnd w:id="1536"/>
    </w:p>
    <w:p w14:paraId="74AA9323">
      <w:pPr>
        <w:pStyle w:val="5"/>
        <w:pageBreakBefore w:val="0"/>
        <w:kinsoku/>
        <w:wordWrap w:val="0"/>
        <w:bidi w:val="0"/>
        <w:spacing w:before="240" w:beforeLines="100" w:after="240" w:afterLines="100" w:line="380" w:lineRule="atLeast"/>
        <w:jc w:val="both"/>
        <w:outlineLvl w:val="2"/>
        <w:rPr>
          <w:rFonts w:hint="default" w:ascii="Times New Roman" w:hAnsi="Times New Roman" w:eastAsia="黑体" w:cs="Times New Roman"/>
          <w:b w:val="0"/>
          <w:color w:val="auto"/>
          <w:sz w:val="28"/>
          <w:szCs w:val="28"/>
          <w:highlight w:val="none"/>
        </w:rPr>
      </w:pPr>
      <w:bookmarkStart w:id="1537" w:name="_Toc234833242"/>
      <w:bookmarkStart w:id="1538" w:name="_Toc21336"/>
      <w:bookmarkStart w:id="1539" w:name="_Toc32385"/>
      <w:bookmarkStart w:id="1540" w:name="_Toc7467"/>
      <w:bookmarkStart w:id="1541" w:name="_Toc27094"/>
      <w:bookmarkStart w:id="1542" w:name="_Toc30480"/>
      <w:bookmarkStart w:id="1543" w:name="_Toc18734"/>
      <w:bookmarkStart w:id="1544" w:name="_Toc234833246"/>
      <w:bookmarkStart w:id="1545" w:name="_Toc30213"/>
      <w:bookmarkStart w:id="1546" w:name="_Toc14229"/>
      <w:r>
        <w:rPr>
          <w:rFonts w:hint="default" w:ascii="Times New Roman" w:hAnsi="Times New Roman" w:eastAsia="黑体" w:cs="Times New Roman"/>
          <w:b w:val="0"/>
          <w:color w:val="auto"/>
          <w:sz w:val="28"/>
          <w:szCs w:val="28"/>
          <w:highlight w:val="none"/>
        </w:rPr>
        <w:t>1. 工程量清单说明</w:t>
      </w:r>
      <w:bookmarkEnd w:id="1537"/>
      <w:bookmarkEnd w:id="1538"/>
      <w:bookmarkEnd w:id="1539"/>
      <w:bookmarkEnd w:id="1540"/>
      <w:bookmarkEnd w:id="1541"/>
      <w:bookmarkEnd w:id="1542"/>
    </w:p>
    <w:p w14:paraId="7DF73EB9">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14FD2F4A">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 本工程量清单应与招标文件中的投标人须知、通用合同条款、专用合同条款、工程量清单计量规则、技术规范及图纸等一起阅读和理解。</w:t>
      </w:r>
    </w:p>
    <w:p w14:paraId="6CD07294">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87DBCF5">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 工程量清单各章是按第八章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工程量清单计量规则</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、第七章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技术规范</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的相应章次编号的，因此，工程量清单中各章的工程子目的范围与计量等应与</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工程量清单计量规则</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 xml:space="preserve"> </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技术规范</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相应章节的范围、计量与支付条款结合起来理解或解释。</w:t>
      </w:r>
    </w:p>
    <w:p w14:paraId="43318341">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 对作业和材料的一般说明或规定，未重复写入工程量清单内，在给工程量清单各子目标价前，应参阅第七章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技术规范</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的有关内容。</w:t>
      </w:r>
    </w:p>
    <w:p w14:paraId="4416225F">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 工程量清单中所列工程量的变动，丝毫不会降低或影响合同条款的效力，也不免除承包人按规定的标准进行施工和修复缺陷的责任。</w:t>
      </w:r>
    </w:p>
    <w:p w14:paraId="248D3D8F">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 图纸中所列的工程数量表及数量汇总表仅是提供资料，不是工程量清单的外延。当图纸与工程量清单所列数量不一致时，以工程量清单所列数量作为报价的依据。</w:t>
      </w:r>
    </w:p>
    <w:p w14:paraId="6B1344A4">
      <w:pPr>
        <w:pStyle w:val="5"/>
        <w:pageBreakBefore w:val="0"/>
        <w:kinsoku/>
        <w:wordWrap w:val="0"/>
        <w:bidi w:val="0"/>
        <w:spacing w:before="240" w:beforeLines="100" w:after="240" w:afterLines="100" w:line="380" w:lineRule="atLeast"/>
        <w:jc w:val="both"/>
        <w:outlineLvl w:val="2"/>
        <w:rPr>
          <w:rFonts w:hint="default" w:ascii="Times New Roman" w:hAnsi="Times New Roman" w:eastAsia="黑体" w:cs="Times New Roman"/>
          <w:b w:val="0"/>
          <w:color w:val="auto"/>
          <w:sz w:val="28"/>
          <w:szCs w:val="28"/>
          <w:highlight w:val="none"/>
          <w:lang w:val="en-US" w:eastAsia="zh-CN"/>
        </w:rPr>
      </w:pPr>
      <w:bookmarkStart w:id="1547" w:name="_Toc16502"/>
      <w:bookmarkStart w:id="1548" w:name="_Toc31685"/>
      <w:bookmarkStart w:id="1549" w:name="_Toc26778"/>
      <w:bookmarkStart w:id="1550" w:name="_Toc28425"/>
      <w:bookmarkStart w:id="1551" w:name="_Toc29747"/>
      <w:bookmarkStart w:id="1552" w:name="_Toc234833243"/>
      <w:r>
        <w:rPr>
          <w:rFonts w:hint="default" w:ascii="Times New Roman" w:hAnsi="Times New Roman" w:eastAsia="黑体" w:cs="Times New Roman"/>
          <w:b w:val="0"/>
          <w:color w:val="auto"/>
          <w:sz w:val="28"/>
          <w:szCs w:val="28"/>
          <w:highlight w:val="none"/>
          <w:lang w:val="en-US" w:eastAsia="zh-CN"/>
        </w:rPr>
        <w:t>2. 投标报价说明</w:t>
      </w:r>
      <w:bookmarkEnd w:id="1547"/>
      <w:bookmarkEnd w:id="1548"/>
      <w:bookmarkEnd w:id="1549"/>
      <w:bookmarkEnd w:id="1550"/>
      <w:bookmarkEnd w:id="1551"/>
      <w:bookmarkEnd w:id="1552"/>
    </w:p>
    <w:p w14:paraId="57C801BE">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 工程量清单中的每一子目须填入单价或价格，且只允许有一个报价。</w:t>
      </w:r>
    </w:p>
    <w:p w14:paraId="1408669A">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C5EA108">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353488D">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54BE21C6">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 承包人用于本合同工程的各类装备的提供、运输、维护、拆卸、拼装等支付的费用，已包括在工程量清单的单价与总额价之中。</w:t>
      </w:r>
    </w:p>
    <w:p w14:paraId="63E7945B">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 工程量清单中各项金额均以人民币（元）结算。</w:t>
      </w:r>
    </w:p>
    <w:p w14:paraId="4D473AD3">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 暂列金额（不含计日工总额）的数量及拟用子目的说明：</w:t>
      </w:r>
      <w:r>
        <w:rPr>
          <w:rFonts w:hint="default"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B46AEC1">
      <w:pPr>
        <w:pageBreakBefore w:val="0"/>
        <w:kinsoku/>
        <w:wordWrap w:val="0"/>
        <w:bidi w:val="0"/>
        <w:spacing w:line="400" w:lineRule="atLeast"/>
        <w:ind w:firstLine="540" w:firstLineChars="225"/>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2.8 暂估价的数量及拟用子目的说明：</w:t>
      </w:r>
      <w:r>
        <w:rPr>
          <w:rFonts w:hint="default"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DA4166C">
      <w:pPr>
        <w:pStyle w:val="5"/>
        <w:pageBreakBefore w:val="0"/>
        <w:kinsoku/>
        <w:wordWrap w:val="0"/>
        <w:bidi w:val="0"/>
        <w:spacing w:before="240" w:beforeLines="100" w:after="240" w:afterLines="100" w:line="380" w:lineRule="atLeast"/>
        <w:jc w:val="both"/>
        <w:outlineLvl w:val="2"/>
        <w:rPr>
          <w:rFonts w:hint="default" w:ascii="Times New Roman" w:hAnsi="Times New Roman" w:eastAsia="黑体" w:cs="Times New Roman"/>
          <w:b w:val="0"/>
          <w:color w:val="auto"/>
          <w:sz w:val="28"/>
          <w:szCs w:val="28"/>
          <w:highlight w:val="none"/>
          <w:lang w:val="en-US" w:eastAsia="zh-CN"/>
        </w:rPr>
      </w:pPr>
      <w:bookmarkStart w:id="1553" w:name="_Toc6852"/>
      <w:bookmarkStart w:id="1554" w:name="_Toc17693"/>
      <w:bookmarkStart w:id="1555" w:name="_Toc234833244"/>
      <w:bookmarkStart w:id="1556" w:name="_Toc17259"/>
      <w:bookmarkStart w:id="1557" w:name="_Toc3776"/>
      <w:bookmarkStart w:id="1558" w:name="_Toc19"/>
      <w:r>
        <w:rPr>
          <w:rFonts w:hint="default" w:ascii="Times New Roman" w:hAnsi="Times New Roman" w:eastAsia="黑体" w:cs="Times New Roman"/>
          <w:b w:val="0"/>
          <w:color w:val="auto"/>
          <w:sz w:val="28"/>
          <w:szCs w:val="28"/>
          <w:highlight w:val="none"/>
          <w:lang w:val="en-US" w:eastAsia="zh-CN"/>
        </w:rPr>
        <w:t>3. 计日工说明</w:t>
      </w:r>
      <w:bookmarkEnd w:id="1553"/>
      <w:bookmarkEnd w:id="1554"/>
      <w:bookmarkEnd w:id="1555"/>
      <w:bookmarkEnd w:id="1556"/>
      <w:bookmarkEnd w:id="1557"/>
      <w:bookmarkEnd w:id="1558"/>
    </w:p>
    <w:p w14:paraId="40D52F62">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59" w:name="_Toc4285"/>
      <w:r>
        <w:rPr>
          <w:rFonts w:hint="default" w:ascii="Times New Roman" w:hAnsi="Times New Roman" w:cs="Times New Roman"/>
          <w:color w:val="auto"/>
          <w:sz w:val="24"/>
          <w:highlight w:val="none"/>
        </w:rPr>
        <w:t>3.1 总则</w:t>
      </w:r>
      <w:bookmarkEnd w:id="1559"/>
    </w:p>
    <w:p w14:paraId="11ED0BA7">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（1）本说明应参照通用合同条款第15.7款一并理解。</w:t>
      </w:r>
    </w:p>
    <w:p w14:paraId="332E422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（2）未经监理人书面指令，任何工程不得按计日工施工；接到监理人按计日工施工的书面指令，承包人也不得拒绝。</w:t>
      </w:r>
    </w:p>
    <w:p w14:paraId="244A2C99">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0FE8FD8D">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（4）计日工不调价。</w:t>
      </w:r>
    </w:p>
    <w:p w14:paraId="141FB53A">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60" w:name="_Toc20973"/>
      <w:r>
        <w:rPr>
          <w:rFonts w:hint="default" w:ascii="Times New Roman" w:hAnsi="Times New Roman" w:cs="Times New Roman"/>
          <w:color w:val="auto"/>
          <w:sz w:val="24"/>
          <w:highlight w:val="none"/>
        </w:rPr>
        <w:t>3.2 计日工劳务</w:t>
      </w:r>
      <w:bookmarkEnd w:id="1560"/>
    </w:p>
    <w:p w14:paraId="37C66B9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134A059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（2）承包人可以得到用于计日工劳务的全部工时的支付，此支付按承包人填报的</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计日工劳务单价表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所列单价计算，该单价应包括基本单价及承包人的管理费、税费、利润等所有附加费，说明如下：</w:t>
      </w:r>
    </w:p>
    <w:p w14:paraId="67332940">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 劳务基本单价包括：承包人劳务的全部直接费用，如：工资、加班费、津贴、福利费及劳动保护费等。</w:t>
      </w:r>
    </w:p>
    <w:p w14:paraId="6181D141">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 承包人的利润、管理、质检、保险、税费；易耗品的使用，水电及照明费，工作台、脚手架、临时设施费，手动机具与工具的使用及维修，以及上述各项伴随而来的费用。</w:t>
      </w:r>
    </w:p>
    <w:p w14:paraId="2798D1E5">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61" w:name="_Toc6706"/>
      <w:r>
        <w:rPr>
          <w:rFonts w:hint="default" w:ascii="Times New Roman" w:hAnsi="Times New Roman" w:cs="Times New Roman"/>
          <w:color w:val="auto"/>
          <w:sz w:val="24"/>
          <w:highlight w:val="none"/>
        </w:rPr>
        <w:t>3.3 计日工材料</w:t>
      </w:r>
      <w:bookmarkEnd w:id="1561"/>
    </w:p>
    <w:p w14:paraId="57D5BAA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承包人可以得到计日工使用的材料费用（上述3.2款已计入劳务费内的材料费用除外）的支付，此费用按承包人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计日工材料单价表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中所填报的单价计算，该单价应包括基本单价及承包人的管理费、税费、利润等所有附加费，说明如下：</w:t>
      </w:r>
    </w:p>
    <w:p w14:paraId="784D4256">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（1）材料基本单价按供货价加运杂费（到达承包人现场仓库）、保险费、仓库管理费以及运输损耗等计算；</w:t>
      </w:r>
    </w:p>
    <w:p w14:paraId="78A9A03B">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（2）承包人的利润、管理、质检、保险、税费及其他附加费；</w:t>
      </w:r>
    </w:p>
    <w:p w14:paraId="083EF417">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（3）从现场运至使用地点的人工费和施工机械使用费不包括在上述基本单价内。</w:t>
      </w:r>
    </w:p>
    <w:p w14:paraId="6419F4B3">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62" w:name="_Toc4756"/>
      <w:r>
        <w:rPr>
          <w:rFonts w:hint="default" w:ascii="Times New Roman" w:hAnsi="Times New Roman" w:cs="Times New Roman"/>
          <w:color w:val="auto"/>
          <w:sz w:val="24"/>
          <w:highlight w:val="none"/>
        </w:rPr>
        <w:t>3.4 计日工施工机械</w:t>
      </w:r>
      <w:bookmarkEnd w:id="1562"/>
    </w:p>
    <w:p w14:paraId="6D4860E0">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（1）承包人可以得到用于计日工作的施工机械费用的支付，该费用按承包人填报的</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计日工施工机械单价表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中的租价计算。该租价应包括施工机械的折旧、利息、维修、保养、零配件、油燃料、保险和其他消耗品的费用以及全部有关使用这些机械的管理费、税费、利润和司机与助手的劳务费等费用。</w:t>
      </w:r>
    </w:p>
    <w:p w14:paraId="153DC117">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505D5221">
      <w:pPr>
        <w:pStyle w:val="5"/>
        <w:pageBreakBefore w:val="0"/>
        <w:kinsoku/>
        <w:wordWrap w:val="0"/>
        <w:bidi w:val="0"/>
        <w:spacing w:before="360" w:beforeLines="150" w:after="240" w:afterLines="100" w:line="380" w:lineRule="atLeast"/>
        <w:jc w:val="both"/>
        <w:outlineLvl w:val="2"/>
        <w:rPr>
          <w:rFonts w:hint="default" w:ascii="Times New Roman" w:hAnsi="Times New Roman" w:eastAsia="黑体" w:cs="Times New Roman"/>
          <w:b w:val="0"/>
          <w:color w:val="auto"/>
          <w:sz w:val="28"/>
          <w:szCs w:val="28"/>
          <w:highlight w:val="none"/>
        </w:rPr>
      </w:pPr>
      <w:bookmarkStart w:id="1563" w:name="_Toc27598"/>
      <w:bookmarkStart w:id="1564" w:name="_Toc28230"/>
      <w:bookmarkStart w:id="1565" w:name="_Toc8597"/>
      <w:bookmarkStart w:id="1566" w:name="_Toc12492"/>
      <w:bookmarkStart w:id="1567" w:name="_Toc2204"/>
      <w:bookmarkStart w:id="1568" w:name="_Toc234833245"/>
      <w:r>
        <w:rPr>
          <w:rFonts w:hint="default" w:ascii="Times New Roman" w:hAnsi="Times New Roman" w:eastAsia="黑体" w:cs="Times New Roman"/>
          <w:b w:val="0"/>
          <w:color w:val="auto"/>
          <w:sz w:val="28"/>
          <w:szCs w:val="28"/>
          <w:highlight w:val="none"/>
        </w:rPr>
        <w:t>4. 其他说明</w:t>
      </w:r>
      <w:bookmarkEnd w:id="1563"/>
      <w:bookmarkEnd w:id="1564"/>
      <w:bookmarkEnd w:id="1565"/>
      <w:bookmarkEnd w:id="1566"/>
      <w:bookmarkEnd w:id="1567"/>
      <w:bookmarkEnd w:id="1568"/>
    </w:p>
    <w:p w14:paraId="17BF6E77">
      <w:pPr>
        <w:rPr>
          <w:rFonts w:hint="eastAsia" w:eastAsia="黑体" w:cs="Times New Roman"/>
          <w:b w:val="0"/>
          <w:color w:val="auto"/>
          <w:sz w:val="28"/>
          <w:szCs w:val="28"/>
          <w:highlight w:val="none"/>
          <w:lang w:val="en-US" w:eastAsia="zh-CN"/>
        </w:rPr>
      </w:pPr>
      <w:r>
        <w:rPr>
          <w:rFonts w:hint="eastAsia" w:eastAsia="黑体" w:cs="Times New Roman"/>
          <w:b w:val="0"/>
          <w:color w:val="auto"/>
          <w:sz w:val="28"/>
          <w:szCs w:val="28"/>
          <w:highlight w:val="none"/>
          <w:lang w:val="en-US" w:eastAsia="zh-CN"/>
        </w:rPr>
        <w:t>无</w:t>
      </w:r>
    </w:p>
    <w:p w14:paraId="316D970D">
      <w:pPr>
        <w:rPr>
          <w:rFonts w:hint="default" w:ascii="Times New Roman" w:hAnsi="Times New Roman" w:eastAsia="黑体" w:cs="Times New Roman"/>
          <w:b w:val="0"/>
          <w:color w:val="auto"/>
          <w:sz w:val="28"/>
          <w:szCs w:val="28"/>
          <w:highlight w:val="none"/>
        </w:rPr>
      </w:pPr>
    </w:p>
    <w:p w14:paraId="13966896">
      <w:pPr>
        <w:pStyle w:val="5"/>
        <w:pageBreakBefore w:val="0"/>
        <w:kinsoku/>
        <w:wordWrap w:val="0"/>
        <w:bidi w:val="0"/>
        <w:spacing w:before="240" w:beforeLines="100" w:after="240" w:afterLines="100" w:line="380" w:lineRule="atLeast"/>
        <w:jc w:val="both"/>
        <w:outlineLvl w:val="2"/>
        <w:rPr>
          <w:rFonts w:hint="eastAsia" w:eastAsia="黑体" w:cs="Times New Roman"/>
          <w:color w:val="auto"/>
          <w:sz w:val="29"/>
          <w:szCs w:val="29"/>
          <w:highlight w:val="none"/>
          <w:lang w:val="en-US" w:eastAsia="zh-CN"/>
        </w:rPr>
      </w:pPr>
      <w:bookmarkStart w:id="1569" w:name="_Toc8596"/>
      <w:bookmarkStart w:id="1570" w:name="_Toc26230"/>
      <w:r>
        <w:rPr>
          <w:rFonts w:hint="default" w:ascii="Times New Roman" w:hAnsi="Times New Roman" w:eastAsia="黑体" w:cs="Times New Roman"/>
          <w:b w:val="0"/>
          <w:color w:val="auto"/>
          <w:sz w:val="28"/>
          <w:szCs w:val="28"/>
          <w:highlight w:val="none"/>
          <w:lang w:val="en-US" w:eastAsia="zh-CN"/>
        </w:rPr>
        <w:t>5.工程量清单</w:t>
      </w:r>
      <w:bookmarkEnd w:id="1543"/>
      <w:bookmarkEnd w:id="1544"/>
      <w:bookmarkEnd w:id="1545"/>
      <w:bookmarkEnd w:id="1546"/>
      <w:bookmarkEnd w:id="1569"/>
      <w:bookmarkEnd w:id="1570"/>
    </w:p>
    <w:p w14:paraId="2D3A36D8">
      <w:pPr>
        <w:shd w:val="clear"/>
        <w:rPr>
          <w:rFonts w:hint="default" w:eastAsia="黑体" w:cs="Times New Roman"/>
          <w:b w:val="0"/>
          <w:color w:val="auto"/>
          <w:sz w:val="28"/>
          <w:szCs w:val="28"/>
          <w:highlight w:val="none"/>
          <w:lang w:val="en-US" w:eastAsia="zh-CN"/>
        </w:rPr>
      </w:pPr>
      <w:r>
        <w:rPr>
          <w:rFonts w:hint="default" w:eastAsia="黑体" w:cs="Times New Roman"/>
          <w:b w:val="0"/>
          <w:color w:val="auto"/>
          <w:sz w:val="28"/>
          <w:szCs w:val="28"/>
          <w:highlight w:val="none"/>
          <w:lang w:val="en-US" w:eastAsia="zh-CN"/>
        </w:rPr>
        <w:t>（另册）</w:t>
      </w:r>
    </w:p>
    <w:p w14:paraId="72CCB79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BA45DFD">
      <w:pP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29"/>
          <w:szCs w:val="29"/>
          <w:highlight w:val="none"/>
        </w:rPr>
        <w:br w:type="page"/>
      </w:r>
    </w:p>
    <w:p w14:paraId="09AE00E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044661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A7343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485556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F2FCD6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10230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46FBEC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9F096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DF923B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02BD80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E256A4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8B0457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4888A01">
      <w:pPr>
        <w:pageBreakBefore w:val="0"/>
        <w:kinsoku/>
        <w:wordWrap w:val="0"/>
        <w:bidi w:val="0"/>
        <w:jc w:val="center"/>
        <w:outlineLvl w:val="0"/>
        <w:rPr>
          <w:rFonts w:hint="default" w:ascii="Times New Roman" w:hAnsi="Times New Roman" w:eastAsia="黑体" w:cs="Times New Roman"/>
          <w:color w:val="auto"/>
          <w:sz w:val="76"/>
          <w:szCs w:val="76"/>
          <w:highlight w:val="none"/>
        </w:rPr>
      </w:pPr>
      <w:bookmarkStart w:id="1571" w:name="_Toc234833247"/>
      <w:bookmarkStart w:id="1572" w:name="_Toc7411"/>
      <w:bookmarkStart w:id="1573" w:name="_Toc9041"/>
      <w:bookmarkStart w:id="1574" w:name="_Toc21475"/>
      <w:bookmarkStart w:id="1575" w:name="_Toc30494"/>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二</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1571"/>
      <w:bookmarkEnd w:id="1572"/>
      <w:bookmarkEnd w:id="1573"/>
      <w:bookmarkEnd w:id="1574"/>
      <w:bookmarkEnd w:id="1575"/>
    </w:p>
    <w:p w14:paraId="556346CB">
      <w:pPr>
        <w:pageBreakBefore w:val="0"/>
        <w:kinsoku/>
        <w:wordWrap w:val="0"/>
        <w:bidi w:val="0"/>
        <w:jc w:val="center"/>
        <w:rPr>
          <w:rFonts w:hint="default" w:ascii="Times New Roman" w:hAnsi="Times New Roman" w:eastAsia="黑体" w:cs="Times New Roman"/>
          <w:color w:val="auto"/>
          <w:sz w:val="76"/>
          <w:szCs w:val="76"/>
          <w:highlight w:val="none"/>
        </w:rPr>
      </w:pPr>
    </w:p>
    <w:p w14:paraId="2AEFA81B">
      <w:pPr>
        <w:pageBreakBefore w:val="0"/>
        <w:kinsoku/>
        <w:wordWrap w:val="0"/>
        <w:bidi w:val="0"/>
        <w:jc w:val="center"/>
        <w:rPr>
          <w:rFonts w:hint="default" w:ascii="Times New Roman" w:hAnsi="Times New Roman" w:eastAsia="黑体" w:cs="Times New Roman"/>
          <w:color w:val="auto"/>
          <w:sz w:val="76"/>
          <w:szCs w:val="76"/>
          <w:highlight w:val="none"/>
        </w:rPr>
        <w:sectPr>
          <w:headerReference r:id="rId35" w:type="default"/>
          <w:footerReference r:id="rId37" w:type="default"/>
          <w:headerReference r:id="rId36" w:type="even"/>
          <w:footerReference r:id="rId38"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3DA96CC">
      <w:pPr>
        <w:pageBreakBefore w:val="0"/>
        <w:kinsoku/>
        <w:wordWrap w:val="0"/>
        <w:bidi w:val="0"/>
        <w:jc w:val="center"/>
        <w:rPr>
          <w:rFonts w:hint="default" w:ascii="Times New Roman" w:hAnsi="Times New Roman" w:eastAsia="黑体" w:cs="Times New Roman"/>
          <w:color w:val="auto"/>
          <w:sz w:val="76"/>
          <w:szCs w:val="76"/>
          <w:highlight w:val="none"/>
        </w:rPr>
      </w:pPr>
    </w:p>
    <w:p w14:paraId="122814CF">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0FA241E3">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363FBE4D">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2184957E">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65414D6C">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3DE6B7C7">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0629B61A">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241704FF">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1B7B7A06">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216BB743">
      <w:pPr>
        <w:pStyle w:val="3"/>
        <w:pageBreakBefore w:val="0"/>
        <w:kinsoku/>
        <w:wordWrap w:val="0"/>
        <w:bidi w:val="0"/>
        <w:spacing w:before="360" w:beforeLines="150" w:after="240" w:afterLines="100" w:line="380" w:lineRule="atLeast"/>
        <w:jc w:val="center"/>
        <w:outlineLvl w:val="1"/>
        <w:rPr>
          <w:rFonts w:hint="default" w:ascii="Times New Roman" w:hAnsi="Times New Roman" w:eastAsia="黑体" w:cs="Times New Roman"/>
          <w:b w:val="0"/>
          <w:i w:val="0"/>
          <w:iCs w:val="0"/>
          <w:color w:val="auto"/>
          <w:sz w:val="56"/>
          <w:szCs w:val="56"/>
          <w:highlight w:val="none"/>
        </w:rPr>
      </w:pPr>
      <w:bookmarkStart w:id="1576" w:name="_Toc15063"/>
      <w:bookmarkStart w:id="1577" w:name="_Toc234833248"/>
      <w:bookmarkStart w:id="1578" w:name="_Toc4896"/>
      <w:bookmarkStart w:id="1579" w:name="_Toc16740"/>
      <w:bookmarkStart w:id="1580" w:name="_Toc16205"/>
      <w:r>
        <w:rPr>
          <w:rFonts w:hint="default" w:ascii="Times New Roman" w:hAnsi="Times New Roman" w:eastAsia="黑体" w:cs="Times New Roman"/>
          <w:b w:val="0"/>
          <w:i w:val="0"/>
          <w:iCs w:val="0"/>
          <w:color w:val="auto"/>
          <w:sz w:val="56"/>
          <w:szCs w:val="56"/>
          <w:highlight w:val="none"/>
        </w:rPr>
        <w:t>第六章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图纸（另册）</w:t>
      </w:r>
      <w:bookmarkEnd w:id="1576"/>
      <w:bookmarkEnd w:id="1577"/>
      <w:bookmarkEnd w:id="1578"/>
      <w:bookmarkEnd w:id="1579"/>
      <w:bookmarkEnd w:id="1580"/>
    </w:p>
    <w:p w14:paraId="4D1C4E11">
      <w:pPr>
        <w:pStyle w:val="2"/>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80CBD88">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pPr>
    </w:p>
    <w:p w14:paraId="106B60B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A47834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CA8583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C4328E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9FBD8F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C5CFA2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D5E4A0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C6639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F36F95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8C6291D">
      <w:pPr>
        <w:pageBreakBefore w:val="0"/>
        <w:kinsoku/>
        <w:wordWrap w:val="0"/>
        <w:bidi w:val="0"/>
        <w:jc w:val="center"/>
        <w:outlineLvl w:val="0"/>
        <w:rPr>
          <w:rFonts w:hint="default" w:ascii="Times New Roman" w:hAnsi="Times New Roman" w:eastAsia="黑体" w:cs="Times New Roman"/>
          <w:color w:val="auto"/>
          <w:sz w:val="76"/>
          <w:szCs w:val="76"/>
          <w:highlight w:val="none"/>
        </w:rPr>
      </w:pPr>
      <w:bookmarkStart w:id="1581" w:name="_Toc234833249"/>
      <w:bookmarkStart w:id="1582" w:name="_Toc1328"/>
      <w:bookmarkStart w:id="1583" w:name="_Toc5182"/>
      <w:bookmarkStart w:id="1584" w:name="_Toc26586"/>
      <w:bookmarkStart w:id="1585" w:name="_Toc13842"/>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三</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1581"/>
      <w:r>
        <w:rPr>
          <w:rFonts w:hint="default" w:ascii="Times New Roman" w:hAnsi="Times New Roman" w:eastAsia="黑体" w:cs="Times New Roman"/>
          <w:color w:val="auto"/>
          <w:sz w:val="76"/>
          <w:szCs w:val="76"/>
          <w:highlight w:val="none"/>
        </w:rPr>
        <w:br w:type="page"/>
      </w:r>
      <w:bookmarkEnd w:id="1582"/>
      <w:bookmarkEnd w:id="1583"/>
      <w:bookmarkEnd w:id="1584"/>
      <w:bookmarkEnd w:id="1585"/>
    </w:p>
    <w:p w14:paraId="0695BDF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550DDE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0EBF86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CFA239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517FC7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495687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79E9F1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BF13A1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C1890F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3DA3A34">
      <w:pPr>
        <w:pStyle w:val="3"/>
        <w:pageBreakBefore w:val="0"/>
        <w:kinsoku/>
        <w:wordWrap w:val="0"/>
        <w:bidi w:val="0"/>
        <w:spacing w:before="360" w:beforeLines="150" w:after="240" w:afterLines="100" w:line="380" w:lineRule="atLeast"/>
        <w:jc w:val="center"/>
        <w:rPr>
          <w:rFonts w:hint="default" w:ascii="Times New Roman" w:hAnsi="Times New Roman" w:eastAsia="黑体" w:cs="Times New Roman"/>
          <w:b w:val="0"/>
          <w:color w:val="auto"/>
          <w:sz w:val="56"/>
          <w:szCs w:val="56"/>
          <w:highlight w:val="none"/>
        </w:rPr>
      </w:pPr>
      <w:bookmarkStart w:id="1586" w:name="_Toc234833250"/>
      <w:bookmarkStart w:id="1587" w:name="_Toc15033"/>
      <w:bookmarkStart w:id="1588" w:name="_Toc15579"/>
      <w:bookmarkStart w:id="1589" w:name="_Toc16845"/>
      <w:bookmarkStart w:id="1590" w:name="_Toc29070"/>
      <w:r>
        <w:rPr>
          <w:rFonts w:hint="default" w:ascii="Times New Roman" w:hAnsi="Times New Roman" w:eastAsia="黑体" w:cs="Times New Roman"/>
          <w:b w:val="0"/>
          <w:i w:val="0"/>
          <w:iCs w:val="0"/>
          <w:color w:val="auto"/>
          <w:sz w:val="56"/>
          <w:szCs w:val="56"/>
          <w:highlight w:val="none"/>
        </w:rPr>
        <w:t>第七章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技术规范（另册）</w:t>
      </w:r>
      <w:bookmarkEnd w:id="1586"/>
      <w:bookmarkEnd w:id="1587"/>
      <w:bookmarkEnd w:id="1588"/>
      <w:r>
        <w:rPr>
          <w:rFonts w:hint="default" w:ascii="Times New Roman" w:hAnsi="Times New Roman" w:eastAsia="黑体" w:cs="Times New Roman"/>
          <w:b w:val="0"/>
          <w:bCs w:val="0"/>
          <w:i w:val="0"/>
          <w:iCs w:val="0"/>
          <w:color w:val="auto"/>
          <w:sz w:val="28"/>
          <w:szCs w:val="36"/>
          <w:highlight w:val="none"/>
          <w:vertAlign w:val="superscript"/>
        </w:rPr>
        <w:footnoteReference w:id="45"/>
      </w:r>
      <w:bookmarkEnd w:id="1589"/>
      <w:bookmarkEnd w:id="1590"/>
    </w:p>
    <w:p w14:paraId="76A7601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A71B386">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BE7CC5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D14957B">
      <w:pPr>
        <w:pageBreakBefore w:val="0"/>
        <w:kinsoku/>
        <w:wordWrap w:val="0"/>
        <w:bidi w:val="0"/>
        <w:jc w:val="center"/>
        <w:rPr>
          <w:rFonts w:hint="default" w:ascii="Times New Roman" w:hAnsi="Times New Roman" w:eastAsia="黑体" w:cs="Times New Roman"/>
          <w:color w:val="auto"/>
          <w:sz w:val="76"/>
          <w:szCs w:val="76"/>
          <w:highlight w:val="none"/>
        </w:rPr>
      </w:pPr>
      <w:r>
        <w:rPr>
          <w:rFonts w:hint="default" w:ascii="Times New Roman" w:hAnsi="Times New Roman" w:eastAsia="黑体" w:cs="Times New Roman"/>
          <w:color w:val="auto"/>
          <w:sz w:val="20"/>
          <w:szCs w:val="20"/>
          <w:highlight w:val="none"/>
        </w:rPr>
        <w:br w:type="page"/>
      </w:r>
    </w:p>
    <w:p w14:paraId="422EA93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0A2342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33FF4A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228E22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4F2D2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5DA726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05072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8611DE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BE2583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4F735AC">
      <w:pPr>
        <w:pStyle w:val="3"/>
        <w:pageBreakBefore w:val="0"/>
        <w:kinsoku/>
        <w:wordWrap w:val="0"/>
        <w:bidi w:val="0"/>
        <w:spacing w:before="360" w:beforeLines="150" w:after="240" w:afterLines="100" w:line="380" w:lineRule="atLeast"/>
        <w:jc w:val="center"/>
        <w:rPr>
          <w:rFonts w:hint="default" w:ascii="Times New Roman" w:hAnsi="Times New Roman" w:eastAsia="黑体" w:cs="Times New Roman"/>
          <w:b w:val="0"/>
          <w:color w:val="auto"/>
          <w:sz w:val="56"/>
          <w:szCs w:val="56"/>
          <w:highlight w:val="none"/>
        </w:rPr>
      </w:pPr>
      <w:bookmarkStart w:id="1591" w:name="_Toc31352"/>
      <w:bookmarkStart w:id="1592" w:name="_Toc11545"/>
      <w:bookmarkStart w:id="1593" w:name="_Toc12046"/>
      <w:bookmarkStart w:id="1594" w:name="_Toc7638"/>
      <w:r>
        <w:rPr>
          <w:rFonts w:hint="default" w:ascii="Times New Roman" w:hAnsi="Times New Roman" w:eastAsia="黑体" w:cs="Times New Roman"/>
          <w:b w:val="0"/>
          <w:i w:val="0"/>
          <w:iCs w:val="0"/>
          <w:color w:val="auto"/>
          <w:sz w:val="56"/>
          <w:szCs w:val="56"/>
          <w:highlight w:val="none"/>
        </w:rPr>
        <w:t>第八章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工程量清单计量规则</w:t>
      </w:r>
      <w:bookmarkEnd w:id="1591"/>
      <w:bookmarkEnd w:id="1592"/>
      <w:r>
        <w:rPr>
          <w:rFonts w:hint="default" w:ascii="Times New Roman" w:hAnsi="Times New Roman" w:eastAsia="黑体" w:cs="Times New Roman"/>
          <w:b w:val="0"/>
          <w:bCs w:val="0"/>
          <w:i w:val="0"/>
          <w:iCs w:val="0"/>
          <w:color w:val="auto"/>
          <w:sz w:val="28"/>
          <w:szCs w:val="36"/>
          <w:highlight w:val="none"/>
          <w:vertAlign w:val="superscript"/>
        </w:rPr>
        <w:footnoteReference w:id="46"/>
      </w:r>
      <w:bookmarkEnd w:id="1593"/>
      <w:bookmarkEnd w:id="1594"/>
    </w:p>
    <w:p w14:paraId="6A576EA8">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color w:val="auto"/>
          <w:sz w:val="56"/>
          <w:szCs w:val="56"/>
          <w:highlight w:val="none"/>
        </w:rPr>
      </w:pPr>
      <w:bookmarkStart w:id="1595" w:name="_Toc501257474"/>
      <w:bookmarkStart w:id="1596" w:name="_Toc470752702"/>
      <w:r>
        <w:rPr>
          <w:rFonts w:hint="default" w:ascii="Times New Roman" w:hAnsi="Times New Roman" w:eastAsia="黑体" w:cs="Times New Roman"/>
          <w:b w:val="0"/>
          <w:color w:val="auto"/>
          <w:sz w:val="56"/>
          <w:szCs w:val="56"/>
          <w:highlight w:val="none"/>
        </w:rPr>
        <w:t>（另册）</w:t>
      </w:r>
      <w:bookmarkEnd w:id="1595"/>
      <w:bookmarkEnd w:id="1596"/>
    </w:p>
    <w:p w14:paraId="4A333769">
      <w:pPr>
        <w:spacing w:after="240" w:line="360" w:lineRule="auto"/>
        <w:ind w:left="2100" w:leftChars="1000"/>
        <w:jc w:val="both"/>
        <w:rPr>
          <w:rFonts w:hint="default" w:ascii="Times New Roman" w:hAnsi="Times New Roman" w:eastAsia="黑体" w:cs="Times New Roman"/>
          <w:b w:val="0"/>
          <w:bCs w:val="0"/>
          <w:color w:val="auto"/>
          <w:sz w:val="28"/>
          <w:szCs w:val="36"/>
          <w:highlight w:val="none"/>
        </w:rPr>
      </w:pPr>
    </w:p>
    <w:p w14:paraId="4757F57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F8B045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122E35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942CE7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EDD04F2">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0C204DF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20"/>
          <w:szCs w:val="20"/>
          <w:highlight w:val="none"/>
        </w:rPr>
        <w:br w:type="page"/>
      </w:r>
    </w:p>
    <w:p w14:paraId="2E1EBF2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70301C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6F6855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5E468B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26762B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C8A36B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72FF3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C160D5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62CD9B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20E016">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BACD21D">
      <w:pPr>
        <w:pageBreakBefore w:val="0"/>
        <w:kinsoku/>
        <w:wordWrap w:val="0"/>
        <w:bidi w:val="0"/>
        <w:jc w:val="center"/>
        <w:outlineLvl w:val="0"/>
        <w:rPr>
          <w:rFonts w:hint="default" w:ascii="Times New Roman" w:hAnsi="Times New Roman" w:eastAsia="黑体" w:cs="Times New Roman"/>
          <w:color w:val="auto"/>
          <w:sz w:val="29"/>
          <w:szCs w:val="29"/>
          <w:highlight w:val="none"/>
        </w:rPr>
      </w:pPr>
      <w:bookmarkStart w:id="1597" w:name="_Toc234833251"/>
      <w:bookmarkStart w:id="1598" w:name="_Toc30898"/>
      <w:bookmarkStart w:id="1599" w:name="_Toc27378"/>
      <w:bookmarkStart w:id="1600" w:name="_Toc2682"/>
      <w:bookmarkStart w:id="1601" w:name="_Toc13633"/>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四</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1597"/>
      <w:r>
        <w:rPr>
          <w:rFonts w:hint="default" w:ascii="Times New Roman" w:hAnsi="Times New Roman" w:eastAsia="黑体" w:cs="Times New Roman"/>
          <w:color w:val="auto"/>
          <w:sz w:val="76"/>
          <w:szCs w:val="76"/>
          <w:highlight w:val="none"/>
        </w:rPr>
        <w:br w:type="page"/>
      </w:r>
      <w:bookmarkEnd w:id="1598"/>
      <w:bookmarkEnd w:id="1599"/>
      <w:bookmarkEnd w:id="1600"/>
      <w:bookmarkEnd w:id="1601"/>
    </w:p>
    <w:p w14:paraId="35F22E7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BF91E4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A01D33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519D1C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8C3E3E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DE567F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FA5D38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9FD4D8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E53AC4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6971F2E">
      <w:pPr>
        <w:pStyle w:val="3"/>
        <w:pageBreakBefore w:val="0"/>
        <w:kinsoku/>
        <w:wordWrap w:val="0"/>
        <w:bidi w:val="0"/>
        <w:spacing w:before="360" w:beforeLines="150" w:after="240" w:afterLines="100" w:line="380" w:lineRule="atLeast"/>
        <w:jc w:val="center"/>
        <w:outlineLvl w:val="1"/>
        <w:rPr>
          <w:rFonts w:hint="default" w:ascii="Times New Roman" w:hAnsi="Times New Roman" w:eastAsia="黑体" w:cs="Times New Roman"/>
          <w:b w:val="0"/>
          <w:i w:val="0"/>
          <w:iCs w:val="0"/>
          <w:color w:val="auto"/>
          <w:sz w:val="56"/>
          <w:szCs w:val="56"/>
          <w:highlight w:val="none"/>
        </w:rPr>
      </w:pPr>
      <w:bookmarkStart w:id="1602" w:name="_Toc12459"/>
      <w:bookmarkStart w:id="1603" w:name="_Toc234833252"/>
      <w:bookmarkStart w:id="1604" w:name="_Toc12509"/>
      <w:bookmarkStart w:id="1605" w:name="_Toc14222"/>
      <w:bookmarkStart w:id="1606" w:name="_Toc29271"/>
      <w:r>
        <w:rPr>
          <w:rFonts w:hint="default" w:ascii="Times New Roman" w:hAnsi="Times New Roman" w:eastAsia="黑体" w:cs="Times New Roman"/>
          <w:b w:val="0"/>
          <w:i w:val="0"/>
          <w:iCs w:val="0"/>
          <w:color w:val="auto"/>
          <w:sz w:val="56"/>
          <w:szCs w:val="56"/>
          <w:highlight w:val="none"/>
        </w:rPr>
        <w:t>第九章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投标文件格式</w:t>
      </w:r>
      <w:r>
        <w:rPr>
          <w:rStyle w:val="48"/>
          <w:rFonts w:hint="default" w:ascii="Times New Roman" w:hAnsi="Times New Roman" w:eastAsia="黑体" w:cs="Times New Roman"/>
          <w:i w:val="0"/>
          <w:iCs w:val="0"/>
          <w:color w:val="auto"/>
          <w:sz w:val="56"/>
          <w:szCs w:val="56"/>
          <w:highlight w:val="none"/>
        </w:rPr>
        <w:footnoteReference w:id="47"/>
      </w:r>
      <w:bookmarkEnd w:id="1602"/>
      <w:bookmarkEnd w:id="1603"/>
      <w:bookmarkEnd w:id="1604"/>
      <w:bookmarkEnd w:id="1605"/>
      <w:bookmarkEnd w:id="1606"/>
    </w:p>
    <w:p w14:paraId="5AB668CE">
      <w:pPr>
        <w:pageBreakBefore w:val="0"/>
        <w:kinsoku/>
        <w:wordWrap w:val="0"/>
        <w:bidi w:val="0"/>
        <w:spacing w:line="440" w:lineRule="exact"/>
        <w:jc w:val="center"/>
        <w:rPr>
          <w:rFonts w:hint="default" w:ascii="Times New Roman" w:hAnsi="Times New Roman" w:eastAsia="黑体" w:cs="Times New Roman"/>
          <w:color w:val="auto"/>
          <w:sz w:val="36"/>
          <w:szCs w:val="36"/>
          <w:highlight w:val="none"/>
        </w:rPr>
      </w:pPr>
    </w:p>
    <w:p w14:paraId="09495DCF">
      <w:pPr>
        <w:pageBreakBefore w:val="0"/>
        <w:kinsoku/>
        <w:wordWrap w:val="0"/>
        <w:bidi w:val="0"/>
        <w:spacing w:line="440" w:lineRule="exact"/>
        <w:rPr>
          <w:rFonts w:hint="eastAsia" w:ascii="Times New Roman" w:hAnsi="Times New Roman" w:eastAsia="黑体" w:cs="Times New Roman"/>
          <w:color w:val="auto"/>
          <w:sz w:val="20"/>
          <w:szCs w:val="20"/>
          <w:highlight w:val="none"/>
          <w:lang w:eastAsia="zh-CN"/>
        </w:rPr>
      </w:pPr>
    </w:p>
    <w:p w14:paraId="6FA8FCE0">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6B73A0E1">
      <w:pPr>
        <w:pageBreakBefore w:val="0"/>
        <w:kinsoku/>
        <w:wordWrap w:val="0"/>
        <w:bidi w:val="0"/>
        <w:spacing w:line="440" w:lineRule="exact"/>
        <w:jc w:val="center"/>
        <w:rPr>
          <w:rFonts w:hint="default" w:ascii="Times New Roman" w:hAnsi="Times New Roman" w:eastAsia="黑体" w:cs="Times New Roman"/>
          <w:b w:val="0"/>
          <w:bCs w:val="0"/>
          <w:color w:val="auto"/>
          <w:sz w:val="31"/>
          <w:szCs w:val="31"/>
          <w:highlight w:val="none"/>
          <w:u w:val="single"/>
          <w:lang w:val="en-US"/>
        </w:rPr>
      </w:pPr>
      <w:r>
        <w:rPr>
          <w:rFonts w:hint="eastAsia" w:ascii="Times New Roman" w:hAnsi="Times New Roman" w:eastAsia="黑体" w:cs="Times New Roman"/>
          <w:b w:val="0"/>
          <w:bCs w:val="0"/>
          <w:color w:val="auto"/>
          <w:sz w:val="31"/>
          <w:szCs w:val="31"/>
          <w:highlight w:val="none"/>
          <w:u w:val="single"/>
          <w:lang w:eastAsia="zh-CN"/>
        </w:rPr>
        <w:t>辽宁省</w:t>
      </w:r>
    </w:p>
    <w:p w14:paraId="4AACFF54">
      <w:pPr>
        <w:pageBreakBefore w:val="0"/>
        <w:kinsoku/>
        <w:wordWrap w:val="0"/>
        <w:bidi w:val="0"/>
        <w:spacing w:line="440" w:lineRule="exact"/>
        <w:rPr>
          <w:rFonts w:hint="default" w:ascii="Times New Roman" w:hAnsi="Times New Roman" w:eastAsia="黑体" w:cs="Times New Roman"/>
          <w:color w:val="auto"/>
          <w:sz w:val="24"/>
          <w:highlight w:val="none"/>
          <w:lang w:val="en-US"/>
        </w:rPr>
      </w:pP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（项目名称）</w:t>
      </w: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w:t>
      </w:r>
      <w:r>
        <w:rPr>
          <w:rFonts w:hint="default" w:ascii="Times New Roman" w:hAnsi="Times New Roman" w:eastAsia="黑体" w:cs="Times New Roman"/>
          <w:b w:val="0"/>
          <w:bCs w:val="0"/>
          <w:color w:val="auto"/>
          <w:sz w:val="31"/>
          <w:szCs w:val="31"/>
          <w:highlight w:val="none"/>
          <w:lang w:val="en-US" w:eastAsia="zh-CN"/>
        </w:rPr>
        <w:t>标段</w:t>
      </w:r>
      <w:r>
        <w:rPr>
          <w:rFonts w:hint="default" w:ascii="Times New Roman" w:hAnsi="Times New Roman" w:eastAsia="黑体" w:cs="Times New Roman"/>
          <w:b w:val="0"/>
          <w:bCs w:val="0"/>
          <w:color w:val="auto"/>
          <w:sz w:val="31"/>
          <w:szCs w:val="31"/>
          <w:highlight w:val="none"/>
        </w:rPr>
        <w:t>名称</w:t>
      </w:r>
      <w:r>
        <w:rPr>
          <w:rFonts w:hint="default" w:ascii="Times New Roman" w:hAnsi="Times New Roman" w:eastAsia="黑体" w:cs="Times New Roman"/>
          <w:b w:val="0"/>
          <w:bCs w:val="0"/>
          <w:color w:val="auto"/>
          <w:sz w:val="31"/>
          <w:szCs w:val="31"/>
          <w:highlight w:val="none"/>
          <w:lang w:eastAsia="zh-CN"/>
        </w:rPr>
        <w:t>）</w:t>
      </w:r>
      <w:r>
        <w:rPr>
          <w:rFonts w:hint="default" w:ascii="Times New Roman" w:hAnsi="Times New Roman" w:eastAsia="黑体" w:cs="Times New Roman"/>
          <w:b w:val="0"/>
          <w:bCs w:val="0"/>
          <w:color w:val="auto"/>
          <w:sz w:val="31"/>
          <w:szCs w:val="31"/>
          <w:highlight w:val="none"/>
          <w:lang w:val="en-US" w:eastAsia="zh-CN"/>
        </w:rPr>
        <w:t>施工招标</w:t>
      </w:r>
    </w:p>
    <w:p w14:paraId="256C0CAC">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p w14:paraId="6CE278DB">
      <w:pPr>
        <w:pageBreakBefore w:val="0"/>
        <w:kinsoku/>
        <w:wordWrap w:val="0"/>
        <w:bidi w:val="0"/>
        <w:spacing w:line="440" w:lineRule="exact"/>
        <w:rPr>
          <w:rFonts w:hint="default" w:ascii="Times New Roman" w:hAnsi="Times New Roman" w:eastAsia="黑体" w:cs="Times New Roman"/>
          <w:color w:val="auto"/>
          <w:sz w:val="40"/>
          <w:szCs w:val="40"/>
          <w:highlight w:val="none"/>
        </w:rPr>
      </w:pPr>
    </w:p>
    <w:p w14:paraId="3D8CF1C4">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36BC6158">
      <w:pPr>
        <w:pStyle w:val="17"/>
        <w:rPr>
          <w:rFonts w:hint="default" w:ascii="Times New Roman" w:hAnsi="Times New Roman" w:eastAsia="黑体" w:cs="Times New Roman"/>
          <w:color w:val="auto"/>
          <w:sz w:val="40"/>
          <w:szCs w:val="40"/>
          <w:highlight w:val="none"/>
        </w:rPr>
      </w:pPr>
    </w:p>
    <w:p w14:paraId="6A8FB2D8">
      <w:pPr>
        <w:pStyle w:val="17"/>
        <w:rPr>
          <w:rFonts w:hint="default" w:ascii="Times New Roman" w:hAnsi="Times New Roman" w:eastAsia="黑体" w:cs="Times New Roman"/>
          <w:color w:val="auto"/>
          <w:sz w:val="40"/>
          <w:szCs w:val="40"/>
          <w:highlight w:val="none"/>
        </w:rPr>
      </w:pPr>
    </w:p>
    <w:p w14:paraId="497518FF">
      <w:pPr>
        <w:pStyle w:val="17"/>
        <w:rPr>
          <w:rFonts w:hint="default" w:ascii="Times New Roman" w:hAnsi="Times New Roman" w:eastAsia="黑体" w:cs="Times New Roman"/>
          <w:color w:val="auto"/>
          <w:sz w:val="40"/>
          <w:szCs w:val="40"/>
          <w:highlight w:val="none"/>
        </w:rPr>
      </w:pPr>
    </w:p>
    <w:p w14:paraId="6922AFC4">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60BBD2C9">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182923A7">
      <w:pPr>
        <w:pageBreakBefore w:val="0"/>
        <w:kinsoku/>
        <w:wordWrap/>
        <w:bidi w:val="0"/>
        <w:spacing w:before="0" w:after="0" w:line="360" w:lineRule="auto"/>
        <w:jc w:val="center"/>
        <w:outlineLvl w:val="9"/>
        <w:rPr>
          <w:rFonts w:hint="default" w:ascii="Times New Roman" w:hAnsi="Times New Roman" w:eastAsia="黑体" w:cs="Times New Roman"/>
          <w:b w:val="0"/>
          <w:color w:val="auto"/>
          <w:sz w:val="30"/>
          <w:szCs w:val="30"/>
          <w:highlight w:val="none"/>
        </w:rPr>
      </w:pPr>
      <w:bookmarkStart w:id="1607" w:name="_Toc11253"/>
      <w:bookmarkStart w:id="1608" w:name="_Toc1346"/>
      <w:bookmarkStart w:id="1609" w:name="_Toc26407"/>
      <w:bookmarkStart w:id="1610" w:name="_Toc23497"/>
      <w:bookmarkStart w:id="1611" w:name="_Toc11276"/>
      <w:r>
        <w:rPr>
          <w:rFonts w:hint="default" w:ascii="Times New Roman" w:hAnsi="Times New Roman" w:eastAsia="黑体" w:cs="Times New Roman"/>
          <w:b w:val="0"/>
          <w:color w:val="auto"/>
          <w:sz w:val="72"/>
          <w:szCs w:val="72"/>
          <w:highlight w:val="none"/>
        </w:rPr>
        <w:t xml:space="preserve">投  标  文  件 </w:t>
      </w:r>
    </w:p>
    <w:p w14:paraId="6E0425BC">
      <w:pPr>
        <w:pageBreakBefore w:val="0"/>
        <w:kinsoku/>
        <w:wordWrap/>
        <w:bidi w:val="0"/>
        <w:spacing w:before="0" w:after="0" w:line="360" w:lineRule="auto"/>
        <w:jc w:val="center"/>
        <w:outlineLvl w:val="2"/>
        <w:rPr>
          <w:rFonts w:hint="default" w:ascii="Times New Roman" w:hAnsi="Times New Roman" w:eastAsia="黑体" w:cs="Times New Roman"/>
          <w:b w:val="0"/>
          <w:color w:val="auto"/>
          <w:sz w:val="30"/>
          <w:szCs w:val="30"/>
          <w:highlight w:val="none"/>
        </w:rPr>
      </w:pPr>
      <w:bookmarkStart w:id="1612" w:name="_Toc274"/>
      <w:bookmarkStart w:id="1613" w:name="_Toc27427"/>
      <w:r>
        <w:rPr>
          <w:rFonts w:hint="default" w:ascii="Times New Roman" w:hAnsi="Times New Roman" w:eastAsia="黑体" w:cs="Times New Roman"/>
          <w:b w:val="0"/>
          <w:color w:val="auto"/>
          <w:sz w:val="32"/>
          <w:szCs w:val="32"/>
          <w:highlight w:val="none"/>
        </w:rPr>
        <w:t>（</w:t>
      </w:r>
      <w:r>
        <w:rPr>
          <w:rFonts w:hint="default" w:ascii="Times New Roman" w:hAnsi="Times New Roman" w:eastAsia="黑体" w:cs="Times New Roman"/>
          <w:b w:val="0"/>
          <w:color w:val="auto"/>
          <w:sz w:val="32"/>
          <w:szCs w:val="32"/>
          <w:highlight w:val="none"/>
          <w:lang w:val="en-US" w:eastAsia="zh-CN"/>
        </w:rPr>
        <w:t>第一个信封</w:t>
      </w:r>
      <w:r>
        <w:rPr>
          <w:rFonts w:hint="default" w:ascii="Times New Roman" w:hAnsi="Times New Roman" w:cs="Times New Roman"/>
          <w:b w:val="0"/>
          <w:color w:val="auto"/>
          <w:sz w:val="32"/>
          <w:szCs w:val="32"/>
          <w:highlight w:val="none"/>
          <w:lang w:val="en-US" w:eastAsia="zh-CN"/>
        </w:rPr>
        <w:t xml:space="preserve"> </w:t>
      </w:r>
      <w:r>
        <w:rPr>
          <w:rFonts w:hint="default" w:ascii="Times New Roman" w:hAnsi="Times New Roman" w:eastAsia="黑体" w:cs="Times New Roman"/>
          <w:b w:val="0"/>
          <w:color w:val="auto"/>
          <w:sz w:val="32"/>
          <w:szCs w:val="32"/>
          <w:highlight w:val="none"/>
        </w:rPr>
        <w:t>商务及技术文件）</w:t>
      </w:r>
      <w:bookmarkEnd w:id="1607"/>
      <w:bookmarkEnd w:id="1608"/>
      <w:bookmarkEnd w:id="1609"/>
      <w:bookmarkEnd w:id="1610"/>
      <w:bookmarkEnd w:id="1611"/>
      <w:bookmarkEnd w:id="1612"/>
      <w:bookmarkEnd w:id="1613"/>
    </w:p>
    <w:p w14:paraId="402C06F8">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55776A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FA6541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D632F45">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CDFB71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CE5011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1024175">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DD1FC8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88A15B4">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投标人：</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highlight w:val="none"/>
          <w:lang w:eastAsia="zh-CN"/>
        </w:rPr>
        <w:t>盖单位电子印章</w:t>
      </w:r>
      <w:r>
        <w:rPr>
          <w:rFonts w:hint="default" w:ascii="Times New Roman" w:hAnsi="Times New Roman" w:eastAsia="黑体" w:cs="Times New Roman"/>
          <w:color w:val="auto"/>
          <w:sz w:val="28"/>
          <w:szCs w:val="28"/>
          <w:highlight w:val="none"/>
        </w:rPr>
        <w:t>）</w:t>
      </w:r>
    </w:p>
    <w:p w14:paraId="2E8B68DF">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17119C57">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p>
    <w:p w14:paraId="49D47572">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1644843C">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0F6FA0FC">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color w:val="auto"/>
          <w:sz w:val="30"/>
          <w:szCs w:val="30"/>
          <w:highlight w:val="none"/>
        </w:rPr>
      </w:pPr>
      <w:r>
        <w:rPr>
          <w:rFonts w:hint="default" w:ascii="Times New Roman" w:hAnsi="Times New Roman" w:eastAsia="黑体" w:cs="Times New Roman"/>
          <w:color w:val="auto"/>
          <w:sz w:val="20"/>
          <w:szCs w:val="20"/>
          <w:highlight w:val="none"/>
        </w:rPr>
        <w:br w:type="page"/>
      </w:r>
      <w:bookmarkStart w:id="1614" w:name="_Toc18939"/>
      <w:bookmarkStart w:id="1615" w:name="_Toc16968"/>
      <w:bookmarkStart w:id="1616" w:name="_Toc23660"/>
      <w:bookmarkStart w:id="1617" w:name="_Toc234833253"/>
      <w:r>
        <w:rPr>
          <w:rFonts w:hint="default" w:ascii="Times New Roman" w:hAnsi="Times New Roman" w:eastAsia="黑体" w:cs="Times New Roman"/>
          <w:b w:val="0"/>
          <w:color w:val="auto"/>
          <w:sz w:val="30"/>
          <w:szCs w:val="30"/>
          <w:highlight w:val="none"/>
        </w:rPr>
        <w:t>目录</w:t>
      </w:r>
      <w:bookmarkEnd w:id="1614"/>
      <w:bookmarkEnd w:id="1615"/>
      <w:bookmarkEnd w:id="1616"/>
      <w:bookmarkEnd w:id="1617"/>
    </w:p>
    <w:p w14:paraId="4D7293D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E14032D">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一、投标函及投标函附录</w:t>
      </w:r>
    </w:p>
    <w:p w14:paraId="7018F981">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二、授权委托书或法定代表人身份证明</w:t>
      </w:r>
    </w:p>
    <w:p w14:paraId="7C6E1D71">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三、联合体协议书</w:t>
      </w:r>
    </w:p>
    <w:p w14:paraId="57B96CA8">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四、投标保证金</w:t>
      </w:r>
    </w:p>
    <w:p w14:paraId="3E49CC26">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五、施工组织设计</w:t>
      </w:r>
    </w:p>
    <w:p w14:paraId="72FFFA9C">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六、项目管理机构</w:t>
      </w:r>
    </w:p>
    <w:p w14:paraId="28630471">
      <w:pPr>
        <w:pageBreakBefore w:val="0"/>
        <w:kinsoku/>
        <w:wordWrap w:val="0"/>
        <w:bidi w:val="0"/>
        <w:spacing w:line="440" w:lineRule="exact"/>
        <w:ind w:left="1619" w:leftChars="771" w:firstLine="1"/>
        <w:rPr>
          <w:rFonts w:hint="default" w:cs="Times New Roman"/>
          <w:color w:val="auto"/>
          <w:sz w:val="24"/>
          <w:highlight w:val="none"/>
          <w:lang w:val="en-US" w:eastAsia="zh-CN"/>
        </w:rPr>
      </w:pPr>
      <w:r>
        <w:rPr>
          <w:rFonts w:hint="eastAsia" w:cs="Times New Roman"/>
          <w:color w:val="auto"/>
          <w:sz w:val="24"/>
          <w:highlight w:val="none"/>
          <w:lang w:val="en-US" w:eastAsia="zh-CN"/>
        </w:rPr>
        <w:t>七、拟分包项目情况表</w:t>
      </w:r>
    </w:p>
    <w:p w14:paraId="0DA4D9D0">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eastAsia" w:cs="Times New Roman"/>
          <w:color w:val="auto"/>
          <w:sz w:val="24"/>
          <w:highlight w:val="none"/>
          <w:lang w:val="en-US" w:eastAsia="zh-CN"/>
        </w:rPr>
        <w:t>八</w:t>
      </w:r>
      <w:r>
        <w:rPr>
          <w:rFonts w:hint="default" w:ascii="Times New Roman" w:hAnsi="Times New Roman" w:cs="Times New Roman"/>
          <w:color w:val="auto"/>
          <w:sz w:val="24"/>
          <w:highlight w:val="none"/>
        </w:rPr>
        <w:t>、资格审查资料</w:t>
      </w:r>
    </w:p>
    <w:p w14:paraId="4690C6A6">
      <w:pPr>
        <w:pageBreakBefore w:val="0"/>
        <w:kinsoku/>
        <w:wordWrap w:val="0"/>
        <w:overflowPunct/>
        <w:bidi w:val="0"/>
        <w:spacing w:line="440" w:lineRule="exact"/>
        <w:ind w:left="1619" w:leftChars="771" w:firstLine="1"/>
        <w:rPr>
          <w:rFonts w:hint="default" w:ascii="Times New Roman" w:hAnsi="Times New Roman" w:cs="Times New Roman"/>
          <w:color w:val="auto"/>
          <w:sz w:val="24"/>
          <w:highlight w:val="none"/>
        </w:rPr>
      </w:pPr>
      <w:r>
        <w:rPr>
          <w:rFonts w:hint="eastAsia" w:cs="Times New Roman"/>
          <w:color w:val="auto"/>
          <w:sz w:val="24"/>
          <w:highlight w:val="none"/>
          <w:lang w:val="en-US" w:eastAsia="zh-CN"/>
        </w:rPr>
        <w:t>九</w:t>
      </w:r>
      <w:r>
        <w:rPr>
          <w:rFonts w:hint="default" w:ascii="Times New Roman" w:hAnsi="Times New Roman" w:cs="Times New Roman"/>
          <w:color w:val="auto"/>
          <w:sz w:val="24"/>
          <w:highlight w:val="none"/>
        </w:rPr>
        <w:t>、投标人告知承诺函</w:t>
      </w:r>
    </w:p>
    <w:p w14:paraId="64A59930">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eastAsia" w:cs="Times New Roman"/>
          <w:color w:val="auto"/>
          <w:sz w:val="24"/>
          <w:highlight w:val="none"/>
          <w:lang w:val="en-US" w:eastAsia="zh-CN"/>
        </w:rPr>
        <w:t>十</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其他资料</w:t>
      </w:r>
    </w:p>
    <w:p w14:paraId="61F53621">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pPr>
    </w:p>
    <w:p w14:paraId="63ED4AEA">
      <w:pPr>
        <w:pStyle w:val="2"/>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color w:val="auto"/>
          <w:sz w:val="30"/>
          <w:szCs w:val="3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618" w:name="_Toc234833254"/>
    </w:p>
    <w:bookmarkEnd w:id="1618"/>
    <w:p w14:paraId="77231354">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bookmarkStart w:id="1619" w:name="_Toc25446"/>
      <w:bookmarkStart w:id="1620" w:name="_Toc234833255"/>
      <w:bookmarkStart w:id="1621" w:name="_Toc21625"/>
      <w:r>
        <w:rPr>
          <w:rFonts w:hint="default" w:ascii="Times New Roman" w:hAnsi="Times New Roman" w:eastAsia="黑体" w:cs="Times New Roman"/>
          <w:b w:val="0"/>
          <w:i w:val="0"/>
          <w:iCs/>
          <w:color w:val="auto"/>
          <w:sz w:val="30"/>
          <w:szCs w:val="30"/>
          <w:highlight w:val="none"/>
          <w:lang w:val="en-US" w:eastAsia="zh-CN"/>
        </w:rPr>
        <w:t>一、投标函及投标函附录</w:t>
      </w:r>
      <w:bookmarkEnd w:id="1619"/>
      <w:bookmarkEnd w:id="1620"/>
      <w:bookmarkEnd w:id="1621"/>
    </w:p>
    <w:p w14:paraId="30CA9826">
      <w:pPr>
        <w:pageBreakBefore w:val="0"/>
        <w:kinsoku/>
        <w:wordWrap w:val="0"/>
        <w:bidi w:val="0"/>
        <w:spacing w:before="360" w:beforeLines="150" w:after="240" w:afterLines="100" w:line="360" w:lineRule="atLeast"/>
        <w:jc w:val="center"/>
        <w:outlineLvl w:val="9"/>
        <w:rPr>
          <w:rFonts w:hint="default" w:ascii="Times New Roman" w:hAnsi="Times New Roman" w:eastAsia="黑体" w:cs="Times New Roman"/>
          <w:b w:val="0"/>
          <w:i w:val="0"/>
          <w:iCs/>
          <w:color w:val="auto"/>
          <w:sz w:val="28"/>
          <w:szCs w:val="28"/>
          <w:highlight w:val="none"/>
        </w:rPr>
      </w:pPr>
      <w:bookmarkStart w:id="1622" w:name="_Toc585"/>
      <w:bookmarkStart w:id="1623" w:name="_Toc234833256"/>
      <w:bookmarkStart w:id="1624" w:name="_Toc18251"/>
      <w:r>
        <w:rPr>
          <w:rFonts w:hint="default" w:ascii="Times New Roman" w:hAnsi="Times New Roman" w:eastAsia="黑体" w:cs="Times New Roman"/>
          <w:b w:val="0"/>
          <w:i w:val="0"/>
          <w:iCs/>
          <w:color w:val="auto"/>
          <w:sz w:val="28"/>
          <w:szCs w:val="28"/>
          <w:highlight w:val="none"/>
        </w:rPr>
        <w:t>（一） 投 标 函</w:t>
      </w:r>
      <w:bookmarkEnd w:id="1622"/>
      <w:bookmarkEnd w:id="1623"/>
      <w:bookmarkEnd w:id="1624"/>
    </w:p>
    <w:p w14:paraId="7E4156A3">
      <w:pPr>
        <w:pageBreakBefore w:val="0"/>
        <w:kinsoku/>
        <w:wordWrap w:val="0"/>
        <w:bidi w:val="0"/>
        <w:spacing w:before="240" w:beforeLines="100" w:after="120" w:afterLines="50" w:line="36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14:paraId="7D566353">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1．我方已仔细研究</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default" w:ascii="Times New Roman" w:hAnsi="Times New Roman" w:cs="Times New Roman"/>
          <w:color w:val="auto"/>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6043E1B6">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2．我方承诺在招标文件规定的投标有效期内不撤销投标文件。</w:t>
      </w:r>
    </w:p>
    <w:p w14:paraId="1FB3067B">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3．工程质量：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，安全目标：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日历天。</w:t>
      </w:r>
    </w:p>
    <w:p w14:paraId="3D6FA87D">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4．如我方中标，我方承诺：</w:t>
      </w:r>
    </w:p>
    <w:p w14:paraId="47B969E3">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（1）在收到中标通知书后，在中标通知书规定的期限内与你方签订合同；</w:t>
      </w:r>
    </w:p>
    <w:p w14:paraId="74A9A331">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（2）在签订合同时不向你方提出附加条件；</w:t>
      </w:r>
    </w:p>
    <w:p w14:paraId="4A80A6E3">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（3）按照招标文件要求提交履约保证金；</w:t>
      </w:r>
      <w:bookmarkStart w:id="1625" w:name="_Toc352691658"/>
      <w:bookmarkStart w:id="1626" w:name="_Toc1187"/>
      <w:bookmarkStart w:id="1627" w:name="_Toc369531694"/>
    </w:p>
    <w:p w14:paraId="7DF198BB">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（4）在合</w:t>
      </w:r>
      <w:bookmarkEnd w:id="1625"/>
      <w:bookmarkEnd w:id="1626"/>
      <w:bookmarkEnd w:id="1627"/>
      <w:r>
        <w:rPr>
          <w:rFonts w:hint="default" w:ascii="Times New Roman" w:hAnsi="Times New Roman" w:cs="Times New Roman"/>
          <w:color w:val="auto"/>
          <w:sz w:val="24"/>
          <w:highlight w:val="none"/>
        </w:rPr>
        <w:t>同约定的期限内完成合同规定的全部义务；</w:t>
      </w:r>
    </w:p>
    <w:p w14:paraId="57B623BE">
      <w:pPr>
        <w:pageBreakBefore w:val="0"/>
        <w:kinsoku/>
        <w:wordWrap w:val="0"/>
        <w:bidi w:val="0"/>
        <w:spacing w:line="360" w:lineRule="atLeast"/>
        <w:ind w:firstLine="480" w:firstLineChars="200"/>
        <w:rPr>
          <w:rFonts w:hint="default" w:ascii="Times New Roman" w:hAnsi="Times New Roman" w:cs="Times New Roman"/>
          <w:color w:val="auto"/>
          <w:sz w:val="24"/>
          <w:highlight w:val="none"/>
          <w:vertAlign w:val="superscript"/>
        </w:rPr>
      </w:pPr>
      <w:r>
        <w:rPr>
          <w:rFonts w:hint="default" w:ascii="Times New Roman" w:hAnsi="Times New Roman" w:cs="Times New Roman"/>
          <w:color w:val="auto"/>
          <w:sz w:val="24"/>
          <w:highlight w:val="none"/>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color w:val="auto"/>
          <w:sz w:val="24"/>
          <w:highlight w:val="none"/>
          <w:vertAlign w:val="superscript"/>
        </w:rPr>
        <w:footnoteReference w:id="48"/>
      </w:r>
    </w:p>
    <w:p w14:paraId="5F015631">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5．我方在此声明，所递交的投标文件及有关资料内容完整、真实和准确，且不存在招标文件第二章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第1.4.3项和第1.4.4项规定的任何一种情形。</w:t>
      </w:r>
    </w:p>
    <w:p w14:paraId="17CB1718">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6．在合同协议书正式签署生效之前，本投标函连同你方的中标通知书将构成我们双方之间共同遵守的文件，对双方具有约束力。</w:t>
      </w:r>
    </w:p>
    <w:p w14:paraId="144FC7EA">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（其他补充说明）。</w:t>
      </w:r>
    </w:p>
    <w:p w14:paraId="3A18563E">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p>
    <w:p w14:paraId="7697C0A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 标 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w:t>
      </w:r>
      <w:r>
        <w:rPr>
          <w:rFonts w:hint="default" w:ascii="Times New Roman" w:hAnsi="Times New Roman" w:cs="Times New Roman"/>
          <w:color w:val="auto"/>
          <w:sz w:val="24"/>
          <w:highlight w:val="none"/>
          <w:lang w:val="en-US" w:eastAsia="zh-CN"/>
        </w:rPr>
        <w:t>电子印</w:t>
      </w:r>
      <w:r>
        <w:rPr>
          <w:rFonts w:hint="default" w:ascii="Times New Roman" w:hAnsi="Times New Roman" w:cs="Times New Roman"/>
          <w:color w:val="auto"/>
          <w:sz w:val="24"/>
          <w:highlight w:val="none"/>
        </w:rPr>
        <w:t>章）</w:t>
      </w:r>
    </w:p>
    <w:p w14:paraId="2684FFE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outlineLvl w:val="9"/>
        <w:rPr>
          <w:rFonts w:hint="default" w:ascii="Times New Roman" w:hAnsi="Times New Roman" w:cs="Times New Roman"/>
          <w:color w:val="auto"/>
          <w:sz w:val="24"/>
          <w:highlight w:val="none"/>
        </w:rPr>
      </w:pPr>
      <w:bookmarkStart w:id="1628" w:name="_Toc23140"/>
      <w:bookmarkStart w:id="1629" w:name="_Toc26277"/>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bookmarkEnd w:id="1628"/>
      <w:bookmarkEnd w:id="1629"/>
    </w:p>
    <w:p w14:paraId="2795EC33">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708B33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p>
    <w:p w14:paraId="29F14A03">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A147F65">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4A21CD3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p>
    <w:p w14:paraId="1DCA1303">
      <w:pPr>
        <w:pageBreakBefore w:val="0"/>
        <w:kinsoku/>
        <w:wordWrap w:val="0"/>
        <w:overflowPunct/>
        <w:bidi w:val="0"/>
        <w:spacing w:line="400" w:lineRule="atLeas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163857D">
      <w:pPr>
        <w:pageBreakBefore w:val="0"/>
        <w:kinsoku/>
        <w:wordWrap w:val="0"/>
        <w:bidi w:val="0"/>
        <w:spacing w:before="360" w:beforeLines="150" w:after="240" w:afterLines="100" w:line="360" w:lineRule="atLeast"/>
        <w:jc w:val="center"/>
        <w:outlineLvl w:val="9"/>
        <w:rPr>
          <w:rFonts w:hint="default" w:ascii="Times New Roman" w:hAnsi="Times New Roman" w:eastAsia="黑体" w:cs="Times New Roman"/>
          <w:b w:val="0"/>
          <w:i w:val="0"/>
          <w:iCs/>
          <w:color w:val="auto"/>
          <w:sz w:val="28"/>
          <w:szCs w:val="28"/>
          <w:highlight w:val="none"/>
        </w:rPr>
      </w:pPr>
      <w:r>
        <w:rPr>
          <w:rFonts w:hint="default" w:ascii="Times New Roman" w:hAnsi="Times New Roman" w:eastAsia="黑体" w:cs="Times New Roman"/>
          <w:color w:val="auto"/>
          <w:sz w:val="23"/>
          <w:szCs w:val="23"/>
          <w:highlight w:val="none"/>
        </w:rPr>
        <w:br w:type="page"/>
      </w:r>
      <w:bookmarkStart w:id="1630" w:name="_Toc27025"/>
      <w:bookmarkStart w:id="1631" w:name="_Toc234833257"/>
      <w:bookmarkStart w:id="1632" w:name="_Toc27486"/>
      <w:r>
        <w:rPr>
          <w:rFonts w:hint="default" w:ascii="Times New Roman" w:hAnsi="Times New Roman" w:eastAsia="黑体" w:cs="Times New Roman"/>
          <w:b w:val="0"/>
          <w:i w:val="0"/>
          <w:iCs/>
          <w:color w:val="auto"/>
          <w:sz w:val="28"/>
          <w:szCs w:val="28"/>
          <w:highlight w:val="none"/>
        </w:rPr>
        <w:t>（二）投标函附录</w:t>
      </w:r>
      <w:bookmarkEnd w:id="1630"/>
      <w:bookmarkEnd w:id="1631"/>
      <w:bookmarkEnd w:id="1632"/>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5268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6C782BA7">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2710" w:type="dxa"/>
            <w:noWrap w:val="0"/>
            <w:vAlign w:val="center"/>
          </w:tcPr>
          <w:p w14:paraId="613FF8AB">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条款名称</w:t>
            </w:r>
          </w:p>
        </w:tc>
        <w:tc>
          <w:tcPr>
            <w:tcW w:w="1185" w:type="dxa"/>
            <w:noWrap w:val="0"/>
            <w:vAlign w:val="center"/>
          </w:tcPr>
          <w:p w14:paraId="3FF346B2">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合同条目号</w:t>
            </w:r>
          </w:p>
        </w:tc>
        <w:tc>
          <w:tcPr>
            <w:tcW w:w="3613" w:type="dxa"/>
            <w:noWrap w:val="0"/>
            <w:vAlign w:val="center"/>
          </w:tcPr>
          <w:p w14:paraId="33ABCB86">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约定内容</w:t>
            </w:r>
          </w:p>
        </w:tc>
        <w:tc>
          <w:tcPr>
            <w:tcW w:w="749" w:type="dxa"/>
            <w:noWrap w:val="0"/>
            <w:vAlign w:val="center"/>
          </w:tcPr>
          <w:p w14:paraId="38E05B9F">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备注</w:t>
            </w:r>
          </w:p>
        </w:tc>
      </w:tr>
      <w:tr w14:paraId="2234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720398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710" w:type="dxa"/>
            <w:noWrap w:val="0"/>
            <w:vAlign w:val="center"/>
          </w:tcPr>
          <w:p w14:paraId="01370F4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缺陷责任期</w:t>
            </w:r>
          </w:p>
        </w:tc>
        <w:tc>
          <w:tcPr>
            <w:tcW w:w="1185" w:type="dxa"/>
            <w:noWrap w:val="0"/>
            <w:vAlign w:val="center"/>
          </w:tcPr>
          <w:p w14:paraId="6C3C189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1.1.4.5</w:t>
            </w:r>
          </w:p>
        </w:tc>
        <w:tc>
          <w:tcPr>
            <w:tcW w:w="3613" w:type="dxa"/>
            <w:noWrap w:val="0"/>
            <w:vAlign w:val="center"/>
          </w:tcPr>
          <w:p w14:paraId="27CBCA9A">
            <w:pPr>
              <w:pageBreakBefore w:val="0"/>
              <w:kinsoku/>
              <w:wordWrap w:val="0"/>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自实际交工日期起计算</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749" w:type="dxa"/>
            <w:noWrap w:val="0"/>
            <w:vAlign w:val="center"/>
          </w:tcPr>
          <w:p w14:paraId="07F17618">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E9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169E405">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2710" w:type="dxa"/>
            <w:noWrap w:val="0"/>
            <w:vAlign w:val="center"/>
          </w:tcPr>
          <w:p w14:paraId="2F9F6D47">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逾期交工违约金</w:t>
            </w:r>
          </w:p>
        </w:tc>
        <w:tc>
          <w:tcPr>
            <w:tcW w:w="1185" w:type="dxa"/>
            <w:noWrap w:val="0"/>
            <w:vAlign w:val="center"/>
          </w:tcPr>
          <w:p w14:paraId="63C1D62C">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11.5（3）</w:t>
            </w:r>
          </w:p>
        </w:tc>
        <w:tc>
          <w:tcPr>
            <w:tcW w:w="3613" w:type="dxa"/>
            <w:noWrap w:val="0"/>
            <w:vAlign w:val="center"/>
          </w:tcPr>
          <w:p w14:paraId="79E212B6">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元/天</w:t>
            </w:r>
          </w:p>
        </w:tc>
        <w:tc>
          <w:tcPr>
            <w:tcW w:w="749" w:type="dxa"/>
            <w:noWrap w:val="0"/>
            <w:vAlign w:val="center"/>
          </w:tcPr>
          <w:p w14:paraId="0D30D9FF">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E1E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6EF80C3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2710" w:type="dxa"/>
            <w:noWrap w:val="0"/>
            <w:vAlign w:val="center"/>
          </w:tcPr>
          <w:p w14:paraId="2BD2BF1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逾期交工违约金限额</w:t>
            </w:r>
          </w:p>
        </w:tc>
        <w:tc>
          <w:tcPr>
            <w:tcW w:w="1185" w:type="dxa"/>
            <w:noWrap w:val="0"/>
            <w:vAlign w:val="center"/>
          </w:tcPr>
          <w:p w14:paraId="3F7C18E4">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11.5（3）</w:t>
            </w:r>
          </w:p>
        </w:tc>
        <w:tc>
          <w:tcPr>
            <w:tcW w:w="3613" w:type="dxa"/>
            <w:noWrap w:val="0"/>
            <w:vAlign w:val="center"/>
          </w:tcPr>
          <w:p w14:paraId="53CF120A">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w:t>
            </w:r>
          </w:p>
        </w:tc>
        <w:tc>
          <w:tcPr>
            <w:tcW w:w="749" w:type="dxa"/>
            <w:noWrap w:val="0"/>
            <w:vAlign w:val="center"/>
          </w:tcPr>
          <w:p w14:paraId="6E728773">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F16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251A93CD">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2710" w:type="dxa"/>
            <w:noWrap w:val="0"/>
            <w:vAlign w:val="center"/>
          </w:tcPr>
          <w:p w14:paraId="7EF07E0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提前交工的奖金 </w:t>
            </w:r>
          </w:p>
        </w:tc>
        <w:tc>
          <w:tcPr>
            <w:tcW w:w="1185" w:type="dxa"/>
            <w:noWrap w:val="0"/>
            <w:vAlign w:val="center"/>
          </w:tcPr>
          <w:p w14:paraId="445E8533">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11.6</w:t>
            </w:r>
          </w:p>
        </w:tc>
        <w:tc>
          <w:tcPr>
            <w:tcW w:w="3613" w:type="dxa"/>
            <w:noWrap w:val="0"/>
            <w:vAlign w:val="center"/>
          </w:tcPr>
          <w:p w14:paraId="0C3C19B3">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元/天</w:t>
            </w:r>
          </w:p>
        </w:tc>
        <w:tc>
          <w:tcPr>
            <w:tcW w:w="749" w:type="dxa"/>
            <w:noWrap w:val="0"/>
            <w:vAlign w:val="center"/>
          </w:tcPr>
          <w:p w14:paraId="3EB06A0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2DC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E1ED169">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2710" w:type="dxa"/>
            <w:noWrap w:val="0"/>
            <w:vAlign w:val="center"/>
          </w:tcPr>
          <w:p w14:paraId="580DC616">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提前交工的奖金限额</w:t>
            </w:r>
          </w:p>
        </w:tc>
        <w:tc>
          <w:tcPr>
            <w:tcW w:w="1185" w:type="dxa"/>
            <w:noWrap w:val="0"/>
            <w:vAlign w:val="center"/>
          </w:tcPr>
          <w:p w14:paraId="5D0F9DD9">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11.6</w:t>
            </w:r>
          </w:p>
        </w:tc>
        <w:tc>
          <w:tcPr>
            <w:tcW w:w="3613" w:type="dxa"/>
            <w:noWrap w:val="0"/>
            <w:vAlign w:val="center"/>
          </w:tcPr>
          <w:p w14:paraId="589AFAF2">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w:t>
            </w:r>
          </w:p>
        </w:tc>
        <w:tc>
          <w:tcPr>
            <w:tcW w:w="749" w:type="dxa"/>
            <w:noWrap w:val="0"/>
            <w:vAlign w:val="center"/>
          </w:tcPr>
          <w:p w14:paraId="254BD01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17AC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F7DB78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2710" w:type="dxa"/>
            <w:noWrap w:val="0"/>
            <w:vAlign w:val="center"/>
          </w:tcPr>
          <w:p w14:paraId="6EEA03D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价格调整的差额计算</w:t>
            </w:r>
          </w:p>
        </w:tc>
        <w:tc>
          <w:tcPr>
            <w:tcW w:w="1185" w:type="dxa"/>
            <w:noWrap w:val="0"/>
            <w:vAlign w:val="center"/>
          </w:tcPr>
          <w:p w14:paraId="7DB4B497">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16.1.1</w:t>
            </w:r>
          </w:p>
        </w:tc>
        <w:tc>
          <w:tcPr>
            <w:tcW w:w="3613" w:type="dxa"/>
            <w:noWrap w:val="0"/>
            <w:vAlign w:val="center"/>
          </w:tcPr>
          <w:p w14:paraId="3B73F9D7">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见价格指数和权重表</w:t>
            </w:r>
          </w:p>
        </w:tc>
        <w:tc>
          <w:tcPr>
            <w:tcW w:w="749" w:type="dxa"/>
            <w:noWrap w:val="0"/>
            <w:vAlign w:val="center"/>
          </w:tcPr>
          <w:p w14:paraId="5121CB05">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031C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203C434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2710" w:type="dxa"/>
            <w:noWrap w:val="0"/>
            <w:vAlign w:val="center"/>
          </w:tcPr>
          <w:p w14:paraId="30ED062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开工预付款金额</w:t>
            </w:r>
          </w:p>
        </w:tc>
        <w:tc>
          <w:tcPr>
            <w:tcW w:w="1185" w:type="dxa"/>
            <w:noWrap w:val="0"/>
            <w:vAlign w:val="center"/>
          </w:tcPr>
          <w:p w14:paraId="12232FB9">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17.2.1（1）</w:t>
            </w:r>
          </w:p>
        </w:tc>
        <w:tc>
          <w:tcPr>
            <w:tcW w:w="3613" w:type="dxa"/>
            <w:noWrap w:val="0"/>
            <w:vAlign w:val="center"/>
          </w:tcPr>
          <w:p w14:paraId="1989C320">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w:t>
            </w:r>
          </w:p>
        </w:tc>
        <w:tc>
          <w:tcPr>
            <w:tcW w:w="749" w:type="dxa"/>
            <w:noWrap w:val="0"/>
            <w:vAlign w:val="center"/>
          </w:tcPr>
          <w:p w14:paraId="440FF4C3">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EB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C09632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2710" w:type="dxa"/>
            <w:noWrap w:val="0"/>
            <w:vAlign w:val="center"/>
          </w:tcPr>
          <w:p w14:paraId="6F797C8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材料、设备预付款比例</w:t>
            </w:r>
          </w:p>
        </w:tc>
        <w:tc>
          <w:tcPr>
            <w:tcW w:w="1185" w:type="dxa"/>
            <w:noWrap w:val="0"/>
            <w:vAlign w:val="center"/>
          </w:tcPr>
          <w:p w14:paraId="5752A08A">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17.2.1（2）</w:t>
            </w:r>
          </w:p>
        </w:tc>
        <w:tc>
          <w:tcPr>
            <w:tcW w:w="3613" w:type="dxa"/>
            <w:noWrap w:val="0"/>
            <w:vAlign w:val="center"/>
          </w:tcPr>
          <w:p w14:paraId="700F3660">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等主要材料、设备单据所列费用的</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c>
          <w:tcPr>
            <w:tcW w:w="749" w:type="dxa"/>
            <w:noWrap w:val="0"/>
            <w:vAlign w:val="center"/>
          </w:tcPr>
          <w:p w14:paraId="67D09A47">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14E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7949DCD">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2710" w:type="dxa"/>
            <w:noWrap w:val="0"/>
            <w:vAlign w:val="center"/>
          </w:tcPr>
          <w:p w14:paraId="557B459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进度付款证书最低限额</w:t>
            </w:r>
          </w:p>
        </w:tc>
        <w:tc>
          <w:tcPr>
            <w:tcW w:w="1185" w:type="dxa"/>
            <w:noWrap w:val="0"/>
            <w:vAlign w:val="center"/>
          </w:tcPr>
          <w:p w14:paraId="3D7DB606">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17.3.3（1）</w:t>
            </w:r>
          </w:p>
        </w:tc>
        <w:tc>
          <w:tcPr>
            <w:tcW w:w="3613" w:type="dxa"/>
            <w:noWrap w:val="0"/>
            <w:vAlign w:val="center"/>
          </w:tcPr>
          <w:p w14:paraId="023AD14B">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%签约合同价或</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749" w:type="dxa"/>
            <w:noWrap w:val="0"/>
            <w:vAlign w:val="center"/>
          </w:tcPr>
          <w:p w14:paraId="21C5AE5A">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9A2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22671AA9">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2710" w:type="dxa"/>
            <w:noWrap w:val="0"/>
            <w:vAlign w:val="center"/>
          </w:tcPr>
          <w:p w14:paraId="2F73AF7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逾期付款违约金的利率</w:t>
            </w:r>
          </w:p>
        </w:tc>
        <w:tc>
          <w:tcPr>
            <w:tcW w:w="1185" w:type="dxa"/>
            <w:noWrap w:val="0"/>
            <w:vAlign w:val="center"/>
          </w:tcPr>
          <w:p w14:paraId="14AF118B">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17.3.3（2）</w:t>
            </w:r>
          </w:p>
        </w:tc>
        <w:tc>
          <w:tcPr>
            <w:tcW w:w="3613" w:type="dxa"/>
            <w:noWrap w:val="0"/>
            <w:vAlign w:val="center"/>
          </w:tcPr>
          <w:p w14:paraId="2DFBFA63">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‰/天</w:t>
            </w:r>
          </w:p>
        </w:tc>
        <w:tc>
          <w:tcPr>
            <w:tcW w:w="749" w:type="dxa"/>
            <w:noWrap w:val="0"/>
            <w:vAlign w:val="center"/>
          </w:tcPr>
          <w:p w14:paraId="67D9B06E">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8B1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365E4A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w:t>
            </w:r>
          </w:p>
        </w:tc>
        <w:tc>
          <w:tcPr>
            <w:tcW w:w="2710" w:type="dxa"/>
            <w:noWrap w:val="0"/>
            <w:vAlign w:val="center"/>
          </w:tcPr>
          <w:p w14:paraId="4D225E5E">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质量保证金金额</w:t>
            </w:r>
          </w:p>
        </w:tc>
        <w:tc>
          <w:tcPr>
            <w:tcW w:w="1185" w:type="dxa"/>
            <w:noWrap w:val="0"/>
            <w:vAlign w:val="center"/>
          </w:tcPr>
          <w:p w14:paraId="3367936E">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17.4.1</w:t>
            </w:r>
          </w:p>
        </w:tc>
        <w:tc>
          <w:tcPr>
            <w:tcW w:w="3613" w:type="dxa"/>
            <w:noWrap w:val="0"/>
            <w:vAlign w:val="center"/>
          </w:tcPr>
          <w:p w14:paraId="44ADB325">
            <w:pPr>
              <w:pageBreakBefore w:val="0"/>
              <w:kinsoku/>
              <w:wordWrap w:val="0"/>
              <w:bidi w:val="0"/>
              <w:snapToGrid w:val="0"/>
              <w:spacing w:line="400" w:lineRule="atLeast"/>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eastAsia" w:ascii="宋体" w:hAnsi="宋体" w:eastAsia="宋体" w:cs="宋体"/>
                <w:color w:val="auto"/>
                <w:spacing w:val="5"/>
                <w:sz w:val="21"/>
                <w:szCs w:val="21"/>
                <w:highlight w:val="yellow"/>
              </w:rPr>
              <w:t>工程价款结算总额</w:t>
            </w:r>
          </w:p>
        </w:tc>
        <w:tc>
          <w:tcPr>
            <w:tcW w:w="749" w:type="dxa"/>
            <w:noWrap w:val="0"/>
            <w:vAlign w:val="center"/>
          </w:tcPr>
          <w:p w14:paraId="0DFDB488">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09C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40AB28F">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2710" w:type="dxa"/>
            <w:noWrap w:val="0"/>
            <w:vAlign w:val="center"/>
          </w:tcPr>
          <w:p w14:paraId="0E1281D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保修期</w:t>
            </w:r>
          </w:p>
        </w:tc>
        <w:tc>
          <w:tcPr>
            <w:tcW w:w="1185" w:type="dxa"/>
            <w:noWrap w:val="0"/>
            <w:vAlign w:val="center"/>
          </w:tcPr>
          <w:p w14:paraId="3D5DEA52">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19.7（1）</w:t>
            </w:r>
          </w:p>
        </w:tc>
        <w:tc>
          <w:tcPr>
            <w:tcW w:w="3613" w:type="dxa"/>
            <w:noWrap w:val="0"/>
            <w:vAlign w:val="center"/>
          </w:tcPr>
          <w:p w14:paraId="6D2694A7">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自实际交工日期起计算</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749" w:type="dxa"/>
            <w:noWrap w:val="0"/>
            <w:vAlign w:val="center"/>
          </w:tcPr>
          <w:p w14:paraId="32F67F47">
            <w:pPr>
              <w:pageBreakBefore w:val="0"/>
              <w:kinsoku/>
              <w:wordWrap w:val="0"/>
              <w:bidi w:val="0"/>
              <w:spacing w:line="400" w:lineRule="atLeast"/>
              <w:jc w:val="center"/>
              <w:rPr>
                <w:rFonts w:hint="default" w:ascii="Times New Roman" w:hAnsi="Times New Roman" w:cs="Times New Roman"/>
                <w:color w:val="auto"/>
                <w:szCs w:val="21"/>
                <w:highlight w:val="none"/>
              </w:rPr>
            </w:pPr>
          </w:p>
        </w:tc>
      </w:tr>
    </w:tbl>
    <w:p w14:paraId="78CDC5E6">
      <w:pPr>
        <w:pageBreakBefore w:val="0"/>
        <w:kinsoku/>
        <w:wordWrap w:val="0"/>
        <w:bidi w:val="0"/>
        <w:snapToGrid w:val="0"/>
        <w:spacing w:line="400" w:lineRule="atLeast"/>
        <w:ind w:firstLine="3240" w:firstLineChars="1350"/>
        <w:rPr>
          <w:rFonts w:hint="default" w:ascii="Times New Roman" w:hAnsi="Times New Roman" w:cs="Times New Roman"/>
          <w:color w:val="auto"/>
          <w:sz w:val="24"/>
          <w:highlight w:val="none"/>
        </w:rPr>
      </w:pPr>
    </w:p>
    <w:p w14:paraId="237A4FCB">
      <w:pPr>
        <w:pageBreakBefore w:val="0"/>
        <w:kinsoku/>
        <w:wordWrap w:val="0"/>
        <w:bidi w:val="0"/>
        <w:spacing w:line="44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br w:type="page"/>
      </w:r>
      <w:r>
        <w:rPr>
          <w:rFonts w:hint="default" w:ascii="Times New Roman" w:hAnsi="Times New Roman" w:eastAsia="黑体" w:cs="Times New Roman"/>
          <w:color w:val="auto"/>
          <w:sz w:val="24"/>
          <w:highlight w:val="none"/>
        </w:rPr>
        <w:t>价格指数和权重表</w:t>
      </w:r>
    </w:p>
    <w:p w14:paraId="52D9C3DC">
      <w:pPr>
        <w:pageBreakBefore w:val="0"/>
        <w:kinsoku/>
        <w:wordWrap w:val="0"/>
        <w:bidi w:val="0"/>
        <w:spacing w:line="440" w:lineRule="exact"/>
        <w:jc w:val="center"/>
        <w:rPr>
          <w:rFonts w:hint="default" w:ascii="Times New Roman" w:hAnsi="Times New Roman" w:eastAsia="黑体" w:cs="Times New Roman"/>
          <w:color w:val="auto"/>
          <w:sz w:val="24"/>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2DE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2076A8D0">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w:t>
            </w:r>
          </w:p>
        </w:tc>
        <w:tc>
          <w:tcPr>
            <w:tcW w:w="1648" w:type="dxa"/>
            <w:gridSpan w:val="2"/>
            <w:noWrap w:val="0"/>
            <w:vAlign w:val="center"/>
          </w:tcPr>
          <w:p w14:paraId="3D5656E4">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基本价格指数</w:t>
            </w:r>
          </w:p>
        </w:tc>
        <w:tc>
          <w:tcPr>
            <w:tcW w:w="3544" w:type="dxa"/>
            <w:gridSpan w:val="3"/>
            <w:noWrap w:val="0"/>
            <w:vAlign w:val="center"/>
          </w:tcPr>
          <w:p w14:paraId="13717963">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权       重</w:t>
            </w:r>
          </w:p>
        </w:tc>
        <w:tc>
          <w:tcPr>
            <w:tcW w:w="1970" w:type="dxa"/>
            <w:vMerge w:val="restart"/>
            <w:noWrap w:val="0"/>
            <w:vAlign w:val="center"/>
          </w:tcPr>
          <w:p w14:paraId="6B2C6893">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价格指数来源</w:t>
            </w:r>
          </w:p>
        </w:tc>
      </w:tr>
      <w:tr w14:paraId="1951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EDF05B3">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c>
          <w:tcPr>
            <w:tcW w:w="748" w:type="dxa"/>
            <w:noWrap w:val="0"/>
            <w:vAlign w:val="center"/>
          </w:tcPr>
          <w:p w14:paraId="1F761079">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代号</w:t>
            </w:r>
          </w:p>
        </w:tc>
        <w:tc>
          <w:tcPr>
            <w:tcW w:w="900" w:type="dxa"/>
            <w:noWrap w:val="0"/>
            <w:vAlign w:val="center"/>
          </w:tcPr>
          <w:p w14:paraId="5CF9CF86">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指数值</w:t>
            </w:r>
          </w:p>
        </w:tc>
        <w:tc>
          <w:tcPr>
            <w:tcW w:w="648" w:type="dxa"/>
            <w:noWrap w:val="0"/>
            <w:vAlign w:val="center"/>
          </w:tcPr>
          <w:p w14:paraId="27232F0F">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代号</w:t>
            </w:r>
          </w:p>
        </w:tc>
        <w:tc>
          <w:tcPr>
            <w:tcW w:w="1266" w:type="dxa"/>
            <w:noWrap w:val="0"/>
            <w:vAlign w:val="center"/>
          </w:tcPr>
          <w:p w14:paraId="2F1A33FB">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允许范围</w:t>
            </w:r>
          </w:p>
        </w:tc>
        <w:tc>
          <w:tcPr>
            <w:tcW w:w="1630" w:type="dxa"/>
            <w:noWrap w:val="0"/>
            <w:vAlign w:val="center"/>
          </w:tcPr>
          <w:p w14:paraId="799D0764">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投标人建议值</w:t>
            </w:r>
          </w:p>
        </w:tc>
        <w:tc>
          <w:tcPr>
            <w:tcW w:w="1970" w:type="dxa"/>
            <w:vMerge w:val="continue"/>
            <w:noWrap w:val="0"/>
            <w:vAlign w:val="center"/>
          </w:tcPr>
          <w:p w14:paraId="7AB42417">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r>
      <w:tr w14:paraId="05CA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18635E0E">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定值部分</w:t>
            </w:r>
          </w:p>
        </w:tc>
        <w:tc>
          <w:tcPr>
            <w:tcW w:w="748" w:type="dxa"/>
            <w:noWrap w:val="0"/>
            <w:vAlign w:val="center"/>
          </w:tcPr>
          <w:p w14:paraId="51B8F65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900" w:type="dxa"/>
            <w:noWrap w:val="0"/>
            <w:vAlign w:val="center"/>
          </w:tcPr>
          <w:p w14:paraId="44676599">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540017F7">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w:t>
            </w:r>
          </w:p>
        </w:tc>
        <w:tc>
          <w:tcPr>
            <w:tcW w:w="1266" w:type="dxa"/>
            <w:noWrap w:val="0"/>
            <w:vAlign w:val="center"/>
          </w:tcPr>
          <w:p w14:paraId="1F60B87F">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c>
          <w:tcPr>
            <w:tcW w:w="1630" w:type="dxa"/>
            <w:noWrap w:val="0"/>
            <w:vAlign w:val="center"/>
          </w:tcPr>
          <w:p w14:paraId="7635F0D0">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c>
          <w:tcPr>
            <w:tcW w:w="1970" w:type="dxa"/>
            <w:noWrap w:val="0"/>
            <w:vAlign w:val="center"/>
          </w:tcPr>
          <w:p w14:paraId="23F35CC5">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r>
      <w:tr w14:paraId="1116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758475F1">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变值部分</w:t>
            </w:r>
          </w:p>
        </w:tc>
        <w:tc>
          <w:tcPr>
            <w:tcW w:w="872" w:type="dxa"/>
            <w:noWrap w:val="0"/>
            <w:vAlign w:val="center"/>
          </w:tcPr>
          <w:p w14:paraId="0604A74B">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人工费</w:t>
            </w:r>
          </w:p>
        </w:tc>
        <w:tc>
          <w:tcPr>
            <w:tcW w:w="748" w:type="dxa"/>
            <w:noWrap w:val="0"/>
            <w:vAlign w:val="center"/>
          </w:tcPr>
          <w:p w14:paraId="18439E3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vertAlign w:val="subscript"/>
              </w:rPr>
            </w:pPr>
            <w:r>
              <w:rPr>
                <w:rFonts w:hint="default" w:ascii="Times New Roman" w:hAnsi="Times New Roman" w:cs="Times New Roman"/>
                <w:color w:val="auto"/>
                <w:szCs w:val="21"/>
                <w:highlight w:val="none"/>
              </w:rPr>
              <w:t>F</w:t>
            </w:r>
            <w:r>
              <w:rPr>
                <w:rFonts w:hint="default" w:ascii="Times New Roman" w:hAnsi="Times New Roman" w:cs="Times New Roman"/>
                <w:color w:val="auto"/>
                <w:szCs w:val="21"/>
                <w:highlight w:val="none"/>
                <w:vertAlign w:val="subscript"/>
              </w:rPr>
              <w:t>01</w:t>
            </w:r>
          </w:p>
        </w:tc>
        <w:tc>
          <w:tcPr>
            <w:tcW w:w="900" w:type="dxa"/>
            <w:noWrap w:val="0"/>
            <w:vAlign w:val="center"/>
          </w:tcPr>
          <w:p w14:paraId="29988D0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50B1019B">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vertAlign w:val="subscript"/>
              </w:rPr>
              <w:t>1</w:t>
            </w:r>
          </w:p>
        </w:tc>
        <w:tc>
          <w:tcPr>
            <w:tcW w:w="1266" w:type="dxa"/>
            <w:noWrap w:val="0"/>
            <w:vAlign w:val="top"/>
          </w:tcPr>
          <w:p w14:paraId="7E729EB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至</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tc>
        <w:tc>
          <w:tcPr>
            <w:tcW w:w="1630" w:type="dxa"/>
            <w:noWrap w:val="0"/>
            <w:vAlign w:val="top"/>
          </w:tcPr>
          <w:p w14:paraId="2DBEEB75">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0B0D58DA">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2E17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5914AEB5">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60FD0219">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钢材</w:t>
            </w:r>
          </w:p>
        </w:tc>
        <w:tc>
          <w:tcPr>
            <w:tcW w:w="748" w:type="dxa"/>
            <w:noWrap w:val="0"/>
            <w:vAlign w:val="center"/>
          </w:tcPr>
          <w:p w14:paraId="6B82965C">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w:t>
            </w:r>
            <w:r>
              <w:rPr>
                <w:rFonts w:hint="default" w:ascii="Times New Roman" w:hAnsi="Times New Roman" w:cs="Times New Roman"/>
                <w:color w:val="auto"/>
                <w:szCs w:val="21"/>
                <w:highlight w:val="none"/>
                <w:vertAlign w:val="subscript"/>
              </w:rPr>
              <w:t>02</w:t>
            </w:r>
          </w:p>
        </w:tc>
        <w:tc>
          <w:tcPr>
            <w:tcW w:w="900" w:type="dxa"/>
            <w:noWrap w:val="0"/>
            <w:vAlign w:val="center"/>
          </w:tcPr>
          <w:p w14:paraId="48817FB1">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7E0AD0D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vertAlign w:val="subscript"/>
              </w:rPr>
              <w:t>2</w:t>
            </w:r>
          </w:p>
        </w:tc>
        <w:tc>
          <w:tcPr>
            <w:tcW w:w="1266" w:type="dxa"/>
            <w:noWrap w:val="0"/>
            <w:vAlign w:val="top"/>
          </w:tcPr>
          <w:p w14:paraId="04907C4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至</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tc>
        <w:tc>
          <w:tcPr>
            <w:tcW w:w="1630" w:type="dxa"/>
            <w:noWrap w:val="0"/>
            <w:vAlign w:val="top"/>
          </w:tcPr>
          <w:p w14:paraId="7CEADC32">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59423B2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1681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26" w:type="dxa"/>
            <w:vMerge w:val="continue"/>
            <w:noWrap w:val="0"/>
            <w:vAlign w:val="center"/>
          </w:tcPr>
          <w:p w14:paraId="0716DBF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210C957D">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水泥</w:t>
            </w:r>
          </w:p>
        </w:tc>
        <w:tc>
          <w:tcPr>
            <w:tcW w:w="748" w:type="dxa"/>
            <w:noWrap w:val="0"/>
            <w:vAlign w:val="center"/>
          </w:tcPr>
          <w:p w14:paraId="75784B1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w:t>
            </w:r>
            <w:r>
              <w:rPr>
                <w:rFonts w:hint="default" w:ascii="Times New Roman" w:hAnsi="Times New Roman" w:cs="Times New Roman"/>
                <w:color w:val="auto"/>
                <w:szCs w:val="21"/>
                <w:highlight w:val="none"/>
                <w:vertAlign w:val="subscript"/>
              </w:rPr>
              <w:t>03</w:t>
            </w:r>
          </w:p>
        </w:tc>
        <w:tc>
          <w:tcPr>
            <w:tcW w:w="900" w:type="dxa"/>
            <w:noWrap w:val="0"/>
            <w:vAlign w:val="center"/>
          </w:tcPr>
          <w:p w14:paraId="72B577B0">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7803760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vertAlign w:val="subscript"/>
              </w:rPr>
              <w:t>3</w:t>
            </w:r>
          </w:p>
        </w:tc>
        <w:tc>
          <w:tcPr>
            <w:tcW w:w="1266" w:type="dxa"/>
            <w:noWrap w:val="0"/>
            <w:vAlign w:val="top"/>
          </w:tcPr>
          <w:p w14:paraId="126DBA90">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至</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tc>
        <w:tc>
          <w:tcPr>
            <w:tcW w:w="1630" w:type="dxa"/>
            <w:noWrap w:val="0"/>
            <w:vAlign w:val="top"/>
          </w:tcPr>
          <w:p w14:paraId="3427EAC6">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79225472">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46BE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426" w:type="dxa"/>
            <w:vMerge w:val="continue"/>
            <w:noWrap w:val="0"/>
            <w:vAlign w:val="center"/>
          </w:tcPr>
          <w:p w14:paraId="42F8144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2BAAC1F1">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48" w:type="dxa"/>
            <w:noWrap w:val="0"/>
            <w:vAlign w:val="center"/>
          </w:tcPr>
          <w:p w14:paraId="00F68C33">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900" w:type="dxa"/>
            <w:noWrap w:val="0"/>
            <w:vAlign w:val="center"/>
          </w:tcPr>
          <w:p w14:paraId="3899BE2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4FB3B95D">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266" w:type="dxa"/>
            <w:noWrap w:val="0"/>
            <w:vAlign w:val="top"/>
          </w:tcPr>
          <w:p w14:paraId="2FCF33B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630" w:type="dxa"/>
            <w:noWrap w:val="0"/>
            <w:vAlign w:val="top"/>
          </w:tcPr>
          <w:p w14:paraId="7F7D6D8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613FC38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78B4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26" w:type="dxa"/>
            <w:vMerge w:val="continue"/>
            <w:noWrap w:val="0"/>
            <w:vAlign w:val="center"/>
          </w:tcPr>
          <w:p w14:paraId="49EB18B7">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05213AE3">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748" w:type="dxa"/>
            <w:noWrap w:val="0"/>
            <w:vAlign w:val="center"/>
          </w:tcPr>
          <w:p w14:paraId="377FF61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900" w:type="dxa"/>
            <w:noWrap w:val="0"/>
            <w:vAlign w:val="center"/>
          </w:tcPr>
          <w:p w14:paraId="66B150B7">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68DFC699">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266" w:type="dxa"/>
            <w:noWrap w:val="0"/>
            <w:vAlign w:val="top"/>
          </w:tcPr>
          <w:p w14:paraId="7055D27C">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630" w:type="dxa"/>
            <w:noWrap w:val="0"/>
            <w:vAlign w:val="top"/>
          </w:tcPr>
          <w:p w14:paraId="02315F5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4917804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7A78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860" w:type="dxa"/>
            <w:gridSpan w:val="6"/>
            <w:noWrap w:val="0"/>
            <w:vAlign w:val="center"/>
          </w:tcPr>
          <w:p w14:paraId="034B5355">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        计</w:t>
            </w:r>
          </w:p>
        </w:tc>
        <w:tc>
          <w:tcPr>
            <w:tcW w:w="1630" w:type="dxa"/>
            <w:noWrap w:val="0"/>
            <w:vAlign w:val="center"/>
          </w:tcPr>
          <w:p w14:paraId="5EB25EC4">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w:t>
            </w:r>
          </w:p>
        </w:tc>
        <w:tc>
          <w:tcPr>
            <w:tcW w:w="1970" w:type="dxa"/>
            <w:noWrap w:val="0"/>
            <w:vAlign w:val="top"/>
          </w:tcPr>
          <w:p w14:paraId="76D294B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bl>
    <w:p w14:paraId="7CA47449">
      <w:pPr>
        <w:pageBreakBefore w:val="0"/>
        <w:kinsoku/>
        <w:wordWrap w:val="0"/>
        <w:bidi w:val="0"/>
        <w:spacing w:line="440" w:lineRule="exact"/>
        <w:rPr>
          <w:rFonts w:hint="default" w:ascii="Times New Roman" w:hAnsi="Times New Roman" w:eastAsia="黑体" w:cs="Times New Roman"/>
          <w:color w:val="auto"/>
          <w:sz w:val="24"/>
          <w:highlight w:val="none"/>
        </w:rPr>
      </w:pPr>
    </w:p>
    <w:p w14:paraId="1ED4A662">
      <w:pPr>
        <w:pageBreakBefore w:val="0"/>
        <w:kinsoku/>
        <w:wordWrap w:val="0"/>
        <w:bidi w:val="0"/>
        <w:spacing w:line="440" w:lineRule="exact"/>
        <w:jc w:val="center"/>
        <w:rPr>
          <w:rFonts w:hint="default" w:ascii="Times New Roman" w:hAnsi="Times New Roman" w:eastAsia="黑体" w:cs="Times New Roman"/>
          <w:color w:val="auto"/>
          <w:sz w:val="20"/>
          <w:szCs w:val="20"/>
          <w:highlight w:val="none"/>
        </w:rPr>
      </w:pPr>
    </w:p>
    <w:p w14:paraId="7FC56732">
      <w:pPr>
        <w:rPr>
          <w:rFonts w:hint="default" w:ascii="Times New Roman" w:hAnsi="Times New Roman" w:cs="Times New Roman"/>
          <w:color w:val="auto"/>
          <w:highlight w:val="none"/>
        </w:rPr>
      </w:pPr>
      <w:bookmarkStart w:id="1633" w:name="_Toc234833261"/>
    </w:p>
    <w:p w14:paraId="134D9F46">
      <w:pPr>
        <w:rPr>
          <w:rFonts w:hint="default" w:ascii="Times New Roman" w:hAnsi="Times New Roman" w:cs="Times New Roman"/>
          <w:color w:val="auto"/>
          <w:highlight w:val="none"/>
        </w:rPr>
      </w:pPr>
    </w:p>
    <w:p w14:paraId="50C60D6C">
      <w:pPr>
        <w:rPr>
          <w:rFonts w:hint="default" w:ascii="Times New Roman" w:hAnsi="Times New Roman" w:cs="Times New Roman"/>
          <w:color w:val="auto"/>
          <w:highlight w:val="none"/>
        </w:rPr>
      </w:pPr>
    </w:p>
    <w:p w14:paraId="2BDB5227">
      <w:pPr>
        <w:rPr>
          <w:rFonts w:hint="default" w:ascii="Times New Roman" w:hAnsi="Times New Roman" w:cs="Times New Roman"/>
          <w:color w:val="auto"/>
          <w:highlight w:val="none"/>
        </w:rPr>
      </w:pPr>
    </w:p>
    <w:p w14:paraId="38C6966E">
      <w:pPr>
        <w:rPr>
          <w:rFonts w:hint="default" w:ascii="Times New Roman" w:hAnsi="Times New Roman" w:cs="Times New Roman"/>
          <w:color w:val="auto"/>
          <w:highlight w:val="none"/>
        </w:rPr>
      </w:pPr>
    </w:p>
    <w:p w14:paraId="549AC373">
      <w:pPr>
        <w:rPr>
          <w:rFonts w:hint="default" w:ascii="Times New Roman" w:hAnsi="Times New Roman" w:cs="Times New Roman"/>
          <w:color w:val="auto"/>
          <w:highlight w:val="none"/>
        </w:rPr>
      </w:pPr>
    </w:p>
    <w:p w14:paraId="7E802969">
      <w:pPr>
        <w:rPr>
          <w:rFonts w:hint="default" w:ascii="Times New Roman" w:hAnsi="Times New Roman" w:cs="Times New Roman"/>
          <w:color w:val="auto"/>
          <w:highlight w:val="none"/>
        </w:rPr>
      </w:pPr>
    </w:p>
    <w:p w14:paraId="6B82B897">
      <w:pPr>
        <w:rPr>
          <w:rFonts w:hint="default" w:ascii="Times New Roman" w:hAnsi="Times New Roman" w:cs="Times New Roman"/>
          <w:color w:val="auto"/>
          <w:highlight w:val="none"/>
        </w:rPr>
      </w:pPr>
    </w:p>
    <w:p w14:paraId="02F80A6E">
      <w:pPr>
        <w:rPr>
          <w:rFonts w:hint="default" w:ascii="Times New Roman" w:hAnsi="Times New Roman" w:cs="Times New Roman"/>
          <w:color w:val="auto"/>
          <w:highlight w:val="none"/>
        </w:rPr>
      </w:pPr>
    </w:p>
    <w:p w14:paraId="7CDF3D84">
      <w:pPr>
        <w:rPr>
          <w:rFonts w:hint="default" w:ascii="Times New Roman" w:hAnsi="Times New Roman" w:cs="Times New Roman"/>
          <w:color w:val="auto"/>
          <w:highlight w:val="none"/>
        </w:rPr>
      </w:pPr>
    </w:p>
    <w:p w14:paraId="42C62720">
      <w:pPr>
        <w:rPr>
          <w:rFonts w:hint="default" w:ascii="Times New Roman" w:hAnsi="Times New Roman" w:cs="Times New Roman"/>
          <w:color w:val="auto"/>
          <w:highlight w:val="none"/>
        </w:rPr>
      </w:pPr>
    </w:p>
    <w:p w14:paraId="46B56DAC">
      <w:pPr>
        <w:jc w:val="center"/>
        <w:rPr>
          <w:rFonts w:hint="default" w:ascii="Times New Roman" w:hAnsi="Times New Roman" w:cs="Times New Roman"/>
          <w:color w:val="auto"/>
          <w:highlight w:val="none"/>
        </w:rPr>
      </w:pPr>
    </w:p>
    <w:p w14:paraId="7E7671D6">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bookmarkStart w:id="1634" w:name="_Toc26154"/>
      <w:bookmarkStart w:id="1635" w:name="_Toc500352763"/>
      <w:bookmarkStart w:id="1636" w:name="_Toc438571660"/>
      <w:bookmarkStart w:id="1637" w:name="_Toc14724"/>
      <w:bookmarkStart w:id="1638" w:name="_Toc137074942"/>
      <w:bookmarkStart w:id="1639" w:name="_Toc10083"/>
      <w:bookmarkStart w:id="1640" w:name="_Toc458576166"/>
      <w:bookmarkStart w:id="1641" w:name="_Toc112032692"/>
      <w:bookmarkStart w:id="1642" w:name="_Toc12173"/>
      <w:r>
        <w:rPr>
          <w:rFonts w:hint="default" w:ascii="Times New Roman" w:hAnsi="Times New Roman" w:eastAsia="黑体" w:cs="Times New Roman"/>
          <w:b w:val="0"/>
          <w:i w:val="0"/>
          <w:iCs/>
          <w:color w:val="auto"/>
          <w:sz w:val="30"/>
          <w:szCs w:val="30"/>
          <w:highlight w:val="none"/>
        </w:rPr>
        <w:t>二、授权委托书或法定代表人身份证明</w:t>
      </w:r>
      <w:bookmarkEnd w:id="1634"/>
      <w:bookmarkEnd w:id="1635"/>
      <w:bookmarkEnd w:id="1636"/>
      <w:bookmarkEnd w:id="1637"/>
      <w:bookmarkEnd w:id="1638"/>
      <w:bookmarkEnd w:id="1639"/>
      <w:bookmarkEnd w:id="1640"/>
      <w:bookmarkEnd w:id="1641"/>
      <w:bookmarkEnd w:id="1642"/>
    </w:p>
    <w:p w14:paraId="1B3A5021">
      <w:pPr>
        <w:rPr>
          <w:rFonts w:hint="default" w:ascii="Times New Roman" w:hAnsi="Times New Roman" w:eastAsia="黑体" w:cs="Times New Roman"/>
          <w:color w:val="auto"/>
          <w:szCs w:val="21"/>
          <w:highlight w:val="none"/>
        </w:rPr>
      </w:pPr>
    </w:p>
    <w:p w14:paraId="28DADF5F">
      <w:pPr>
        <w:rPr>
          <w:rFonts w:hint="default" w:ascii="Times New Roman" w:hAnsi="Times New Roman" w:eastAsia="黑体" w:cs="Times New Roman"/>
          <w:color w:val="auto"/>
          <w:szCs w:val="21"/>
          <w:highlight w:val="none"/>
        </w:rPr>
      </w:pPr>
    </w:p>
    <w:p w14:paraId="128109C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注：①如果由投标人的委托代理人签署投标文件，则只须按要求提供《授权委托书》；</w:t>
      </w:r>
    </w:p>
    <w:p w14:paraId="707191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②如果由投标人的法定代表人签署投标文件，则只须按要求提供《法定代表人身份证明》。</w:t>
      </w:r>
    </w:p>
    <w:p w14:paraId="76D4B175">
      <w:pPr>
        <w:spacing w:line="360" w:lineRule="auto"/>
        <w:ind w:firstLine="480" w:firstLineChars="200"/>
        <w:rPr>
          <w:rFonts w:hint="default" w:ascii="Times New Roman" w:hAnsi="Times New Roman" w:eastAsia="黑体" w:cs="Times New Roman"/>
          <w:color w:val="auto"/>
          <w:sz w:val="24"/>
          <w:highlight w:val="none"/>
        </w:rPr>
      </w:pPr>
    </w:p>
    <w:p w14:paraId="550CBA50">
      <w:pPr>
        <w:keepNext/>
        <w:keepLines/>
        <w:widowControl/>
        <w:tabs>
          <w:tab w:val="left" w:pos="1440"/>
        </w:tabs>
        <w:wordWrap w:val="0"/>
        <w:topLinePunct/>
        <w:spacing w:line="440" w:lineRule="exact"/>
        <w:jc w:val="center"/>
        <w:outlineLvl w:val="9"/>
        <w:rPr>
          <w:rFonts w:hint="default" w:ascii="Times New Roman" w:hAnsi="Times New Roman" w:eastAsia="黑体" w:cs="Times New Roman"/>
          <w:bCs/>
          <w:color w:val="auto"/>
          <w:kern w:val="0"/>
          <w:sz w:val="24"/>
          <w:highlight w:val="none"/>
        </w:rPr>
      </w:pPr>
      <w:r>
        <w:rPr>
          <w:rFonts w:hint="default" w:ascii="Times New Roman" w:hAnsi="Times New Roman" w:cs="Times New Roman"/>
          <w:color w:val="auto"/>
          <w:highlight w:val="none"/>
        </w:rPr>
        <w:br w:type="page"/>
      </w:r>
      <w:bookmarkStart w:id="1643" w:name="_Toc495663699"/>
      <w:bookmarkStart w:id="1644" w:name="_Toc483640988"/>
      <w:bookmarkStart w:id="1645" w:name="_Toc500352764"/>
      <w:r>
        <w:rPr>
          <w:rFonts w:hint="default" w:ascii="Times New Roman" w:hAnsi="Times New Roman" w:eastAsia="黑体" w:cs="Times New Roman"/>
          <w:bCs/>
          <w:color w:val="auto"/>
          <w:kern w:val="0"/>
          <w:sz w:val="24"/>
          <w:highlight w:val="none"/>
        </w:rPr>
        <w:t>（一）授权委托书</w:t>
      </w:r>
    </w:p>
    <w:p w14:paraId="038A0921">
      <w:pPr>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（投标人名称）的法定代表人，现委托</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（姓名）为我方代理人。代理人根据授权，以我方名义签署、澄清确认、递交、撤回、修改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default" w:ascii="Times New Roman" w:hAnsi="Times New Roman" w:cs="Times New Roman"/>
          <w:color w:val="auto"/>
          <w:sz w:val="24"/>
          <w:highlight w:val="none"/>
        </w:rPr>
        <w:t>施工投标文件、签订合同和处理有关事宜，其法律后果由我方承担。</w:t>
      </w:r>
    </w:p>
    <w:p w14:paraId="5AD697BB">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委托期限：自本委托书签署之日起至投标有效期期满。</w:t>
      </w:r>
    </w:p>
    <w:p w14:paraId="55AF018B">
      <w:pPr>
        <w:wordWrap w:val="0"/>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代理人无转委托权。</w:t>
      </w:r>
    </w:p>
    <w:p w14:paraId="60A612CD">
      <w:pPr>
        <w:wordWrap w:val="0"/>
        <w:topLinePunct/>
        <w:spacing w:line="440" w:lineRule="exact"/>
        <w:ind w:firstLine="480" w:firstLineChars="200"/>
        <w:rPr>
          <w:rFonts w:hint="default" w:ascii="Times New Roman" w:hAnsi="Times New Roman" w:cs="Times New Roman"/>
          <w:color w:val="auto"/>
          <w:sz w:val="24"/>
          <w:highlight w:val="none"/>
        </w:rPr>
      </w:pPr>
    </w:p>
    <w:p w14:paraId="3DC63226">
      <w:pP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法定代表人身份证</w:t>
      </w:r>
      <w:r>
        <w:rPr>
          <w:rFonts w:hint="eastAsia" w:eastAsia="黑体" w:cs="Times New Roman"/>
          <w:color w:val="auto"/>
          <w:sz w:val="24"/>
          <w:highlight w:val="none"/>
          <w:lang w:val="en-US" w:eastAsia="zh-CN"/>
        </w:rPr>
        <w:t>原件扫描件</w:t>
      </w:r>
      <w:r>
        <w:rPr>
          <w:rFonts w:hint="default" w:ascii="Times New Roman" w:hAnsi="Times New Roman" w:eastAsia="黑体" w:cs="Times New Roman"/>
          <w:color w:val="auto"/>
          <w:sz w:val="24"/>
          <w:highlight w:val="none"/>
        </w:rPr>
        <w:t xml:space="preserve">       </w:t>
      </w:r>
      <w:r>
        <w:rPr>
          <w:rFonts w:hint="eastAsia" w:eastAsia="黑体" w:cs="Times New Roman"/>
          <w:color w:val="auto"/>
          <w:sz w:val="24"/>
          <w:highlight w:val="none"/>
          <w:lang w:val="en-US" w:eastAsia="zh-CN"/>
        </w:rPr>
        <w:t xml:space="preserve">      </w:t>
      </w:r>
      <w:r>
        <w:rPr>
          <w:rFonts w:hint="default" w:ascii="Times New Roman" w:hAnsi="Times New Roman" w:eastAsia="黑体" w:cs="Times New Roman"/>
          <w:color w:val="auto"/>
          <w:sz w:val="24"/>
          <w:highlight w:val="none"/>
        </w:rPr>
        <w:t>委托代理人身份证</w:t>
      </w:r>
      <w:r>
        <w:rPr>
          <w:rFonts w:hint="eastAsia" w:eastAsia="黑体" w:cs="Times New Roman"/>
          <w:color w:val="auto"/>
          <w:sz w:val="24"/>
          <w:highlight w:val="none"/>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2A55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1FED8FF0">
            <w:pPr>
              <w:topLinePunct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（国徽面）</w:t>
            </w:r>
          </w:p>
        </w:tc>
        <w:tc>
          <w:tcPr>
            <w:tcW w:w="4644" w:type="dxa"/>
            <w:vAlign w:val="center"/>
          </w:tcPr>
          <w:p w14:paraId="04A5607C">
            <w:pPr>
              <w:topLinePun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（国徽面）</w:t>
            </w:r>
          </w:p>
        </w:tc>
      </w:tr>
      <w:tr w14:paraId="62BD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1B5788A6">
            <w:pPr>
              <w:topLinePunct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（人像面）</w:t>
            </w:r>
          </w:p>
        </w:tc>
        <w:tc>
          <w:tcPr>
            <w:tcW w:w="4644" w:type="dxa"/>
            <w:vAlign w:val="center"/>
          </w:tcPr>
          <w:p w14:paraId="03963C8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（人像面）</w:t>
            </w:r>
          </w:p>
        </w:tc>
      </w:tr>
    </w:tbl>
    <w:p w14:paraId="6CB2013E">
      <w:pPr>
        <w:wordWrap w:val="0"/>
        <w:topLinePunct/>
        <w:spacing w:line="440" w:lineRule="exact"/>
        <w:rPr>
          <w:rFonts w:hint="default" w:ascii="Times New Roman" w:hAnsi="Times New Roman" w:cs="Times New Roman"/>
          <w:color w:val="auto"/>
          <w:sz w:val="24"/>
          <w:highlight w:val="none"/>
        </w:rPr>
      </w:pPr>
    </w:p>
    <w:p w14:paraId="7208679C">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（全称） （</w:t>
      </w:r>
      <w:r>
        <w:rPr>
          <w:rFonts w:hint="default" w:ascii="Times New Roman" w:hAnsi="Times New Roman" w:cs="Times New Roman"/>
          <w:color w:val="auto"/>
          <w:sz w:val="24"/>
          <w:highlight w:val="none"/>
          <w:lang w:val="en-US" w:eastAsia="zh-CN"/>
        </w:rPr>
        <w:t>盖单位电子印章</w:t>
      </w:r>
      <w:r>
        <w:rPr>
          <w:rFonts w:hint="default" w:ascii="Times New Roman" w:hAnsi="Times New Roman" w:cs="Times New Roman"/>
          <w:color w:val="auto"/>
          <w:sz w:val="24"/>
          <w:highlight w:val="none"/>
        </w:rPr>
        <w:t>）</w:t>
      </w:r>
    </w:p>
    <w:p w14:paraId="5A9A9D02">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1142A1C5">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129BB46C">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p>
    <w:p w14:paraId="09A9141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75FC87C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7708B68C">
      <w:pPr>
        <w:wordWrap w:val="0"/>
        <w:topLinePunct/>
        <w:spacing w:line="400" w:lineRule="atLeast"/>
        <w:ind w:left="418" w:leftChars="199" w:firstLine="3720" w:firstLineChars="155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w:t>
      </w:r>
    </w:p>
    <w:p w14:paraId="7000BB06">
      <w:pPr>
        <w:wordWrap w:val="0"/>
        <w:topLinePunct/>
        <w:spacing w:line="400" w:lineRule="atLeast"/>
        <w:ind w:firstLine="420" w:firstLineChars="200"/>
        <w:rPr>
          <w:rFonts w:hint="default" w:ascii="Times New Roman" w:hAnsi="Times New Roman" w:eastAsia="黑体" w:cs="Times New Roman"/>
          <w:color w:val="auto"/>
          <w:szCs w:val="21"/>
          <w:highlight w:val="none"/>
        </w:rPr>
      </w:pPr>
    </w:p>
    <w:p w14:paraId="54DE23B9">
      <w:pPr>
        <w:wordWrap w:val="0"/>
        <w:topLinePunct/>
        <w:spacing w:line="400" w:lineRule="atLeast"/>
        <w:ind w:firstLine="420" w:firstLineChars="200"/>
        <w:rPr>
          <w:rFonts w:hint="default" w:ascii="Times New Roman" w:hAnsi="Times New Roman" w:eastAsia="黑体" w:cs="Times New Roman"/>
          <w:color w:val="auto"/>
          <w:szCs w:val="21"/>
          <w:highlight w:val="none"/>
        </w:rPr>
      </w:pPr>
      <w:r>
        <w:rPr>
          <w:rFonts w:hint="default" w:ascii="Times New Roman" w:hAnsi="Times New Roman" w:cs="Times New Roman"/>
          <w:color w:val="auto"/>
          <w:kern w:val="2"/>
          <w:sz w:val="21"/>
          <w:szCs w:val="21"/>
          <w:highlight w:val="none"/>
        </w:rPr>
        <w:t>注：</w:t>
      </w:r>
      <w:r>
        <w:rPr>
          <w:rFonts w:hint="default" w:ascii="Times New Roman" w:hAnsi="Times New Roman" w:cs="Times New Roman"/>
          <w:color w:val="auto"/>
          <w:szCs w:val="21"/>
          <w:highlight w:val="none"/>
        </w:rPr>
        <w:t>以联合体形式投标的，本授权委托书应由联合体牵头人的法定代表人按上述规定签署。</w:t>
      </w:r>
    </w:p>
    <w:p w14:paraId="1791B4B3">
      <w:pPr>
        <w:spacing w:line="360" w:lineRule="auto"/>
        <w:ind w:firstLine="3360"/>
        <w:jc w:val="right"/>
        <w:rPr>
          <w:rFonts w:hint="default" w:ascii="Times New Roman" w:hAnsi="Times New Roman" w:eastAsia="仿宋_GB2312" w:cs="Times New Roman"/>
          <w:color w:val="auto"/>
          <w:sz w:val="32"/>
          <w:szCs w:val="32"/>
          <w:highlight w:val="none"/>
        </w:rPr>
      </w:pPr>
    </w:p>
    <w:p w14:paraId="7E075929">
      <w:pP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br w:type="page"/>
      </w:r>
    </w:p>
    <w:p w14:paraId="1A0AE75B">
      <w:pPr>
        <w:keepNext/>
        <w:keepLines/>
        <w:widowControl/>
        <w:tabs>
          <w:tab w:val="left" w:pos="1440"/>
        </w:tabs>
        <w:wordWrap w:val="0"/>
        <w:topLinePunct/>
        <w:spacing w:line="440" w:lineRule="exact"/>
        <w:jc w:val="center"/>
        <w:outlineLvl w:val="9"/>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（二）法定代表人身份证明</w:t>
      </w:r>
      <w:bookmarkEnd w:id="1643"/>
      <w:bookmarkEnd w:id="1644"/>
      <w:bookmarkEnd w:id="1645"/>
    </w:p>
    <w:p w14:paraId="331F0BCB">
      <w:pPr>
        <w:rPr>
          <w:rFonts w:hint="default" w:ascii="Times New Roman" w:hAnsi="Times New Roman" w:cs="Times New Roman"/>
          <w:color w:val="auto"/>
          <w:highlight w:val="none"/>
        </w:rPr>
      </w:pPr>
    </w:p>
    <w:p w14:paraId="1610D116">
      <w:pPr>
        <w:rPr>
          <w:rFonts w:hint="default" w:ascii="Times New Roman" w:hAnsi="Times New Roman" w:cs="Times New Roman"/>
          <w:color w:val="auto"/>
          <w:highlight w:val="none"/>
        </w:rPr>
      </w:pPr>
    </w:p>
    <w:p w14:paraId="1741E7BA">
      <w:pPr>
        <w:wordWrap w:val="0"/>
        <w:topLinePunct/>
        <w:spacing w:line="440" w:lineRule="exact"/>
        <w:rPr>
          <w:rFonts w:hint="default" w:ascii="Times New Roman" w:hAnsi="Times New Roman" w:cs="Times New Roman"/>
          <w:color w:val="auto"/>
          <w:sz w:val="24"/>
          <w:highlight w:val="none"/>
        </w:rPr>
      </w:pPr>
      <w:bookmarkStart w:id="1646" w:name="_Toc29148"/>
      <w:bookmarkStart w:id="1647" w:name="_Toc21278"/>
      <w:r>
        <w:rPr>
          <w:rFonts w:hint="default" w:ascii="Times New Roman" w:hAnsi="Times New Roman" w:cs="Times New Roman"/>
          <w:color w:val="auto"/>
          <w:sz w:val="24"/>
          <w:highlight w:val="none"/>
        </w:rPr>
        <w:t>投标人名称：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3402290F">
      <w:pPr>
        <w:wordWrap w:val="0"/>
        <w:topLinePunct/>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u w:val="single"/>
        </w:rPr>
        <w:t>（法定代表人个人</w:t>
      </w:r>
      <w:r>
        <w:rPr>
          <w:rFonts w:hint="eastAsia" w:cs="Times New Roman"/>
          <w:bCs/>
          <w:color w:val="auto"/>
          <w:sz w:val="24"/>
          <w:highlight w:val="none"/>
          <w:u w:val="single"/>
          <w:lang w:eastAsia="zh-CN"/>
        </w:rPr>
        <w:t>电子签名</w:t>
      </w:r>
      <w:r>
        <w:rPr>
          <w:rFonts w:hint="default" w:ascii="Times New Roman" w:hAnsi="Times New Roman" w:cs="Times New Roman"/>
          <w:bCs/>
          <w:color w:val="auto"/>
          <w:sz w:val="24"/>
          <w:highlight w:val="none"/>
          <w:u w:val="single"/>
        </w:rPr>
        <w:t>或个人电子印章）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性别：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（投标人名称）的法定代表人。</w:t>
      </w:r>
    </w:p>
    <w:p w14:paraId="524AD98B">
      <w:pPr>
        <w:wordWrap w:val="0"/>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特此证明。</w:t>
      </w:r>
    </w:p>
    <w:p w14:paraId="12467B6D">
      <w:pPr>
        <w:wordWrap w:val="0"/>
        <w:topLinePunct/>
        <w:spacing w:line="440" w:lineRule="exact"/>
        <w:rPr>
          <w:rFonts w:hint="default" w:ascii="Times New Roman" w:hAnsi="Times New Roman" w:cs="Times New Roman"/>
          <w:color w:val="auto"/>
          <w:sz w:val="24"/>
          <w:highlight w:val="none"/>
        </w:rPr>
      </w:pPr>
    </w:p>
    <w:p w14:paraId="011AC195">
      <w:pPr>
        <w:topLinePunct/>
        <w:spacing w:line="440" w:lineRule="exact"/>
        <w:jc w:val="center"/>
        <w:outlineLvl w:val="9"/>
        <w:rPr>
          <w:rFonts w:hint="default" w:ascii="Times New Roman" w:hAnsi="Times New Roman" w:eastAsia="黑体" w:cs="Times New Roman"/>
          <w:color w:val="auto"/>
          <w:sz w:val="24"/>
          <w:highlight w:val="none"/>
          <w:lang w:val="en-US" w:eastAsia="zh-CN"/>
        </w:rPr>
      </w:pPr>
      <w:bookmarkStart w:id="1648" w:name="_Toc15500"/>
      <w:r>
        <w:rPr>
          <w:rFonts w:hint="default" w:ascii="Times New Roman" w:hAnsi="Times New Roman" w:eastAsia="黑体" w:cs="Times New Roman"/>
          <w:color w:val="auto"/>
          <w:sz w:val="24"/>
          <w:highlight w:val="none"/>
        </w:rPr>
        <w:t>法定代表人身份证</w:t>
      </w:r>
      <w:r>
        <w:rPr>
          <w:rFonts w:hint="eastAsia" w:eastAsia="黑体" w:cs="Times New Roman"/>
          <w:color w:val="auto"/>
          <w:sz w:val="24"/>
          <w:highlight w:val="none"/>
          <w:lang w:val="en-US" w:eastAsia="zh-CN"/>
        </w:rPr>
        <w:t>原件扫描件</w:t>
      </w:r>
      <w:bookmarkEnd w:id="1648"/>
    </w:p>
    <w:p w14:paraId="1CCC7511">
      <w:pPr>
        <w:ind w:firstLine="420"/>
        <w:rPr>
          <w:rFonts w:hint="default" w:ascii="Times New Roman" w:hAnsi="Times New Roman" w:cs="Times New Roman"/>
          <w:color w:val="auto"/>
          <w:highlight w:val="none"/>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9C5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5C8C9686">
            <w:pPr>
              <w:wordWrap w:val="0"/>
              <w:topLinePunct/>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国徽面</w:t>
            </w:r>
            <w:r>
              <w:rPr>
                <w:rFonts w:hint="default" w:ascii="Times New Roman" w:hAnsi="Times New Roman" w:cs="Times New Roman"/>
                <w:color w:val="auto"/>
                <w:sz w:val="24"/>
                <w:highlight w:val="none"/>
              </w:rPr>
              <w:t>）</w:t>
            </w:r>
          </w:p>
        </w:tc>
        <w:tc>
          <w:tcPr>
            <w:tcW w:w="4644" w:type="dxa"/>
            <w:vAlign w:val="center"/>
          </w:tcPr>
          <w:p w14:paraId="111B8C00">
            <w:pPr>
              <w:wordWrap w:val="0"/>
              <w:topLinePunct/>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人像面</w:t>
            </w:r>
            <w:r>
              <w:rPr>
                <w:rFonts w:hint="default" w:ascii="Times New Roman" w:hAnsi="Times New Roman" w:cs="Times New Roman"/>
                <w:color w:val="auto"/>
                <w:sz w:val="24"/>
                <w:highlight w:val="none"/>
              </w:rPr>
              <w:t>）</w:t>
            </w:r>
          </w:p>
        </w:tc>
      </w:tr>
    </w:tbl>
    <w:p w14:paraId="171E0117">
      <w:pPr>
        <w:wordWrap w:val="0"/>
        <w:topLinePunct/>
        <w:spacing w:line="440" w:lineRule="exact"/>
        <w:rPr>
          <w:rFonts w:hint="default" w:ascii="Times New Roman" w:hAnsi="Times New Roman" w:cs="Times New Roman"/>
          <w:color w:val="auto"/>
          <w:sz w:val="24"/>
          <w:highlight w:val="none"/>
        </w:rPr>
      </w:pPr>
    </w:p>
    <w:p w14:paraId="296851BC">
      <w:pPr>
        <w:wordWrap w:val="0"/>
        <w:topLinePunct/>
        <w:spacing w:line="440" w:lineRule="exact"/>
        <w:rPr>
          <w:rFonts w:hint="default" w:ascii="Times New Roman" w:hAnsi="Times New Roman" w:cs="Times New Roman"/>
          <w:color w:val="auto"/>
          <w:sz w:val="24"/>
          <w:highlight w:val="none"/>
        </w:rPr>
      </w:pPr>
    </w:p>
    <w:p w14:paraId="055C6AFA">
      <w:pPr>
        <w:wordWrap w:val="0"/>
        <w:topLinePunct/>
        <w:spacing w:line="440" w:lineRule="exact"/>
        <w:rPr>
          <w:rFonts w:hint="default" w:ascii="Times New Roman" w:hAnsi="Times New Roman" w:cs="Times New Roman"/>
          <w:color w:val="auto"/>
          <w:sz w:val="24"/>
          <w:highlight w:val="none"/>
        </w:rPr>
      </w:pPr>
    </w:p>
    <w:p w14:paraId="21E0AE5F">
      <w:pPr>
        <w:wordWrap w:val="0"/>
        <w:topLinePunct/>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（全称） （盖单位</w:t>
      </w:r>
      <w:r>
        <w:rPr>
          <w:rFonts w:hint="default" w:ascii="Times New Roman" w:hAnsi="Times New Roman" w:cs="Times New Roman"/>
          <w:color w:val="auto"/>
          <w:sz w:val="24"/>
          <w:highlight w:val="none"/>
          <w:lang w:val="en-US" w:eastAsia="zh-CN"/>
        </w:rPr>
        <w:t>电子印</w:t>
      </w:r>
      <w:r>
        <w:rPr>
          <w:rFonts w:hint="default" w:ascii="Times New Roman" w:hAnsi="Times New Roman" w:cs="Times New Roman"/>
          <w:color w:val="auto"/>
          <w:sz w:val="24"/>
          <w:highlight w:val="none"/>
        </w:rPr>
        <w:t>章）</w:t>
      </w:r>
    </w:p>
    <w:p w14:paraId="6D807BC9">
      <w:pPr>
        <w:wordWrap w:val="0"/>
        <w:topLinePunct/>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4298F57C">
      <w:pPr>
        <w:wordWrap w:val="0"/>
        <w:topLinePunct/>
        <w:spacing w:line="440" w:lineRule="exact"/>
        <w:rPr>
          <w:rFonts w:hint="default" w:ascii="Times New Roman" w:hAnsi="Times New Roman" w:eastAsia="黑体" w:cs="Times New Roman"/>
          <w:color w:val="auto"/>
          <w:sz w:val="24"/>
          <w:highlight w:val="none"/>
        </w:rPr>
      </w:pPr>
    </w:p>
    <w:p w14:paraId="220CAA96">
      <w:pPr>
        <w:wordWrap w:val="0"/>
        <w:topLinePunct/>
        <w:spacing w:line="440" w:lineRule="exact"/>
        <w:rPr>
          <w:rFonts w:hint="default" w:ascii="Times New Roman" w:hAnsi="Times New Roman" w:eastAsia="黑体" w:cs="Times New Roman"/>
          <w:color w:val="auto"/>
          <w:sz w:val="24"/>
          <w:highlight w:val="none"/>
        </w:rPr>
      </w:pPr>
    </w:p>
    <w:p w14:paraId="626B4713">
      <w:pPr>
        <w:wordWrap w:val="0"/>
        <w:topLinePunct/>
        <w:spacing w:line="400" w:lineRule="atLeast"/>
        <w:ind w:firstLine="420" w:firstLineChars="200"/>
        <w:rPr>
          <w:rFonts w:hint="default" w:ascii="Times New Roman" w:hAnsi="Times New Roman" w:eastAsia="黑体" w:cs="Times New Roman"/>
          <w:color w:val="auto"/>
          <w:szCs w:val="21"/>
          <w:highlight w:val="none"/>
        </w:rPr>
      </w:pPr>
      <w:r>
        <w:rPr>
          <w:rFonts w:hint="default" w:ascii="Times New Roman" w:hAnsi="Times New Roman" w:cs="Times New Roman"/>
          <w:color w:val="auto"/>
          <w:kern w:val="2"/>
          <w:sz w:val="21"/>
          <w:szCs w:val="21"/>
          <w:highlight w:val="none"/>
        </w:rPr>
        <w:t>注：</w:t>
      </w:r>
      <w:r>
        <w:rPr>
          <w:rFonts w:hint="default" w:ascii="Times New Roman" w:hAnsi="Times New Roman" w:cs="Times New Roman"/>
          <w:color w:val="auto"/>
          <w:szCs w:val="21"/>
          <w:highlight w:val="none"/>
        </w:rPr>
        <w:t>以联合体形式投标的，本法定代表人身份证明应由联合体牵头人的法定代表人按上述规定签署。</w:t>
      </w:r>
    </w:p>
    <w:p w14:paraId="446C2935">
      <w:pPr>
        <w:pStyle w:val="2"/>
        <w:pageBreakBefore w:val="0"/>
        <w:kinsoku/>
        <w:wordWrap w:val="0"/>
        <w:overflowPunct/>
        <w:bidi w:val="0"/>
        <w:spacing w:beforeLines="150" w:afterLines="100" w:line="380" w:lineRule="atLeast"/>
        <w:jc w:val="center"/>
        <w:outlineLvl w:val="9"/>
        <w:rPr>
          <w:rFonts w:hint="default" w:ascii="Times New Roman" w:hAnsi="Times New Roman" w:eastAsia="黑体" w:cs="Times New Roman"/>
          <w:color w:val="auto"/>
          <w:sz w:val="28"/>
          <w:szCs w:val="28"/>
          <w:highlight w:val="none"/>
        </w:rPr>
        <w:sectPr>
          <w:headerReference r:id="rId39" w:type="even"/>
          <w:footnotePr>
            <w:numFmt w:val="decimalEnclosedCircleChinese"/>
            <w:numRestart w:val="eachPage"/>
          </w:footnotePr>
          <w:type w:val="continuous"/>
          <w:pgSz w:w="11906" w:h="16838"/>
          <w:pgMar w:top="1588" w:right="1644" w:bottom="1474" w:left="1701" w:header="851" w:footer="851" w:gutter="0"/>
          <w:pgNumType w:fmt="decimal"/>
          <w:cols w:space="425" w:num="1"/>
          <w:docGrid w:linePitch="312" w:charSpace="0"/>
        </w:sectPr>
      </w:pPr>
    </w:p>
    <w:p w14:paraId="433B2795">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r>
        <w:rPr>
          <w:rFonts w:hint="default" w:ascii="Times New Roman" w:hAnsi="Times New Roman" w:eastAsia="黑体" w:cs="Times New Roman"/>
          <w:b w:val="0"/>
          <w:i w:val="0"/>
          <w:iCs/>
          <w:color w:val="auto"/>
          <w:sz w:val="30"/>
          <w:szCs w:val="30"/>
          <w:highlight w:val="none"/>
        </w:rPr>
        <w:t>三、联合体协议书</w:t>
      </w:r>
      <w:r>
        <w:rPr>
          <w:rFonts w:hint="default" w:ascii="Times New Roman" w:hAnsi="Times New Roman" w:eastAsia="黑体" w:cs="Times New Roman"/>
          <w:b w:val="0"/>
          <w:i w:val="0"/>
          <w:iCs/>
          <w:color w:val="auto"/>
          <w:sz w:val="30"/>
          <w:szCs w:val="30"/>
          <w:highlight w:val="none"/>
          <w:vertAlign w:val="superscript"/>
        </w:rPr>
        <w:footnoteReference w:id="49"/>
      </w:r>
      <w:bookmarkEnd w:id="1633"/>
      <w:bookmarkEnd w:id="1646"/>
      <w:bookmarkEnd w:id="1647"/>
    </w:p>
    <w:p w14:paraId="4555BF17">
      <w:pPr>
        <w:pageBreakBefore w:val="0"/>
        <w:kinsoku/>
        <w:wordWrap w:val="0"/>
        <w:bidi w:val="0"/>
        <w:spacing w:line="440" w:lineRule="exact"/>
        <w:jc w:val="center"/>
        <w:rPr>
          <w:rFonts w:hint="default" w:ascii="Times New Roman" w:hAnsi="Times New Roman" w:eastAsia="黑体" w:cs="Times New Roman"/>
          <w:color w:val="auto"/>
          <w:sz w:val="24"/>
          <w:highlight w:val="none"/>
        </w:rPr>
      </w:pPr>
    </w:p>
    <w:p w14:paraId="61C68373">
      <w:pPr>
        <w:pageBreakBefore w:val="0"/>
        <w:kinsoku/>
        <w:wordWrap w:val="0"/>
        <w:bidi w:val="0"/>
        <w:spacing w:line="400" w:lineRule="atLeast"/>
        <w:ind w:firstLine="360"/>
        <w:rPr>
          <w:rFonts w:hint="default" w:ascii="Times New Roman" w:hAnsi="Times New Roman" w:cs="Times New Roman"/>
          <w:color w:val="auto"/>
          <w:sz w:val="24"/>
          <w:highlight w:val="none"/>
        </w:rPr>
      </w:pPr>
      <w:bookmarkStart w:id="1649" w:name="_Toc234833262"/>
      <w:bookmarkStart w:id="1650" w:name="_Toc25301"/>
      <w:bookmarkStart w:id="1651" w:name="_Toc21516"/>
      <w:r>
        <w:rPr>
          <w:rFonts w:hint="default" w:ascii="Times New Roman" w:hAnsi="Times New Roman" w:eastAsia="黑体" w:cs="Times New Roman"/>
          <w:color w:val="auto"/>
          <w:sz w:val="24"/>
          <w:highlight w:val="none"/>
          <w:u w:val="single"/>
        </w:rPr>
        <w:t xml:space="preserve">                </w:t>
      </w:r>
      <w:r>
        <w:rPr>
          <w:rFonts w:hint="default" w:ascii="Times New Roman" w:hAnsi="Times New Roman" w:eastAsia="黑体" w:cs="Times New Roman"/>
          <w:color w:val="auto"/>
          <w:sz w:val="24"/>
          <w:highlight w:val="none"/>
        </w:rPr>
        <w:t>（</w:t>
      </w:r>
      <w:r>
        <w:rPr>
          <w:rFonts w:hint="default" w:ascii="Times New Roman" w:hAnsi="Times New Roman" w:cs="Times New Roman"/>
          <w:color w:val="auto"/>
          <w:sz w:val="24"/>
          <w:highlight w:val="none"/>
        </w:rPr>
        <w:t>所有成员单位名称）自愿组成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（联合体名称）联合体，共同参加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标段</w:t>
      </w:r>
      <w:r>
        <w:rPr>
          <w:rFonts w:hint="default" w:ascii="Times New Roman" w:hAnsi="Times New Roman" w:cs="Times New Roman"/>
          <w:color w:val="auto"/>
          <w:sz w:val="24"/>
          <w:highlight w:val="none"/>
        </w:rPr>
        <w:t>名称）施工投标。现就联合体投标事宜订立如下协议。</w:t>
      </w:r>
    </w:p>
    <w:p w14:paraId="0C6459A5">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（某成员单位名称）为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（联合体名称）牵头人。</w:t>
      </w:r>
    </w:p>
    <w:p w14:paraId="16E39F79">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2.联合体各成员授权牵头人代表联合体参加投标活动，签署文件，提交和接收相</w:t>
      </w:r>
      <w:bookmarkStart w:id="1652" w:name="_Toc361508755"/>
      <w:bookmarkStart w:id="1653" w:name="_Toc247527830"/>
      <w:bookmarkStart w:id="1654" w:name="_Toc247514249"/>
      <w:bookmarkStart w:id="1655" w:name="_Toc152045790"/>
      <w:bookmarkStart w:id="1656" w:name="_Toc152042579"/>
      <w:bookmarkStart w:id="1657" w:name="_Toc384308378"/>
      <w:bookmarkStart w:id="1658" w:name="_Toc300835212"/>
      <w:bookmarkStart w:id="1659" w:name="_Toc144974859"/>
      <w:r>
        <w:rPr>
          <w:rFonts w:hint="default" w:ascii="Times New Roman" w:hAnsi="Times New Roman" w:cs="Times New Roman"/>
          <w:color w:val="auto"/>
          <w:sz w:val="24"/>
          <w:highlight w:val="none"/>
        </w:rPr>
        <w:t>关的</w:t>
      </w:r>
      <w:bookmarkStart w:id="1660" w:name="_Toc369531700"/>
      <w:bookmarkStart w:id="1661" w:name="_Toc352691664"/>
      <w:bookmarkStart w:id="1662" w:name="_Toc7749"/>
      <w:r>
        <w:rPr>
          <w:rFonts w:hint="default" w:ascii="Times New Roman" w:hAnsi="Times New Roman" w:cs="Times New Roman"/>
          <w:color w:val="auto"/>
          <w:sz w:val="24"/>
          <w:highlight w:val="none"/>
        </w:rPr>
        <w:t>资料、信息及</w:t>
      </w:r>
      <w:bookmarkEnd w:id="1660"/>
      <w:bookmarkEnd w:id="1661"/>
      <w:bookmarkEnd w:id="1662"/>
      <w:r>
        <w:rPr>
          <w:rFonts w:hint="default" w:ascii="Times New Roman" w:hAnsi="Times New Roman" w:cs="Times New Roman"/>
          <w:color w:val="auto"/>
          <w:sz w:val="24"/>
          <w:highlight w:val="none"/>
        </w:rPr>
        <w:t>指</w:t>
      </w:r>
      <w:bookmarkEnd w:id="1652"/>
      <w:bookmarkEnd w:id="1653"/>
      <w:bookmarkEnd w:id="1654"/>
      <w:bookmarkEnd w:id="1655"/>
      <w:bookmarkEnd w:id="1656"/>
      <w:bookmarkEnd w:id="1657"/>
      <w:bookmarkEnd w:id="1658"/>
      <w:bookmarkEnd w:id="1659"/>
      <w:r>
        <w:rPr>
          <w:rFonts w:hint="default" w:ascii="Times New Roman" w:hAnsi="Times New Roman" w:cs="Times New Roman"/>
          <w:color w:val="auto"/>
          <w:sz w:val="24"/>
          <w:highlight w:val="none"/>
        </w:rPr>
        <w:t>示，进行合同谈判活动，负责合同实施阶段的组织和协调工作，以及处理与本招标项目有关的一切事宜。</w:t>
      </w:r>
    </w:p>
    <w:p w14:paraId="5822A898">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FDC54ED">
      <w:pPr>
        <w:pageBreakBefore w:val="0"/>
        <w:kinsoku/>
        <w:wordWrap w:val="0"/>
        <w:topLinePunct/>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4.联合体各成员单位内部的职责分工如下：</w:t>
      </w:r>
      <w:r>
        <w:rPr>
          <w:rFonts w:hint="default" w:ascii="Times New Roman" w:hAnsi="Times New Roman" w:cs="Times New Roman"/>
          <w:color w:val="auto"/>
          <w:sz w:val="24"/>
          <w:highlight w:val="none"/>
          <w:u w:val="single"/>
        </w:rPr>
        <w:t>（牵头人名称）</w:t>
      </w:r>
      <w:r>
        <w:rPr>
          <w:rFonts w:hint="default" w:ascii="Times New Roman" w:hAnsi="Times New Roman" w:cs="Times New Roman"/>
          <w:color w:val="auto"/>
          <w:sz w:val="24"/>
          <w:highlight w:val="none"/>
        </w:rPr>
        <w:t>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专业工程，占总工程量的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Style w:val="48"/>
          <w:rFonts w:hint="default" w:ascii="Times New Roman" w:hAnsi="Times New Roman" w:cs="Times New Roman"/>
          <w:color w:val="auto"/>
          <w:sz w:val="24"/>
          <w:highlight w:val="none"/>
        </w:rPr>
        <w:footnoteReference w:id="50"/>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（成员一名称）</w:t>
      </w:r>
      <w:r>
        <w:rPr>
          <w:rFonts w:hint="default" w:ascii="Times New Roman" w:hAnsi="Times New Roman" w:cs="Times New Roman"/>
          <w:color w:val="auto"/>
          <w:sz w:val="24"/>
          <w:highlight w:val="none"/>
        </w:rPr>
        <w:t>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专业工程，占总工程量的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F4F11C2">
      <w:pPr>
        <w:pageBreakBefore w:val="0"/>
        <w:kinsoku/>
        <w:wordWrap w:val="0"/>
        <w:topLinePunct/>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5.投标工作和联合体在中标后工程实施过程中的有关费用按各自承担的工作量分摊。</w:t>
      </w:r>
    </w:p>
    <w:p w14:paraId="48756149">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6.本协议书自所有成员单位法定代表人签字并加盖单位章之日起生效，合同履行完毕后自动失效。</w:t>
      </w:r>
    </w:p>
    <w:p w14:paraId="47E616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bookmarkStart w:id="1663" w:name="_Toc8257"/>
      <w:bookmarkStart w:id="1664" w:name="_Toc26822"/>
      <w:r>
        <w:rPr>
          <w:rFonts w:hint="default" w:ascii="Times New Roman" w:hAnsi="Times New Roman" w:cs="Times New Roman"/>
          <w:color w:val="auto"/>
          <w:sz w:val="24"/>
          <w:highlight w:val="none"/>
        </w:rPr>
        <w:t>7.本协议书一式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份，联合体成员和招标人各执一份。</w:t>
      </w:r>
      <w:bookmarkEnd w:id="1663"/>
      <w:bookmarkEnd w:id="1664"/>
    </w:p>
    <w:p w14:paraId="4EA061D9">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p>
    <w:p w14:paraId="7F979ABA">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联合体牵头人名称：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lang w:val="en-US" w:eastAsia="zh-CN"/>
        </w:rPr>
        <w:t>或盖单位电子印章</w:t>
      </w:r>
      <w:r>
        <w:rPr>
          <w:rFonts w:hint="default" w:ascii="Times New Roman" w:hAnsi="Times New Roman" w:cs="Times New Roman"/>
          <w:color w:val="auto"/>
          <w:sz w:val="24"/>
          <w:highlight w:val="none"/>
        </w:rPr>
        <w:t>）</w:t>
      </w:r>
    </w:p>
    <w:p w14:paraId="203AA59C">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val="en-US" w:eastAsia="zh-CN"/>
        </w:rPr>
        <w:t>或</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25A17274">
      <w:pPr>
        <w:topLinePunct/>
        <w:spacing w:line="400" w:lineRule="atLeast"/>
        <w:ind w:firstLine="411" w:firstLineChars="19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6125465C">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联合体成员名称：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lang w:val="en-US" w:eastAsia="zh-CN"/>
        </w:rPr>
        <w:t>或盖单位电子印章</w:t>
      </w:r>
      <w:r>
        <w:rPr>
          <w:rFonts w:hint="default" w:ascii="Times New Roman" w:hAnsi="Times New Roman" w:cs="Times New Roman"/>
          <w:color w:val="auto"/>
          <w:sz w:val="24"/>
          <w:highlight w:val="none"/>
        </w:rPr>
        <w:t>）</w:t>
      </w:r>
    </w:p>
    <w:p w14:paraId="1A27E645">
      <w:pPr>
        <w:pageBreakBefore w:val="0"/>
        <w:kinsoku/>
        <w:wordWrap w:val="0"/>
        <w:overflowPunct/>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val="en-US" w:eastAsia="zh-CN"/>
        </w:rPr>
        <w:t>或</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33A9CB52">
      <w:pPr>
        <w:pageBreakBefore w:val="0"/>
        <w:kinsoku/>
        <w:wordWrap w:val="0"/>
        <w:overflowPunct/>
        <w:bidi w:val="0"/>
        <w:spacing w:line="400" w:lineRule="atLeast"/>
        <w:ind w:firstLine="480" w:firstLineChars="20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w:t>
      </w:r>
    </w:p>
    <w:p w14:paraId="06C6FB8A">
      <w:pPr>
        <w:pageBreakBefore w:val="0"/>
        <w:kinsoku/>
        <w:wordWrap w:val="0"/>
        <w:bidi w:val="0"/>
        <w:spacing w:line="400" w:lineRule="atLeast"/>
        <w:ind w:firstLine="4620" w:firstLineChars="1925"/>
        <w:rPr>
          <w:rFonts w:hint="default" w:ascii="Times New Roman" w:hAnsi="Times New Roman" w:eastAsia="黑体" w:cs="Times New Roman"/>
          <w:color w:val="auto"/>
          <w:sz w:val="24"/>
          <w:highlight w:val="none"/>
          <w:u w:val="singl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33C4BDDD">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r>
        <w:rPr>
          <w:rFonts w:hint="default" w:ascii="Times New Roman" w:hAnsi="Times New Roman" w:eastAsia="黑体" w:cs="Times New Roman"/>
          <w:b w:val="0"/>
          <w:color w:val="auto"/>
          <w:sz w:val="28"/>
          <w:szCs w:val="28"/>
          <w:highlight w:val="none"/>
        </w:rPr>
        <w:br w:type="page"/>
      </w:r>
      <w:r>
        <w:rPr>
          <w:rFonts w:hint="default" w:ascii="Times New Roman" w:hAnsi="Times New Roman" w:eastAsia="黑体" w:cs="Times New Roman"/>
          <w:b w:val="0"/>
          <w:i w:val="0"/>
          <w:iCs/>
          <w:color w:val="auto"/>
          <w:sz w:val="30"/>
          <w:szCs w:val="30"/>
          <w:highlight w:val="none"/>
        </w:rPr>
        <w:t>四、投标保证金</w:t>
      </w:r>
      <w:bookmarkEnd w:id="1649"/>
      <w:bookmarkEnd w:id="1650"/>
      <w:bookmarkEnd w:id="1651"/>
    </w:p>
    <w:p w14:paraId="1B4F15C8">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p>
    <w:p w14:paraId="4C1EA4DF">
      <w:pPr>
        <w:spacing w:line="400" w:lineRule="atLeast"/>
        <w:ind w:firstLine="508" w:firstLineChars="21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若采用现金，投标人应在此提供汇款凭证的</w:t>
      </w:r>
      <w:r>
        <w:rPr>
          <w:rFonts w:hint="eastAsia" w:cs="Times New Roman"/>
          <w:color w:val="auto"/>
          <w:sz w:val="24"/>
          <w:highlight w:val="none"/>
          <w:lang w:val="en-US" w:eastAsia="zh-CN"/>
        </w:rPr>
        <w:t>原件扫描件</w:t>
      </w:r>
      <w:r>
        <w:rPr>
          <w:rFonts w:hint="default" w:ascii="Times New Roman" w:hAnsi="Times New Roman" w:cs="Times New Roman"/>
          <w:color w:val="auto"/>
          <w:sz w:val="24"/>
          <w:highlight w:val="none"/>
        </w:rPr>
        <w:t>。</w:t>
      </w:r>
    </w:p>
    <w:p w14:paraId="6B8B6226">
      <w:pPr>
        <w:spacing w:line="400" w:lineRule="exact"/>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若采用电子保函，</w:t>
      </w:r>
      <w:r>
        <w:rPr>
          <w:rFonts w:hint="default" w:ascii="Times New Roman" w:hAnsi="Times New Roman" w:cs="Times New Roman"/>
          <w:color w:val="auto"/>
          <w:sz w:val="24"/>
          <w:highlight w:val="none"/>
        </w:rPr>
        <w:t>投标人应在此提供</w:t>
      </w:r>
      <w:r>
        <w:rPr>
          <w:rFonts w:hint="default" w:ascii="Times New Roman" w:hAnsi="Times New Roman" w:cs="Times New Roman"/>
          <w:b w:val="0"/>
          <w:bCs w:val="0"/>
          <w:color w:val="auto"/>
          <w:sz w:val="24"/>
          <w:szCs w:val="24"/>
          <w:highlight w:val="none"/>
          <w:lang w:val="en-US" w:eastAsia="zh-CN"/>
        </w:rPr>
        <w:t>电子化保函验真渠道和从投标人基本账户支出</w:t>
      </w:r>
      <w:r>
        <w:rPr>
          <w:rFonts w:hint="eastAsia" w:cs="Times New Roman"/>
          <w:b w:val="0"/>
          <w:bCs w:val="0"/>
          <w:color w:val="auto"/>
          <w:sz w:val="24"/>
          <w:szCs w:val="24"/>
          <w:highlight w:val="none"/>
          <w:lang w:val="en-US" w:eastAsia="zh-CN"/>
        </w:rPr>
        <w:t>的</w:t>
      </w:r>
      <w:r>
        <w:rPr>
          <w:rFonts w:hint="default" w:ascii="Times New Roman" w:hAnsi="Times New Roman" w:cs="Times New Roman"/>
          <w:b w:val="0"/>
          <w:bCs w:val="0"/>
          <w:color w:val="auto"/>
          <w:sz w:val="24"/>
          <w:szCs w:val="24"/>
          <w:highlight w:val="none"/>
          <w:lang w:val="en-US" w:eastAsia="zh-CN"/>
        </w:rPr>
        <w:t>保函财务费用支付</w:t>
      </w:r>
      <w:r>
        <w:rPr>
          <w:rFonts w:hint="eastAsia" w:cs="Times New Roman"/>
          <w:b w:val="0"/>
          <w:bCs w:val="0"/>
          <w:color w:val="auto"/>
          <w:sz w:val="24"/>
          <w:szCs w:val="24"/>
          <w:highlight w:val="none"/>
          <w:lang w:val="en-US" w:eastAsia="zh-CN"/>
        </w:rPr>
        <w:t>凭证</w:t>
      </w:r>
      <w:r>
        <w:rPr>
          <w:rFonts w:hint="default" w:ascii="Times New Roman" w:hAnsi="Times New Roman" w:cs="Times New Roman"/>
          <w:b w:val="0"/>
          <w:bCs w:val="0"/>
          <w:color w:val="auto"/>
          <w:sz w:val="24"/>
          <w:szCs w:val="24"/>
          <w:highlight w:val="none"/>
          <w:lang w:val="en-US" w:eastAsia="zh-CN"/>
        </w:rPr>
        <w:t>。</w:t>
      </w:r>
    </w:p>
    <w:p w14:paraId="3D706224">
      <w:pPr>
        <w:spacing w:line="400" w:lineRule="exact"/>
        <w:ind w:firstLine="480" w:firstLineChars="20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lang w:val="en-US" w:eastAsia="zh-CN"/>
        </w:rPr>
        <w:t>若</w:t>
      </w:r>
      <w:r>
        <w:rPr>
          <w:rFonts w:hint="default" w:ascii="Times New Roman" w:hAnsi="Times New Roman" w:cs="Times New Roman"/>
          <w:color w:val="auto"/>
          <w:sz w:val="24"/>
          <w:highlight w:val="none"/>
        </w:rPr>
        <w:t>采用银行保函，投标人应在此提供银行保函</w:t>
      </w:r>
      <w:r>
        <w:rPr>
          <w:rFonts w:hint="eastAsia" w:cs="Times New Roman"/>
          <w:color w:val="auto"/>
          <w:sz w:val="24"/>
          <w:highlight w:val="none"/>
          <w:lang w:val="en-US" w:eastAsia="zh-CN"/>
        </w:rPr>
        <w:t>原件扫描件</w:t>
      </w:r>
      <w:r>
        <w:rPr>
          <w:rFonts w:hint="default" w:ascii="Times New Roman" w:hAnsi="Times New Roman" w:cs="Times New Roman"/>
          <w:color w:val="auto"/>
          <w:sz w:val="24"/>
          <w:highlight w:val="none"/>
        </w:rPr>
        <w:t>，格式如下。</w:t>
      </w:r>
    </w:p>
    <w:p w14:paraId="5068F21D">
      <w:pPr>
        <w:spacing w:line="400" w:lineRule="exact"/>
        <w:ind w:firstLine="480" w:firstLineChars="200"/>
        <w:rPr>
          <w:rFonts w:hint="default" w:ascii="Times New Roman" w:hAnsi="Times New Roman" w:cs="Times New Roman"/>
          <w:color w:val="auto"/>
          <w:sz w:val="24"/>
          <w:highlight w:val="none"/>
        </w:rPr>
      </w:pPr>
    </w:p>
    <w:p w14:paraId="744560AF">
      <w:pPr>
        <w:spacing w:line="40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投标保函</w:t>
      </w:r>
    </w:p>
    <w:p w14:paraId="7337287E">
      <w:pPr>
        <w:spacing w:line="400" w:lineRule="exact"/>
        <w:rPr>
          <w:rFonts w:hint="default" w:ascii="Times New Roman" w:hAnsi="Times New Roman" w:cs="Times New Roman"/>
          <w:color w:val="auto"/>
          <w:sz w:val="24"/>
          <w:highlight w:val="none"/>
          <w:u w:val="single"/>
        </w:rPr>
      </w:pPr>
    </w:p>
    <w:p w14:paraId="656689A2">
      <w:pPr>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你方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p>
    <w:p w14:paraId="67144301">
      <w:pPr>
        <w:spacing w:line="400" w:lineRule="exact"/>
        <w:jc w:val="center"/>
        <w:rPr>
          <w:rFonts w:hint="default" w:ascii="Times New Roman" w:hAnsi="Times New Roman" w:cs="Times New Roman"/>
          <w:color w:val="auto"/>
          <w:sz w:val="24"/>
          <w:highlight w:val="none"/>
        </w:rPr>
      </w:pPr>
    </w:p>
    <w:p w14:paraId="2A21E144">
      <w:pPr>
        <w:wordWrap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（投标人名称）（以下称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日参加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eastAsia" w:cs="Times New Roman"/>
          <w:color w:val="auto"/>
          <w:sz w:val="24"/>
          <w:highlight w:val="none"/>
          <w:lang w:val="en-US" w:eastAsia="zh-CN"/>
        </w:rPr>
        <w:t>施工</w:t>
      </w:r>
      <w:r>
        <w:rPr>
          <w:rFonts w:hint="default" w:ascii="Times New Roman" w:hAnsi="Times New Roman" w:cs="Times New Roman"/>
          <w:color w:val="auto"/>
          <w:sz w:val="24"/>
          <w:highlight w:val="none"/>
        </w:rPr>
        <w:t>的投标，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（担保人名称，以下简称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我方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743E262C">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本保函在投标有效期或经延长的投标有效期内保持有效。要求我方承担保证责任的通知应在上述期限内送达我方。你方延长投标有效期的决定，应通知我方。</w:t>
      </w:r>
    </w:p>
    <w:p w14:paraId="3F63547A">
      <w:pPr>
        <w:rPr>
          <w:rFonts w:hint="default" w:ascii="Times New Roman" w:hAnsi="Times New Roman" w:cs="Times New Roman"/>
          <w:color w:val="auto"/>
          <w:sz w:val="24"/>
          <w:highlight w:val="none"/>
        </w:rPr>
      </w:pPr>
    </w:p>
    <w:p w14:paraId="3D574408">
      <w:pPr>
        <w:rPr>
          <w:rFonts w:hint="default" w:ascii="Times New Roman" w:hAnsi="Times New Roman" w:cs="Times New Roman"/>
          <w:color w:val="auto"/>
          <w:sz w:val="24"/>
          <w:highlight w:val="none"/>
        </w:rPr>
      </w:pPr>
    </w:p>
    <w:p w14:paraId="66F123E7">
      <w:pPr>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担保人名称：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6B3559B2">
      <w:pPr>
        <w:autoSpaceDE w:val="0"/>
        <w:autoSpaceDN w:val="0"/>
        <w:adjustRightInd w:val="0"/>
        <w:spacing w:line="400" w:lineRule="atLeast"/>
        <w:ind w:firstLine="2400" w:firstLineChars="10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担保人法定代表人或其委托代理人（签字）：</w:t>
      </w:r>
      <w:r>
        <w:rPr>
          <w:rFonts w:hint="default" w:ascii="Times New Roman" w:hAnsi="Times New Roman" w:cs="Times New Roman"/>
          <w:color w:val="auto"/>
          <w:sz w:val="24"/>
          <w:highlight w:val="none"/>
          <w:u w:val="single"/>
        </w:rPr>
        <w:t xml:space="preserve">                 </w:t>
      </w:r>
    </w:p>
    <w:p w14:paraId="5C75A127">
      <w:pPr>
        <w:autoSpaceDE w:val="0"/>
        <w:autoSpaceDN w:val="0"/>
        <w:adjustRightInd w:val="0"/>
        <w:spacing w:line="400" w:lineRule="atLeast"/>
        <w:ind w:left="2409" w:leftChars="1147"/>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担保人地址：</w:t>
      </w:r>
      <w:r>
        <w:rPr>
          <w:rFonts w:hint="default" w:ascii="Times New Roman" w:hAnsi="Times New Roman" w:cs="Times New Roman"/>
          <w:color w:val="auto"/>
          <w:sz w:val="24"/>
          <w:highlight w:val="none"/>
          <w:u w:val="single"/>
        </w:rPr>
        <w:t xml:space="preserve">                                        </w:t>
      </w:r>
    </w:p>
    <w:p w14:paraId="4B04546D">
      <w:pPr>
        <w:autoSpaceDE w:val="0"/>
        <w:autoSpaceDN w:val="0"/>
        <w:adjustRightInd w:val="0"/>
        <w:spacing w:line="400" w:lineRule="atLeast"/>
        <w:ind w:left="2409" w:leftChars="1147"/>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担保人电话：</w:t>
      </w:r>
      <w:r>
        <w:rPr>
          <w:rFonts w:hint="default" w:ascii="Times New Roman" w:hAnsi="Times New Roman" w:cs="Times New Roman"/>
          <w:color w:val="auto"/>
          <w:sz w:val="24"/>
          <w:highlight w:val="none"/>
          <w:u w:val="single"/>
        </w:rPr>
        <w:t xml:space="preserve">                  </w:t>
      </w:r>
    </w:p>
    <w:p w14:paraId="4C6F8CDB">
      <w:pPr>
        <w:autoSpaceDE w:val="0"/>
        <w:autoSpaceDN w:val="0"/>
        <w:adjustRightInd w:val="0"/>
        <w:spacing w:line="400" w:lineRule="atLeast"/>
        <w:ind w:left="2409" w:leftChars="1147"/>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担保人传真：</w:t>
      </w:r>
      <w:r>
        <w:rPr>
          <w:rFonts w:hint="default" w:ascii="Times New Roman" w:hAnsi="Times New Roman" w:cs="Times New Roman"/>
          <w:color w:val="auto"/>
          <w:sz w:val="24"/>
          <w:highlight w:val="none"/>
          <w:u w:val="single"/>
        </w:rPr>
        <w:t xml:space="preserve">                  </w:t>
      </w:r>
    </w:p>
    <w:p w14:paraId="17AD3560">
      <w:pPr>
        <w:pageBreakBefore w:val="0"/>
        <w:kinsoku/>
        <w:wordWrap w:val="0"/>
        <w:overflowPunct/>
        <w:bidi w:val="0"/>
        <w:spacing w:line="440" w:lineRule="exact"/>
        <w:ind w:firstLine="5040" w:firstLineChars="2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C870398">
      <w:pPr>
        <w:pageBreakBefore w:val="0"/>
        <w:kinsoku/>
        <w:wordWrap w:val="0"/>
        <w:bidi w:val="0"/>
        <w:spacing w:line="440" w:lineRule="exact"/>
        <w:rPr>
          <w:rFonts w:hint="default" w:ascii="Times New Roman" w:hAnsi="Times New Roman" w:cs="Times New Roman"/>
          <w:color w:val="auto"/>
          <w:sz w:val="24"/>
          <w:highlight w:val="none"/>
        </w:rPr>
      </w:pPr>
    </w:p>
    <w:p w14:paraId="521AF0A9">
      <w:pPr>
        <w:pageBreakBefore w:val="0"/>
        <w:kinsoku/>
        <w:wordWrap w:val="0"/>
        <w:bidi w:val="0"/>
        <w:spacing w:line="440" w:lineRule="exact"/>
        <w:rPr>
          <w:rFonts w:hint="default" w:ascii="Times New Roman" w:hAnsi="Times New Roman" w:eastAsia="黑体" w:cs="Times New Roman"/>
          <w:color w:val="auto"/>
          <w:sz w:val="24"/>
          <w:highlight w:val="none"/>
        </w:rPr>
      </w:pPr>
    </w:p>
    <w:p w14:paraId="03C82F92">
      <w:pPr>
        <w:pageBreakBefore w:val="0"/>
        <w:kinsoku/>
        <w:wordWrap w:val="0"/>
        <w:bidi w:val="0"/>
        <w:spacing w:line="440" w:lineRule="exact"/>
        <w:rPr>
          <w:rFonts w:hint="default" w:ascii="Times New Roman" w:hAnsi="Times New Roman" w:cs="Times New Roman"/>
          <w:color w:val="auto"/>
          <w:sz w:val="24"/>
          <w:highlight w:val="none"/>
        </w:rPr>
      </w:pPr>
    </w:p>
    <w:p w14:paraId="207018A3">
      <w:pPr>
        <w:pStyle w:val="6"/>
        <w:keepLines w:val="0"/>
        <w:pageBreakBefore w:val="0"/>
        <w:widowControl w:val="0"/>
        <w:kinsoku/>
        <w:wordWrap w:val="0"/>
        <w:overflowPunct/>
        <w:topLinePunct w:val="0"/>
        <w:autoSpaceDE/>
        <w:autoSpaceDN/>
        <w:bidi w:val="0"/>
        <w:snapToGrid/>
        <w:spacing w:before="0" w:after="0" w:line="360" w:lineRule="auto"/>
        <w:jc w:val="center"/>
        <w:outlineLvl w:val="3"/>
        <w:rPr>
          <w:rFonts w:hint="default" w:ascii="Times New Roman" w:hAnsi="Times New Roman" w:eastAsia="黑体" w:cs="Times New Roman"/>
          <w:b w:val="0"/>
          <w:i w:val="0"/>
          <w:iCs/>
          <w:color w:val="auto"/>
          <w:sz w:val="30"/>
          <w:szCs w:val="30"/>
          <w:highlight w:val="none"/>
          <w:lang w:eastAsia="zh-CN"/>
        </w:rPr>
      </w:pPr>
      <w:bookmarkStart w:id="1665" w:name="_Toc27090"/>
      <w:bookmarkStart w:id="1666" w:name="_Toc14539"/>
      <w:bookmarkStart w:id="1667" w:name="_Toc234833264"/>
      <w:r>
        <w:rPr>
          <w:rFonts w:hint="default" w:ascii="Times New Roman" w:hAnsi="Times New Roman" w:eastAsia="黑体" w:cs="Times New Roman"/>
          <w:b w:val="0"/>
          <w:i w:val="0"/>
          <w:iCs/>
          <w:color w:val="auto"/>
          <w:sz w:val="30"/>
          <w:szCs w:val="30"/>
          <w:highlight w:val="none"/>
        </w:rPr>
        <w:t>五、施工组织设计</w:t>
      </w:r>
      <w:bookmarkEnd w:id="1665"/>
      <w:bookmarkEnd w:id="1666"/>
    </w:p>
    <w:p w14:paraId="2E10A23B">
      <w:pPr>
        <w:keepLines w:val="0"/>
        <w:pageBreakBefore w:val="0"/>
        <w:widowControl w:val="0"/>
        <w:kinsoku/>
        <w:wordWrap w:val="0"/>
        <w:overflowPunct/>
        <w:topLinePunct w:val="0"/>
        <w:autoSpaceDE/>
        <w:autoSpaceDN/>
        <w:bidi w:val="0"/>
        <w:snapToGrid/>
        <w:spacing w:line="360" w:lineRule="auto"/>
        <w:jc w:val="center"/>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（适用于合理低价法和经评审的最低投标价法）</w:t>
      </w:r>
    </w:p>
    <w:p w14:paraId="3ACE575A">
      <w:pPr>
        <w:keepLines w:val="0"/>
        <w:pageBreakBefore w:val="0"/>
        <w:widowControl w:val="0"/>
        <w:kinsoku/>
        <w:wordWrap w:val="0"/>
        <w:overflowPunct/>
        <w:topLinePunct w:val="0"/>
        <w:autoSpaceDE/>
        <w:autoSpaceDN/>
        <w:bidi w:val="0"/>
        <w:snapToGrid/>
        <w:spacing w:line="360" w:lineRule="auto"/>
        <w:rPr>
          <w:rFonts w:hint="default" w:ascii="Times New Roman" w:hAnsi="Times New Roman" w:eastAsia="黑体" w:cs="Times New Roman"/>
          <w:color w:val="auto"/>
          <w:sz w:val="20"/>
          <w:szCs w:val="20"/>
          <w:highlight w:val="none"/>
        </w:rPr>
      </w:pPr>
    </w:p>
    <w:p w14:paraId="1562EC56">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投标人应按以下要点编制施工组织设计（文字宜精炼、内容具有针对性）：</w:t>
      </w:r>
    </w:p>
    <w:p w14:paraId="2A4470DC">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1.总体施工组织布置及规划</w:t>
      </w:r>
    </w:p>
    <w:p w14:paraId="2C873189">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2.重点、关键和难点工程的施工方案</w:t>
      </w:r>
    </w:p>
    <w:p w14:paraId="07FD9D0F">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3.工期关键线路图及保证措施</w:t>
      </w:r>
    </w:p>
    <w:p w14:paraId="3558085A">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4.关键工程质量保证措施</w:t>
      </w:r>
    </w:p>
    <w:p w14:paraId="01CF1454">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5.安全保证措施</w:t>
      </w:r>
    </w:p>
    <w:p w14:paraId="5CE73016">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6.环境保护、水土保持、文明施工、文物保护保证措施</w:t>
      </w:r>
    </w:p>
    <w:p w14:paraId="049DEFD2">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7.项目风险预测与防范，事故应急预案</w:t>
      </w:r>
    </w:p>
    <w:p w14:paraId="195FD140">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8.其他应说明的事项</w:t>
      </w:r>
    </w:p>
    <w:p w14:paraId="2A234B49">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p>
    <w:p w14:paraId="1DC3E517">
      <w:pPr>
        <w:pageBreakBefore w:val="0"/>
        <w:kinsoku/>
        <w:wordWrap w:val="0"/>
        <w:bidi w:val="0"/>
        <w:spacing w:before="0" w:after="0" w:line="380" w:lineRule="atLeast"/>
        <w:outlineLvl w:val="9"/>
        <w:rPr>
          <w:rFonts w:hint="default" w:ascii="Times New Roman" w:hAnsi="Times New Roman" w:eastAsia="黑体" w:cs="Times New Roman"/>
          <w:color w:val="auto"/>
          <w:sz w:val="27"/>
          <w:szCs w:val="27"/>
          <w:highlight w:val="none"/>
        </w:rPr>
      </w:pPr>
      <w:r>
        <w:rPr>
          <w:rFonts w:hint="default" w:ascii="Times New Roman" w:hAnsi="Times New Roman" w:eastAsia="黑体" w:cs="Times New Roman"/>
          <w:b w:val="0"/>
          <w:color w:val="auto"/>
          <w:sz w:val="28"/>
          <w:szCs w:val="28"/>
          <w:highlight w:val="none"/>
        </w:rPr>
        <w:br w:type="page"/>
      </w:r>
      <w:bookmarkEnd w:id="1667"/>
    </w:p>
    <w:p w14:paraId="345FFD36">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bookmarkStart w:id="1668" w:name="_Toc12366"/>
      <w:bookmarkStart w:id="1669" w:name="_Toc234833275"/>
      <w:bookmarkStart w:id="1670" w:name="_Toc7173"/>
      <w:r>
        <w:rPr>
          <w:rFonts w:hint="default" w:ascii="Times New Roman" w:hAnsi="Times New Roman" w:eastAsia="黑体" w:cs="Times New Roman"/>
          <w:b w:val="0"/>
          <w:i w:val="0"/>
          <w:iCs/>
          <w:color w:val="auto"/>
          <w:sz w:val="30"/>
          <w:szCs w:val="30"/>
          <w:highlight w:val="none"/>
        </w:rPr>
        <w:t>六、项目管理机构</w:t>
      </w:r>
      <w:bookmarkEnd w:id="1668"/>
      <w:bookmarkEnd w:id="1669"/>
      <w:bookmarkEnd w:id="1670"/>
    </w:p>
    <w:p w14:paraId="144E910B">
      <w:pPr>
        <w:pageBreakBefore w:val="0"/>
        <w:kinsoku/>
        <w:wordWrap w:val="0"/>
        <w:bidi w:val="0"/>
        <w:spacing w:before="0" w:after="0" w:line="380" w:lineRule="atLeast"/>
        <w:outlineLvl w:val="9"/>
        <w:rPr>
          <w:rFonts w:hint="default" w:ascii="Times New Roman" w:hAnsi="Times New Roman" w:eastAsia="黑体" w:cs="Times New Roman"/>
          <w:b w:val="0"/>
          <w:color w:val="auto"/>
          <w:sz w:val="28"/>
          <w:szCs w:val="28"/>
          <w:highlight w:val="none"/>
        </w:rPr>
      </w:pPr>
    </w:p>
    <w:p w14:paraId="1BFAB566">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color w:val="auto"/>
          <w:sz w:val="20"/>
          <w:szCs w:val="20"/>
          <w:highlight w:val="none"/>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145D1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2259A31B">
            <w:pPr>
              <w:pageBreakBefore w:val="0"/>
              <w:kinsoku/>
              <w:wordWrap w:val="0"/>
              <w:bidi w:val="0"/>
              <w:spacing w:line="520" w:lineRule="atLeast"/>
              <w:ind w:left="266" w:hanging="266"/>
              <w:rPr>
                <w:rFonts w:hint="default" w:ascii="Times New Roman" w:hAnsi="Times New Roman" w:cs="Times New Roman"/>
                <w:color w:val="auto"/>
                <w:szCs w:val="21"/>
                <w:highlight w:val="none"/>
              </w:rPr>
            </w:pPr>
          </w:p>
          <w:p w14:paraId="71E59562">
            <w:pPr>
              <w:pageBreakBefore w:val="0"/>
              <w:kinsoku/>
              <w:wordWrap w:val="0"/>
              <w:bidi w:val="0"/>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拟为承包本标段工程设立的组织机构以框图方式表示。</w:t>
            </w:r>
          </w:p>
          <w:p w14:paraId="0C2396A2">
            <w:pPr>
              <w:pageBreakBefore w:val="0"/>
              <w:kinsoku/>
              <w:wordWrap w:val="0"/>
              <w:bidi w:val="0"/>
              <w:spacing w:line="520" w:lineRule="atLeast"/>
              <w:rPr>
                <w:rFonts w:hint="default" w:ascii="Times New Roman" w:hAnsi="Times New Roman" w:cs="Times New Roman"/>
                <w:color w:val="auto"/>
                <w:szCs w:val="21"/>
                <w:highlight w:val="none"/>
              </w:rPr>
            </w:pPr>
          </w:p>
          <w:p w14:paraId="6188410A">
            <w:pPr>
              <w:pageBreakBefore w:val="0"/>
              <w:kinsoku/>
              <w:wordWrap w:val="0"/>
              <w:bidi w:val="0"/>
              <w:spacing w:line="520" w:lineRule="atLeast"/>
              <w:rPr>
                <w:rFonts w:hint="default" w:ascii="Times New Roman" w:hAnsi="Times New Roman" w:cs="Times New Roman"/>
                <w:color w:val="auto"/>
                <w:szCs w:val="21"/>
                <w:highlight w:val="none"/>
              </w:rPr>
            </w:pPr>
          </w:p>
          <w:p w14:paraId="70C81EF3">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560B9AC4">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718554DF">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09270658">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3E0E4F62">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5BAF2EA3">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1791A0FA">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2C2E095D">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6B78BD73">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7B31DAAD">
            <w:pPr>
              <w:pageBreakBefore w:val="0"/>
              <w:kinsoku/>
              <w:wordWrap w:val="0"/>
              <w:bidi w:val="0"/>
              <w:spacing w:line="520" w:lineRule="atLeast"/>
              <w:rPr>
                <w:rFonts w:hint="default" w:ascii="Times New Roman" w:hAnsi="Times New Roman" w:cs="Times New Roman"/>
                <w:color w:val="auto"/>
                <w:szCs w:val="21"/>
                <w:highlight w:val="none"/>
              </w:rPr>
            </w:pPr>
          </w:p>
          <w:p w14:paraId="3D2DC79F">
            <w:pPr>
              <w:pageBreakBefore w:val="0"/>
              <w:kinsoku/>
              <w:wordWrap w:val="0"/>
              <w:bidi w:val="0"/>
              <w:spacing w:line="520" w:lineRule="atLeast"/>
              <w:rPr>
                <w:rFonts w:hint="default" w:ascii="Times New Roman" w:hAnsi="Times New Roman" w:cs="Times New Roman"/>
                <w:color w:val="auto"/>
                <w:szCs w:val="21"/>
                <w:highlight w:val="none"/>
              </w:rPr>
            </w:pPr>
          </w:p>
        </w:tc>
      </w:tr>
      <w:tr w14:paraId="5F1FC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169C0A65">
            <w:pPr>
              <w:pageBreakBefore w:val="0"/>
              <w:kinsoku/>
              <w:wordWrap w:val="0"/>
              <w:bidi w:val="0"/>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w:t>
            </w:r>
          </w:p>
          <w:p w14:paraId="7F520A8D">
            <w:pPr>
              <w:pageBreakBefore w:val="0"/>
              <w:kinsoku/>
              <w:wordWrap w:val="0"/>
              <w:bidi w:val="0"/>
              <w:spacing w:line="520" w:lineRule="atLeast"/>
              <w:jc w:val="center"/>
              <w:rPr>
                <w:rFonts w:hint="default" w:ascii="Times New Roman" w:hAnsi="Times New Roman" w:cs="Times New Roman"/>
                <w:color w:val="auto"/>
                <w:szCs w:val="21"/>
                <w:highlight w:val="none"/>
              </w:rPr>
            </w:pPr>
          </w:p>
          <w:p w14:paraId="347AD212">
            <w:pPr>
              <w:pageBreakBefore w:val="0"/>
              <w:kinsoku/>
              <w:wordWrap w:val="0"/>
              <w:bidi w:val="0"/>
              <w:spacing w:line="520" w:lineRule="atLeast"/>
              <w:jc w:val="center"/>
              <w:rPr>
                <w:rFonts w:hint="default" w:ascii="Times New Roman" w:hAnsi="Times New Roman" w:cs="Times New Roman"/>
                <w:color w:val="auto"/>
                <w:szCs w:val="21"/>
                <w:highlight w:val="none"/>
              </w:rPr>
            </w:pPr>
          </w:p>
          <w:p w14:paraId="2A2189AB">
            <w:pPr>
              <w:pageBreakBefore w:val="0"/>
              <w:kinsoku/>
              <w:wordWrap w:val="0"/>
              <w:bidi w:val="0"/>
              <w:spacing w:line="520" w:lineRule="atLeast"/>
              <w:jc w:val="center"/>
              <w:rPr>
                <w:rFonts w:hint="default" w:ascii="Times New Roman" w:hAnsi="Times New Roman" w:cs="Times New Roman"/>
                <w:color w:val="auto"/>
                <w:szCs w:val="21"/>
                <w:highlight w:val="none"/>
              </w:rPr>
            </w:pPr>
          </w:p>
          <w:p w14:paraId="62C93544">
            <w:pPr>
              <w:pageBreakBefore w:val="0"/>
              <w:kinsoku/>
              <w:wordWrap w:val="0"/>
              <w:bidi w:val="0"/>
              <w:spacing w:line="520" w:lineRule="atLeast"/>
              <w:jc w:val="center"/>
              <w:rPr>
                <w:rFonts w:hint="default" w:ascii="Times New Roman" w:hAnsi="Times New Roman" w:cs="Times New Roman"/>
                <w:color w:val="auto"/>
                <w:szCs w:val="21"/>
                <w:highlight w:val="none"/>
              </w:rPr>
            </w:pPr>
          </w:p>
        </w:tc>
      </w:tr>
    </w:tbl>
    <w:p w14:paraId="6D10CAD6">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color w:val="auto"/>
          <w:sz w:val="20"/>
          <w:szCs w:val="20"/>
          <w:highlight w:val="none"/>
        </w:rPr>
      </w:pPr>
    </w:p>
    <w:p w14:paraId="7B46A73E">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bookmarkStart w:id="1671" w:name="_Toc26668"/>
      <w:bookmarkStart w:id="1672" w:name="_Toc234833276"/>
      <w:bookmarkStart w:id="1673" w:name="_Toc9573"/>
      <w:bookmarkStart w:id="1674" w:name="_Toc234833278"/>
      <w:r>
        <w:rPr>
          <w:rFonts w:hint="default" w:ascii="Times New Roman" w:hAnsi="Times New Roman" w:eastAsia="黑体" w:cs="Times New Roman"/>
          <w:b w:val="0"/>
          <w:i w:val="0"/>
          <w:iCs/>
          <w:color w:val="auto"/>
          <w:sz w:val="30"/>
          <w:szCs w:val="30"/>
          <w:highlight w:val="none"/>
        </w:rPr>
        <w:t>七、拟分包项目情况表</w:t>
      </w:r>
      <w:bookmarkEnd w:id="1671"/>
      <w:bookmarkEnd w:id="1672"/>
    </w:p>
    <w:p w14:paraId="20D95EB5">
      <w:pPr>
        <w:wordWrap w:val="0"/>
        <w:spacing w:line="440" w:lineRule="exact"/>
        <w:rPr>
          <w:rFonts w:hint="eastAsia" w:eastAsia="黑体"/>
          <w:color w:val="auto"/>
          <w:sz w:val="20"/>
          <w:szCs w:val="20"/>
          <w:highlight w:val="none"/>
          <w:lang w:eastAsia="zh-C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10D3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14:paraId="10E1AC85">
            <w:pPr>
              <w:wordWrap w:val="0"/>
              <w:spacing w:line="440" w:lineRule="exact"/>
              <w:jc w:val="center"/>
              <w:rPr>
                <w:color w:val="auto"/>
                <w:szCs w:val="21"/>
                <w:highlight w:val="none"/>
              </w:rPr>
            </w:pPr>
            <w:r>
              <w:rPr>
                <w:color w:val="auto"/>
                <w:szCs w:val="21"/>
                <w:highlight w:val="none"/>
              </w:rPr>
              <w:t>拟分包的工程项目</w:t>
            </w:r>
          </w:p>
        </w:tc>
        <w:tc>
          <w:tcPr>
            <w:tcW w:w="2456" w:type="dxa"/>
            <w:vAlign w:val="center"/>
          </w:tcPr>
          <w:p w14:paraId="2587673C">
            <w:pPr>
              <w:wordWrap w:val="0"/>
              <w:spacing w:line="440" w:lineRule="exact"/>
              <w:jc w:val="center"/>
              <w:rPr>
                <w:color w:val="auto"/>
                <w:szCs w:val="21"/>
                <w:highlight w:val="none"/>
              </w:rPr>
            </w:pPr>
            <w:r>
              <w:rPr>
                <w:color w:val="auto"/>
                <w:szCs w:val="21"/>
                <w:highlight w:val="none"/>
              </w:rPr>
              <w:t>主要工程内容</w:t>
            </w:r>
          </w:p>
        </w:tc>
        <w:tc>
          <w:tcPr>
            <w:tcW w:w="1864" w:type="dxa"/>
            <w:vAlign w:val="center"/>
          </w:tcPr>
          <w:p w14:paraId="7C51AC3D">
            <w:pPr>
              <w:wordWrap w:val="0"/>
              <w:spacing w:line="440" w:lineRule="exact"/>
              <w:jc w:val="center"/>
              <w:rPr>
                <w:color w:val="auto"/>
                <w:szCs w:val="21"/>
                <w:highlight w:val="none"/>
              </w:rPr>
            </w:pPr>
            <w:r>
              <w:rPr>
                <w:color w:val="auto"/>
                <w:szCs w:val="21"/>
                <w:highlight w:val="none"/>
              </w:rPr>
              <w:t>预计造价（万元）</w:t>
            </w:r>
          </w:p>
        </w:tc>
        <w:tc>
          <w:tcPr>
            <w:tcW w:w="2582" w:type="dxa"/>
            <w:vAlign w:val="center"/>
          </w:tcPr>
          <w:p w14:paraId="5CC25D38">
            <w:pPr>
              <w:wordWrap w:val="0"/>
              <w:spacing w:line="440" w:lineRule="exact"/>
              <w:jc w:val="center"/>
              <w:rPr>
                <w:color w:val="auto"/>
                <w:szCs w:val="21"/>
                <w:highlight w:val="none"/>
              </w:rPr>
            </w:pPr>
            <w:r>
              <w:rPr>
                <w:color w:val="auto"/>
                <w:szCs w:val="21"/>
                <w:highlight w:val="none"/>
              </w:rPr>
              <w:t>备注</w:t>
            </w:r>
          </w:p>
        </w:tc>
      </w:tr>
      <w:tr w14:paraId="5177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vAlign w:val="center"/>
          </w:tcPr>
          <w:p w14:paraId="4FB155FE">
            <w:pPr>
              <w:wordWrap w:val="0"/>
              <w:spacing w:line="440" w:lineRule="exact"/>
              <w:jc w:val="center"/>
              <w:rPr>
                <w:color w:val="auto"/>
                <w:szCs w:val="21"/>
                <w:highlight w:val="none"/>
              </w:rPr>
            </w:pPr>
          </w:p>
        </w:tc>
        <w:tc>
          <w:tcPr>
            <w:tcW w:w="2456" w:type="dxa"/>
            <w:vAlign w:val="center"/>
          </w:tcPr>
          <w:p w14:paraId="2ED6DF2A">
            <w:pPr>
              <w:wordWrap w:val="0"/>
              <w:spacing w:line="440" w:lineRule="exact"/>
              <w:jc w:val="center"/>
              <w:rPr>
                <w:color w:val="auto"/>
                <w:szCs w:val="21"/>
                <w:highlight w:val="none"/>
              </w:rPr>
            </w:pPr>
          </w:p>
        </w:tc>
        <w:tc>
          <w:tcPr>
            <w:tcW w:w="1864" w:type="dxa"/>
            <w:vAlign w:val="center"/>
          </w:tcPr>
          <w:p w14:paraId="6EA4229C">
            <w:pPr>
              <w:wordWrap w:val="0"/>
              <w:spacing w:line="440" w:lineRule="exact"/>
              <w:jc w:val="center"/>
              <w:rPr>
                <w:color w:val="auto"/>
                <w:szCs w:val="21"/>
                <w:highlight w:val="none"/>
              </w:rPr>
            </w:pPr>
          </w:p>
        </w:tc>
        <w:tc>
          <w:tcPr>
            <w:tcW w:w="2582" w:type="dxa"/>
            <w:vMerge w:val="restart"/>
            <w:vAlign w:val="center"/>
          </w:tcPr>
          <w:p w14:paraId="04D74189">
            <w:pPr>
              <w:wordWrap w:val="0"/>
              <w:spacing w:line="440" w:lineRule="exact"/>
              <w:rPr>
                <w:color w:val="auto"/>
                <w:szCs w:val="21"/>
                <w:highlight w:val="none"/>
              </w:rPr>
            </w:pPr>
            <w:r>
              <w:rPr>
                <w:color w:val="auto"/>
                <w:szCs w:val="21"/>
                <w:highlight w:val="none"/>
              </w:rPr>
              <w:t>注：若无分包计划，则投标人应在本表填写</w:t>
            </w:r>
            <w:r>
              <w:rPr>
                <w:rFonts w:hint="eastAsia" w:ascii="宋体" w:hAnsi="宋体" w:eastAsia="宋体" w:cs="宋体"/>
                <w:color w:val="auto"/>
                <w:szCs w:val="21"/>
                <w:highlight w:val="none"/>
              </w:rPr>
              <w:t>“</w:t>
            </w:r>
            <w:r>
              <w:rPr>
                <w:color w:val="auto"/>
                <w:szCs w:val="21"/>
                <w:highlight w:val="none"/>
              </w:rPr>
              <w:t>无</w:t>
            </w:r>
            <w:r>
              <w:rPr>
                <w:rFonts w:hint="eastAsia" w:ascii="宋体" w:hAnsi="宋体" w:eastAsia="宋体" w:cs="宋体"/>
                <w:color w:val="auto"/>
                <w:szCs w:val="21"/>
                <w:highlight w:val="none"/>
              </w:rPr>
              <w:t>”</w:t>
            </w:r>
          </w:p>
        </w:tc>
      </w:tr>
      <w:tr w14:paraId="39B6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vAlign w:val="center"/>
          </w:tcPr>
          <w:p w14:paraId="14BA808C">
            <w:pPr>
              <w:wordWrap w:val="0"/>
              <w:spacing w:line="440" w:lineRule="exact"/>
              <w:jc w:val="center"/>
              <w:rPr>
                <w:color w:val="auto"/>
                <w:szCs w:val="21"/>
                <w:highlight w:val="none"/>
              </w:rPr>
            </w:pPr>
          </w:p>
        </w:tc>
        <w:tc>
          <w:tcPr>
            <w:tcW w:w="2456" w:type="dxa"/>
            <w:vAlign w:val="center"/>
          </w:tcPr>
          <w:p w14:paraId="0567194E">
            <w:pPr>
              <w:wordWrap w:val="0"/>
              <w:spacing w:line="440" w:lineRule="exact"/>
              <w:jc w:val="center"/>
              <w:rPr>
                <w:color w:val="auto"/>
                <w:szCs w:val="21"/>
                <w:highlight w:val="none"/>
              </w:rPr>
            </w:pPr>
          </w:p>
        </w:tc>
        <w:tc>
          <w:tcPr>
            <w:tcW w:w="1864" w:type="dxa"/>
            <w:vAlign w:val="center"/>
          </w:tcPr>
          <w:p w14:paraId="5CAD30C3">
            <w:pPr>
              <w:wordWrap w:val="0"/>
              <w:spacing w:line="440" w:lineRule="exact"/>
              <w:jc w:val="center"/>
              <w:rPr>
                <w:color w:val="auto"/>
                <w:szCs w:val="21"/>
                <w:highlight w:val="none"/>
              </w:rPr>
            </w:pPr>
          </w:p>
        </w:tc>
        <w:tc>
          <w:tcPr>
            <w:tcW w:w="2582" w:type="dxa"/>
            <w:vMerge w:val="continue"/>
            <w:vAlign w:val="center"/>
          </w:tcPr>
          <w:p w14:paraId="6BF7AE6D">
            <w:pPr>
              <w:wordWrap w:val="0"/>
              <w:spacing w:line="440" w:lineRule="exact"/>
              <w:jc w:val="center"/>
              <w:rPr>
                <w:color w:val="auto"/>
                <w:szCs w:val="21"/>
                <w:highlight w:val="none"/>
              </w:rPr>
            </w:pPr>
          </w:p>
        </w:tc>
      </w:tr>
      <w:tr w14:paraId="1ED4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4EF0BEB">
            <w:pPr>
              <w:wordWrap w:val="0"/>
              <w:spacing w:line="440" w:lineRule="exact"/>
              <w:jc w:val="center"/>
              <w:rPr>
                <w:color w:val="auto"/>
                <w:szCs w:val="21"/>
                <w:highlight w:val="none"/>
              </w:rPr>
            </w:pPr>
          </w:p>
        </w:tc>
        <w:tc>
          <w:tcPr>
            <w:tcW w:w="2456" w:type="dxa"/>
            <w:vAlign w:val="center"/>
          </w:tcPr>
          <w:p w14:paraId="1F911D5C">
            <w:pPr>
              <w:wordWrap w:val="0"/>
              <w:spacing w:line="440" w:lineRule="exact"/>
              <w:jc w:val="center"/>
              <w:rPr>
                <w:color w:val="auto"/>
                <w:szCs w:val="21"/>
                <w:highlight w:val="none"/>
              </w:rPr>
            </w:pPr>
          </w:p>
        </w:tc>
        <w:tc>
          <w:tcPr>
            <w:tcW w:w="1864" w:type="dxa"/>
            <w:vAlign w:val="center"/>
          </w:tcPr>
          <w:p w14:paraId="53CAA873">
            <w:pPr>
              <w:wordWrap w:val="0"/>
              <w:spacing w:line="440" w:lineRule="exact"/>
              <w:jc w:val="center"/>
              <w:rPr>
                <w:color w:val="auto"/>
                <w:szCs w:val="21"/>
                <w:highlight w:val="none"/>
              </w:rPr>
            </w:pPr>
          </w:p>
        </w:tc>
        <w:tc>
          <w:tcPr>
            <w:tcW w:w="2582" w:type="dxa"/>
            <w:vMerge w:val="continue"/>
            <w:vAlign w:val="center"/>
          </w:tcPr>
          <w:p w14:paraId="3E92022A">
            <w:pPr>
              <w:wordWrap w:val="0"/>
              <w:spacing w:line="440" w:lineRule="exact"/>
              <w:jc w:val="center"/>
              <w:rPr>
                <w:color w:val="auto"/>
                <w:szCs w:val="21"/>
                <w:highlight w:val="none"/>
              </w:rPr>
            </w:pPr>
          </w:p>
        </w:tc>
      </w:tr>
      <w:tr w14:paraId="2820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vAlign w:val="center"/>
          </w:tcPr>
          <w:p w14:paraId="30CA502D">
            <w:pPr>
              <w:wordWrap w:val="0"/>
              <w:spacing w:line="440" w:lineRule="exact"/>
              <w:jc w:val="center"/>
              <w:rPr>
                <w:color w:val="auto"/>
                <w:szCs w:val="21"/>
                <w:highlight w:val="none"/>
              </w:rPr>
            </w:pPr>
          </w:p>
        </w:tc>
        <w:tc>
          <w:tcPr>
            <w:tcW w:w="2456" w:type="dxa"/>
            <w:vAlign w:val="center"/>
          </w:tcPr>
          <w:p w14:paraId="4AA9C896">
            <w:pPr>
              <w:wordWrap w:val="0"/>
              <w:spacing w:line="440" w:lineRule="exact"/>
              <w:jc w:val="center"/>
              <w:rPr>
                <w:color w:val="auto"/>
                <w:szCs w:val="21"/>
                <w:highlight w:val="none"/>
              </w:rPr>
            </w:pPr>
          </w:p>
        </w:tc>
        <w:tc>
          <w:tcPr>
            <w:tcW w:w="1864" w:type="dxa"/>
            <w:vAlign w:val="center"/>
          </w:tcPr>
          <w:p w14:paraId="50C7913F">
            <w:pPr>
              <w:wordWrap w:val="0"/>
              <w:spacing w:line="440" w:lineRule="exact"/>
              <w:jc w:val="center"/>
              <w:rPr>
                <w:color w:val="auto"/>
                <w:szCs w:val="21"/>
                <w:highlight w:val="none"/>
              </w:rPr>
            </w:pPr>
          </w:p>
        </w:tc>
        <w:tc>
          <w:tcPr>
            <w:tcW w:w="2582" w:type="dxa"/>
            <w:vMerge w:val="continue"/>
            <w:vAlign w:val="center"/>
          </w:tcPr>
          <w:p w14:paraId="0F659B43">
            <w:pPr>
              <w:wordWrap w:val="0"/>
              <w:spacing w:line="440" w:lineRule="exact"/>
              <w:jc w:val="center"/>
              <w:rPr>
                <w:color w:val="auto"/>
                <w:szCs w:val="21"/>
                <w:highlight w:val="none"/>
              </w:rPr>
            </w:pPr>
          </w:p>
        </w:tc>
      </w:tr>
      <w:tr w14:paraId="3BF9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vAlign w:val="center"/>
          </w:tcPr>
          <w:p w14:paraId="052F7938">
            <w:pPr>
              <w:wordWrap w:val="0"/>
              <w:spacing w:line="440" w:lineRule="exact"/>
              <w:jc w:val="center"/>
              <w:rPr>
                <w:color w:val="auto"/>
                <w:szCs w:val="21"/>
                <w:highlight w:val="none"/>
              </w:rPr>
            </w:pPr>
          </w:p>
        </w:tc>
        <w:tc>
          <w:tcPr>
            <w:tcW w:w="2456" w:type="dxa"/>
            <w:vAlign w:val="center"/>
          </w:tcPr>
          <w:p w14:paraId="2B0A2D25">
            <w:pPr>
              <w:wordWrap w:val="0"/>
              <w:spacing w:line="440" w:lineRule="exact"/>
              <w:jc w:val="center"/>
              <w:rPr>
                <w:color w:val="auto"/>
                <w:szCs w:val="21"/>
                <w:highlight w:val="none"/>
              </w:rPr>
            </w:pPr>
          </w:p>
        </w:tc>
        <w:tc>
          <w:tcPr>
            <w:tcW w:w="1864" w:type="dxa"/>
            <w:vAlign w:val="center"/>
          </w:tcPr>
          <w:p w14:paraId="0F205CBA">
            <w:pPr>
              <w:wordWrap w:val="0"/>
              <w:spacing w:line="440" w:lineRule="exact"/>
              <w:jc w:val="center"/>
              <w:rPr>
                <w:color w:val="auto"/>
                <w:szCs w:val="21"/>
                <w:highlight w:val="none"/>
              </w:rPr>
            </w:pPr>
          </w:p>
        </w:tc>
        <w:tc>
          <w:tcPr>
            <w:tcW w:w="2582" w:type="dxa"/>
            <w:vMerge w:val="continue"/>
            <w:vAlign w:val="center"/>
          </w:tcPr>
          <w:p w14:paraId="61C97398">
            <w:pPr>
              <w:wordWrap w:val="0"/>
              <w:spacing w:line="440" w:lineRule="exact"/>
              <w:jc w:val="center"/>
              <w:rPr>
                <w:color w:val="auto"/>
                <w:szCs w:val="21"/>
                <w:highlight w:val="none"/>
              </w:rPr>
            </w:pPr>
          </w:p>
        </w:tc>
      </w:tr>
      <w:tr w14:paraId="64BF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4BB1E689">
            <w:pPr>
              <w:wordWrap w:val="0"/>
              <w:spacing w:line="440" w:lineRule="exact"/>
              <w:jc w:val="center"/>
              <w:rPr>
                <w:color w:val="auto"/>
                <w:szCs w:val="21"/>
                <w:highlight w:val="none"/>
              </w:rPr>
            </w:pPr>
          </w:p>
        </w:tc>
        <w:tc>
          <w:tcPr>
            <w:tcW w:w="2456" w:type="dxa"/>
            <w:vAlign w:val="center"/>
          </w:tcPr>
          <w:p w14:paraId="68B0F703">
            <w:pPr>
              <w:wordWrap w:val="0"/>
              <w:spacing w:line="440" w:lineRule="exact"/>
              <w:jc w:val="center"/>
              <w:rPr>
                <w:color w:val="auto"/>
                <w:szCs w:val="21"/>
                <w:highlight w:val="none"/>
              </w:rPr>
            </w:pPr>
          </w:p>
        </w:tc>
        <w:tc>
          <w:tcPr>
            <w:tcW w:w="1864" w:type="dxa"/>
            <w:vAlign w:val="center"/>
          </w:tcPr>
          <w:p w14:paraId="0A2BC9C8">
            <w:pPr>
              <w:wordWrap w:val="0"/>
              <w:spacing w:line="440" w:lineRule="exact"/>
              <w:jc w:val="center"/>
              <w:rPr>
                <w:color w:val="auto"/>
                <w:szCs w:val="21"/>
                <w:highlight w:val="none"/>
              </w:rPr>
            </w:pPr>
          </w:p>
        </w:tc>
        <w:tc>
          <w:tcPr>
            <w:tcW w:w="2582" w:type="dxa"/>
            <w:vMerge w:val="continue"/>
            <w:vAlign w:val="center"/>
          </w:tcPr>
          <w:p w14:paraId="1F8247D0">
            <w:pPr>
              <w:wordWrap w:val="0"/>
              <w:spacing w:line="440" w:lineRule="exact"/>
              <w:jc w:val="center"/>
              <w:rPr>
                <w:color w:val="auto"/>
                <w:szCs w:val="21"/>
                <w:highlight w:val="none"/>
              </w:rPr>
            </w:pPr>
          </w:p>
        </w:tc>
      </w:tr>
      <w:tr w14:paraId="1F50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917C10C">
            <w:pPr>
              <w:wordWrap w:val="0"/>
              <w:spacing w:line="440" w:lineRule="exact"/>
              <w:jc w:val="center"/>
              <w:rPr>
                <w:color w:val="auto"/>
                <w:szCs w:val="21"/>
                <w:highlight w:val="none"/>
              </w:rPr>
            </w:pPr>
          </w:p>
        </w:tc>
        <w:tc>
          <w:tcPr>
            <w:tcW w:w="2456" w:type="dxa"/>
            <w:vAlign w:val="center"/>
          </w:tcPr>
          <w:p w14:paraId="7A8F3C98">
            <w:pPr>
              <w:wordWrap w:val="0"/>
              <w:spacing w:line="440" w:lineRule="exact"/>
              <w:jc w:val="center"/>
              <w:rPr>
                <w:color w:val="auto"/>
                <w:szCs w:val="21"/>
                <w:highlight w:val="none"/>
              </w:rPr>
            </w:pPr>
          </w:p>
        </w:tc>
        <w:tc>
          <w:tcPr>
            <w:tcW w:w="1864" w:type="dxa"/>
            <w:vAlign w:val="center"/>
          </w:tcPr>
          <w:p w14:paraId="1D382B38">
            <w:pPr>
              <w:wordWrap w:val="0"/>
              <w:spacing w:line="440" w:lineRule="exact"/>
              <w:jc w:val="center"/>
              <w:rPr>
                <w:color w:val="auto"/>
                <w:szCs w:val="21"/>
                <w:highlight w:val="none"/>
              </w:rPr>
            </w:pPr>
          </w:p>
        </w:tc>
        <w:tc>
          <w:tcPr>
            <w:tcW w:w="2582" w:type="dxa"/>
            <w:vMerge w:val="continue"/>
            <w:vAlign w:val="center"/>
          </w:tcPr>
          <w:p w14:paraId="191F6891">
            <w:pPr>
              <w:wordWrap w:val="0"/>
              <w:spacing w:line="440" w:lineRule="exact"/>
              <w:jc w:val="center"/>
              <w:rPr>
                <w:color w:val="auto"/>
                <w:szCs w:val="21"/>
                <w:highlight w:val="none"/>
              </w:rPr>
            </w:pPr>
          </w:p>
        </w:tc>
      </w:tr>
      <w:tr w14:paraId="4B46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07BCE01">
            <w:pPr>
              <w:wordWrap w:val="0"/>
              <w:spacing w:line="440" w:lineRule="exact"/>
              <w:jc w:val="center"/>
              <w:rPr>
                <w:color w:val="auto"/>
                <w:szCs w:val="21"/>
                <w:highlight w:val="none"/>
              </w:rPr>
            </w:pPr>
          </w:p>
        </w:tc>
        <w:tc>
          <w:tcPr>
            <w:tcW w:w="2456" w:type="dxa"/>
            <w:vAlign w:val="center"/>
          </w:tcPr>
          <w:p w14:paraId="4BDFE9DE">
            <w:pPr>
              <w:wordWrap w:val="0"/>
              <w:spacing w:line="440" w:lineRule="exact"/>
              <w:jc w:val="center"/>
              <w:rPr>
                <w:color w:val="auto"/>
                <w:szCs w:val="21"/>
                <w:highlight w:val="none"/>
              </w:rPr>
            </w:pPr>
          </w:p>
        </w:tc>
        <w:tc>
          <w:tcPr>
            <w:tcW w:w="1864" w:type="dxa"/>
            <w:vAlign w:val="center"/>
          </w:tcPr>
          <w:p w14:paraId="45783A30">
            <w:pPr>
              <w:wordWrap w:val="0"/>
              <w:spacing w:line="440" w:lineRule="exact"/>
              <w:jc w:val="center"/>
              <w:rPr>
                <w:color w:val="auto"/>
                <w:szCs w:val="21"/>
                <w:highlight w:val="none"/>
              </w:rPr>
            </w:pPr>
          </w:p>
        </w:tc>
        <w:tc>
          <w:tcPr>
            <w:tcW w:w="2582" w:type="dxa"/>
            <w:vMerge w:val="continue"/>
            <w:vAlign w:val="center"/>
          </w:tcPr>
          <w:p w14:paraId="79B26971">
            <w:pPr>
              <w:wordWrap w:val="0"/>
              <w:spacing w:line="440" w:lineRule="exact"/>
              <w:jc w:val="center"/>
              <w:rPr>
                <w:color w:val="auto"/>
                <w:szCs w:val="21"/>
                <w:highlight w:val="none"/>
              </w:rPr>
            </w:pPr>
          </w:p>
        </w:tc>
      </w:tr>
      <w:tr w14:paraId="64C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A70C7D8">
            <w:pPr>
              <w:wordWrap w:val="0"/>
              <w:spacing w:line="440" w:lineRule="exact"/>
              <w:jc w:val="center"/>
              <w:rPr>
                <w:color w:val="auto"/>
                <w:szCs w:val="21"/>
                <w:highlight w:val="none"/>
              </w:rPr>
            </w:pPr>
          </w:p>
        </w:tc>
        <w:tc>
          <w:tcPr>
            <w:tcW w:w="2456" w:type="dxa"/>
            <w:vAlign w:val="center"/>
          </w:tcPr>
          <w:p w14:paraId="22F82A50">
            <w:pPr>
              <w:wordWrap w:val="0"/>
              <w:spacing w:line="440" w:lineRule="exact"/>
              <w:jc w:val="center"/>
              <w:rPr>
                <w:color w:val="auto"/>
                <w:szCs w:val="21"/>
                <w:highlight w:val="none"/>
              </w:rPr>
            </w:pPr>
          </w:p>
        </w:tc>
        <w:tc>
          <w:tcPr>
            <w:tcW w:w="1864" w:type="dxa"/>
            <w:vAlign w:val="center"/>
          </w:tcPr>
          <w:p w14:paraId="22A63B4A">
            <w:pPr>
              <w:wordWrap w:val="0"/>
              <w:spacing w:line="440" w:lineRule="exact"/>
              <w:jc w:val="center"/>
              <w:rPr>
                <w:color w:val="auto"/>
                <w:szCs w:val="21"/>
                <w:highlight w:val="none"/>
              </w:rPr>
            </w:pPr>
          </w:p>
        </w:tc>
        <w:tc>
          <w:tcPr>
            <w:tcW w:w="2582" w:type="dxa"/>
            <w:vMerge w:val="continue"/>
            <w:vAlign w:val="center"/>
          </w:tcPr>
          <w:p w14:paraId="4A352E63">
            <w:pPr>
              <w:wordWrap w:val="0"/>
              <w:spacing w:line="440" w:lineRule="exact"/>
              <w:jc w:val="center"/>
              <w:rPr>
                <w:color w:val="auto"/>
                <w:szCs w:val="21"/>
                <w:highlight w:val="none"/>
              </w:rPr>
            </w:pPr>
          </w:p>
        </w:tc>
      </w:tr>
      <w:tr w14:paraId="29C1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F056F6A">
            <w:pPr>
              <w:wordWrap w:val="0"/>
              <w:spacing w:line="440" w:lineRule="exact"/>
              <w:jc w:val="center"/>
              <w:rPr>
                <w:color w:val="auto"/>
                <w:szCs w:val="21"/>
                <w:highlight w:val="none"/>
              </w:rPr>
            </w:pPr>
          </w:p>
        </w:tc>
        <w:tc>
          <w:tcPr>
            <w:tcW w:w="2456" w:type="dxa"/>
            <w:vAlign w:val="center"/>
          </w:tcPr>
          <w:p w14:paraId="71FF8EF6">
            <w:pPr>
              <w:wordWrap w:val="0"/>
              <w:spacing w:line="440" w:lineRule="exact"/>
              <w:jc w:val="center"/>
              <w:rPr>
                <w:color w:val="auto"/>
                <w:szCs w:val="21"/>
                <w:highlight w:val="none"/>
              </w:rPr>
            </w:pPr>
          </w:p>
        </w:tc>
        <w:tc>
          <w:tcPr>
            <w:tcW w:w="1864" w:type="dxa"/>
            <w:vAlign w:val="center"/>
          </w:tcPr>
          <w:p w14:paraId="25E1EA97">
            <w:pPr>
              <w:wordWrap w:val="0"/>
              <w:spacing w:line="440" w:lineRule="exact"/>
              <w:jc w:val="center"/>
              <w:rPr>
                <w:color w:val="auto"/>
                <w:szCs w:val="21"/>
                <w:highlight w:val="none"/>
              </w:rPr>
            </w:pPr>
          </w:p>
        </w:tc>
        <w:tc>
          <w:tcPr>
            <w:tcW w:w="2582" w:type="dxa"/>
            <w:vMerge w:val="continue"/>
            <w:vAlign w:val="center"/>
          </w:tcPr>
          <w:p w14:paraId="3B0FC6C4">
            <w:pPr>
              <w:wordWrap w:val="0"/>
              <w:spacing w:line="440" w:lineRule="exact"/>
              <w:jc w:val="center"/>
              <w:rPr>
                <w:color w:val="auto"/>
                <w:szCs w:val="21"/>
                <w:highlight w:val="none"/>
              </w:rPr>
            </w:pPr>
          </w:p>
        </w:tc>
      </w:tr>
      <w:tr w14:paraId="6651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FF68133">
            <w:pPr>
              <w:wordWrap w:val="0"/>
              <w:spacing w:line="440" w:lineRule="exact"/>
              <w:jc w:val="center"/>
              <w:rPr>
                <w:color w:val="auto"/>
                <w:szCs w:val="21"/>
                <w:highlight w:val="none"/>
              </w:rPr>
            </w:pPr>
          </w:p>
        </w:tc>
        <w:tc>
          <w:tcPr>
            <w:tcW w:w="2456" w:type="dxa"/>
            <w:vAlign w:val="center"/>
          </w:tcPr>
          <w:p w14:paraId="5AE25D66">
            <w:pPr>
              <w:wordWrap w:val="0"/>
              <w:spacing w:line="440" w:lineRule="exact"/>
              <w:jc w:val="center"/>
              <w:rPr>
                <w:color w:val="auto"/>
                <w:szCs w:val="21"/>
                <w:highlight w:val="none"/>
              </w:rPr>
            </w:pPr>
          </w:p>
        </w:tc>
        <w:tc>
          <w:tcPr>
            <w:tcW w:w="1864" w:type="dxa"/>
            <w:vAlign w:val="center"/>
          </w:tcPr>
          <w:p w14:paraId="4AA52F57">
            <w:pPr>
              <w:wordWrap w:val="0"/>
              <w:spacing w:line="440" w:lineRule="exact"/>
              <w:jc w:val="center"/>
              <w:rPr>
                <w:color w:val="auto"/>
                <w:szCs w:val="21"/>
                <w:highlight w:val="none"/>
              </w:rPr>
            </w:pPr>
          </w:p>
        </w:tc>
        <w:tc>
          <w:tcPr>
            <w:tcW w:w="2582" w:type="dxa"/>
            <w:vMerge w:val="continue"/>
            <w:vAlign w:val="center"/>
          </w:tcPr>
          <w:p w14:paraId="22F2AABE">
            <w:pPr>
              <w:wordWrap w:val="0"/>
              <w:spacing w:line="440" w:lineRule="exact"/>
              <w:jc w:val="center"/>
              <w:rPr>
                <w:color w:val="auto"/>
                <w:szCs w:val="21"/>
                <w:highlight w:val="none"/>
              </w:rPr>
            </w:pPr>
          </w:p>
        </w:tc>
      </w:tr>
      <w:tr w14:paraId="593E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0AB2DDF">
            <w:pPr>
              <w:wordWrap w:val="0"/>
              <w:spacing w:line="440" w:lineRule="exact"/>
              <w:jc w:val="center"/>
              <w:rPr>
                <w:color w:val="auto"/>
                <w:szCs w:val="21"/>
                <w:highlight w:val="none"/>
              </w:rPr>
            </w:pPr>
          </w:p>
        </w:tc>
        <w:tc>
          <w:tcPr>
            <w:tcW w:w="2456" w:type="dxa"/>
            <w:vAlign w:val="center"/>
          </w:tcPr>
          <w:p w14:paraId="59191606">
            <w:pPr>
              <w:wordWrap w:val="0"/>
              <w:spacing w:line="440" w:lineRule="exact"/>
              <w:jc w:val="center"/>
              <w:rPr>
                <w:color w:val="auto"/>
                <w:szCs w:val="21"/>
                <w:highlight w:val="none"/>
              </w:rPr>
            </w:pPr>
          </w:p>
        </w:tc>
        <w:tc>
          <w:tcPr>
            <w:tcW w:w="1864" w:type="dxa"/>
            <w:vAlign w:val="center"/>
          </w:tcPr>
          <w:p w14:paraId="4419CAD8">
            <w:pPr>
              <w:wordWrap w:val="0"/>
              <w:spacing w:line="440" w:lineRule="exact"/>
              <w:jc w:val="center"/>
              <w:rPr>
                <w:color w:val="auto"/>
                <w:szCs w:val="21"/>
                <w:highlight w:val="none"/>
              </w:rPr>
            </w:pPr>
          </w:p>
        </w:tc>
        <w:tc>
          <w:tcPr>
            <w:tcW w:w="2582" w:type="dxa"/>
            <w:vMerge w:val="continue"/>
            <w:vAlign w:val="center"/>
          </w:tcPr>
          <w:p w14:paraId="17F95C63">
            <w:pPr>
              <w:wordWrap w:val="0"/>
              <w:spacing w:line="440" w:lineRule="exact"/>
              <w:jc w:val="center"/>
              <w:rPr>
                <w:color w:val="auto"/>
                <w:szCs w:val="21"/>
                <w:highlight w:val="none"/>
              </w:rPr>
            </w:pPr>
          </w:p>
        </w:tc>
      </w:tr>
      <w:tr w14:paraId="05F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7A6E1A96">
            <w:pPr>
              <w:wordWrap w:val="0"/>
              <w:spacing w:line="440" w:lineRule="exact"/>
              <w:jc w:val="center"/>
              <w:rPr>
                <w:color w:val="auto"/>
                <w:szCs w:val="21"/>
                <w:highlight w:val="none"/>
              </w:rPr>
            </w:pPr>
          </w:p>
        </w:tc>
        <w:tc>
          <w:tcPr>
            <w:tcW w:w="2456" w:type="dxa"/>
            <w:vAlign w:val="center"/>
          </w:tcPr>
          <w:p w14:paraId="25E85C97">
            <w:pPr>
              <w:wordWrap w:val="0"/>
              <w:spacing w:line="440" w:lineRule="exact"/>
              <w:jc w:val="center"/>
              <w:rPr>
                <w:color w:val="auto"/>
                <w:szCs w:val="21"/>
                <w:highlight w:val="none"/>
              </w:rPr>
            </w:pPr>
          </w:p>
        </w:tc>
        <w:tc>
          <w:tcPr>
            <w:tcW w:w="1864" w:type="dxa"/>
            <w:vAlign w:val="center"/>
          </w:tcPr>
          <w:p w14:paraId="215C8FF4">
            <w:pPr>
              <w:wordWrap w:val="0"/>
              <w:spacing w:line="440" w:lineRule="exact"/>
              <w:jc w:val="center"/>
              <w:rPr>
                <w:color w:val="auto"/>
                <w:szCs w:val="21"/>
                <w:highlight w:val="none"/>
              </w:rPr>
            </w:pPr>
          </w:p>
        </w:tc>
        <w:tc>
          <w:tcPr>
            <w:tcW w:w="2582" w:type="dxa"/>
            <w:vMerge w:val="continue"/>
            <w:vAlign w:val="center"/>
          </w:tcPr>
          <w:p w14:paraId="6B2EB109">
            <w:pPr>
              <w:wordWrap w:val="0"/>
              <w:spacing w:line="440" w:lineRule="exact"/>
              <w:jc w:val="center"/>
              <w:rPr>
                <w:color w:val="auto"/>
                <w:szCs w:val="21"/>
                <w:highlight w:val="none"/>
              </w:rPr>
            </w:pPr>
          </w:p>
        </w:tc>
      </w:tr>
      <w:tr w14:paraId="7F3B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AB38A8B">
            <w:pPr>
              <w:wordWrap w:val="0"/>
              <w:spacing w:line="440" w:lineRule="exact"/>
              <w:jc w:val="center"/>
              <w:rPr>
                <w:color w:val="auto"/>
                <w:szCs w:val="21"/>
                <w:highlight w:val="none"/>
              </w:rPr>
            </w:pPr>
          </w:p>
        </w:tc>
        <w:tc>
          <w:tcPr>
            <w:tcW w:w="2456" w:type="dxa"/>
            <w:vAlign w:val="center"/>
          </w:tcPr>
          <w:p w14:paraId="04A29851">
            <w:pPr>
              <w:wordWrap w:val="0"/>
              <w:spacing w:line="440" w:lineRule="exact"/>
              <w:jc w:val="center"/>
              <w:rPr>
                <w:color w:val="auto"/>
                <w:szCs w:val="21"/>
                <w:highlight w:val="none"/>
              </w:rPr>
            </w:pPr>
          </w:p>
        </w:tc>
        <w:tc>
          <w:tcPr>
            <w:tcW w:w="1864" w:type="dxa"/>
            <w:vAlign w:val="center"/>
          </w:tcPr>
          <w:p w14:paraId="6F5524B6">
            <w:pPr>
              <w:wordWrap w:val="0"/>
              <w:spacing w:line="440" w:lineRule="exact"/>
              <w:jc w:val="center"/>
              <w:rPr>
                <w:color w:val="auto"/>
                <w:szCs w:val="21"/>
                <w:highlight w:val="none"/>
              </w:rPr>
            </w:pPr>
          </w:p>
        </w:tc>
        <w:tc>
          <w:tcPr>
            <w:tcW w:w="2582" w:type="dxa"/>
            <w:vMerge w:val="continue"/>
            <w:vAlign w:val="center"/>
          </w:tcPr>
          <w:p w14:paraId="07959298">
            <w:pPr>
              <w:wordWrap w:val="0"/>
              <w:spacing w:line="440" w:lineRule="exact"/>
              <w:jc w:val="center"/>
              <w:rPr>
                <w:color w:val="auto"/>
                <w:szCs w:val="21"/>
                <w:highlight w:val="none"/>
              </w:rPr>
            </w:pPr>
          </w:p>
        </w:tc>
      </w:tr>
      <w:tr w14:paraId="44F6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7FA8DBD1">
            <w:pPr>
              <w:wordWrap w:val="0"/>
              <w:spacing w:line="440" w:lineRule="exact"/>
              <w:jc w:val="center"/>
              <w:rPr>
                <w:color w:val="auto"/>
                <w:szCs w:val="21"/>
                <w:highlight w:val="none"/>
              </w:rPr>
            </w:pPr>
          </w:p>
        </w:tc>
        <w:tc>
          <w:tcPr>
            <w:tcW w:w="2456" w:type="dxa"/>
            <w:vAlign w:val="center"/>
          </w:tcPr>
          <w:p w14:paraId="2A398186">
            <w:pPr>
              <w:wordWrap w:val="0"/>
              <w:spacing w:line="440" w:lineRule="exact"/>
              <w:jc w:val="center"/>
              <w:rPr>
                <w:color w:val="auto"/>
                <w:szCs w:val="21"/>
                <w:highlight w:val="none"/>
              </w:rPr>
            </w:pPr>
          </w:p>
        </w:tc>
        <w:tc>
          <w:tcPr>
            <w:tcW w:w="1864" w:type="dxa"/>
            <w:vAlign w:val="center"/>
          </w:tcPr>
          <w:p w14:paraId="56077977">
            <w:pPr>
              <w:wordWrap w:val="0"/>
              <w:spacing w:line="440" w:lineRule="exact"/>
              <w:jc w:val="center"/>
              <w:rPr>
                <w:color w:val="auto"/>
                <w:szCs w:val="21"/>
                <w:highlight w:val="none"/>
              </w:rPr>
            </w:pPr>
          </w:p>
        </w:tc>
        <w:tc>
          <w:tcPr>
            <w:tcW w:w="2582" w:type="dxa"/>
            <w:vMerge w:val="continue"/>
            <w:vAlign w:val="center"/>
          </w:tcPr>
          <w:p w14:paraId="30509A03">
            <w:pPr>
              <w:wordWrap w:val="0"/>
              <w:spacing w:line="440" w:lineRule="exact"/>
              <w:jc w:val="center"/>
              <w:rPr>
                <w:color w:val="auto"/>
                <w:szCs w:val="21"/>
                <w:highlight w:val="none"/>
              </w:rPr>
            </w:pPr>
          </w:p>
        </w:tc>
      </w:tr>
      <w:tr w14:paraId="6236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7F9F425D">
            <w:pPr>
              <w:wordWrap w:val="0"/>
              <w:spacing w:line="440" w:lineRule="exact"/>
              <w:jc w:val="center"/>
              <w:rPr>
                <w:color w:val="auto"/>
                <w:szCs w:val="21"/>
                <w:highlight w:val="none"/>
              </w:rPr>
            </w:pPr>
          </w:p>
        </w:tc>
        <w:tc>
          <w:tcPr>
            <w:tcW w:w="2456" w:type="dxa"/>
            <w:vAlign w:val="center"/>
          </w:tcPr>
          <w:p w14:paraId="7251B132">
            <w:pPr>
              <w:wordWrap w:val="0"/>
              <w:spacing w:line="440" w:lineRule="exact"/>
              <w:jc w:val="center"/>
              <w:rPr>
                <w:color w:val="auto"/>
                <w:szCs w:val="21"/>
                <w:highlight w:val="none"/>
              </w:rPr>
            </w:pPr>
          </w:p>
        </w:tc>
        <w:tc>
          <w:tcPr>
            <w:tcW w:w="1864" w:type="dxa"/>
            <w:vAlign w:val="center"/>
          </w:tcPr>
          <w:p w14:paraId="0FF17C32">
            <w:pPr>
              <w:wordWrap w:val="0"/>
              <w:spacing w:line="440" w:lineRule="exact"/>
              <w:jc w:val="center"/>
              <w:rPr>
                <w:color w:val="auto"/>
                <w:szCs w:val="21"/>
                <w:highlight w:val="none"/>
              </w:rPr>
            </w:pPr>
          </w:p>
        </w:tc>
        <w:tc>
          <w:tcPr>
            <w:tcW w:w="2582" w:type="dxa"/>
            <w:vMerge w:val="continue"/>
            <w:vAlign w:val="center"/>
          </w:tcPr>
          <w:p w14:paraId="60CF0D75">
            <w:pPr>
              <w:wordWrap w:val="0"/>
              <w:spacing w:line="440" w:lineRule="exact"/>
              <w:jc w:val="center"/>
              <w:rPr>
                <w:color w:val="auto"/>
                <w:szCs w:val="21"/>
                <w:highlight w:val="none"/>
              </w:rPr>
            </w:pPr>
          </w:p>
        </w:tc>
      </w:tr>
      <w:tr w14:paraId="7DB7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4303D1E">
            <w:pPr>
              <w:wordWrap w:val="0"/>
              <w:spacing w:line="440" w:lineRule="exact"/>
              <w:jc w:val="center"/>
              <w:rPr>
                <w:color w:val="auto"/>
                <w:szCs w:val="21"/>
                <w:highlight w:val="none"/>
              </w:rPr>
            </w:pPr>
          </w:p>
        </w:tc>
        <w:tc>
          <w:tcPr>
            <w:tcW w:w="2456" w:type="dxa"/>
            <w:vAlign w:val="center"/>
          </w:tcPr>
          <w:p w14:paraId="5B54957F">
            <w:pPr>
              <w:wordWrap w:val="0"/>
              <w:spacing w:line="440" w:lineRule="exact"/>
              <w:jc w:val="center"/>
              <w:rPr>
                <w:color w:val="auto"/>
                <w:szCs w:val="21"/>
                <w:highlight w:val="none"/>
              </w:rPr>
            </w:pPr>
          </w:p>
        </w:tc>
        <w:tc>
          <w:tcPr>
            <w:tcW w:w="1864" w:type="dxa"/>
            <w:vAlign w:val="center"/>
          </w:tcPr>
          <w:p w14:paraId="6DCB80E9">
            <w:pPr>
              <w:wordWrap w:val="0"/>
              <w:spacing w:line="440" w:lineRule="exact"/>
              <w:jc w:val="center"/>
              <w:rPr>
                <w:color w:val="auto"/>
                <w:szCs w:val="21"/>
                <w:highlight w:val="none"/>
              </w:rPr>
            </w:pPr>
          </w:p>
        </w:tc>
        <w:tc>
          <w:tcPr>
            <w:tcW w:w="2582" w:type="dxa"/>
            <w:vMerge w:val="continue"/>
            <w:vAlign w:val="center"/>
          </w:tcPr>
          <w:p w14:paraId="642D4E82">
            <w:pPr>
              <w:wordWrap w:val="0"/>
              <w:spacing w:line="440" w:lineRule="exact"/>
              <w:jc w:val="center"/>
              <w:rPr>
                <w:color w:val="auto"/>
                <w:szCs w:val="21"/>
                <w:highlight w:val="none"/>
              </w:rPr>
            </w:pPr>
          </w:p>
        </w:tc>
      </w:tr>
      <w:tr w14:paraId="096D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2591F9E1">
            <w:pPr>
              <w:wordWrap w:val="0"/>
              <w:spacing w:line="440" w:lineRule="exact"/>
              <w:jc w:val="center"/>
              <w:rPr>
                <w:color w:val="auto"/>
                <w:szCs w:val="21"/>
                <w:highlight w:val="none"/>
              </w:rPr>
            </w:pPr>
          </w:p>
        </w:tc>
        <w:tc>
          <w:tcPr>
            <w:tcW w:w="2456" w:type="dxa"/>
            <w:vAlign w:val="center"/>
          </w:tcPr>
          <w:p w14:paraId="0E20FB2B">
            <w:pPr>
              <w:wordWrap w:val="0"/>
              <w:spacing w:line="440" w:lineRule="exact"/>
              <w:jc w:val="center"/>
              <w:rPr>
                <w:color w:val="auto"/>
                <w:szCs w:val="21"/>
                <w:highlight w:val="none"/>
              </w:rPr>
            </w:pPr>
          </w:p>
        </w:tc>
        <w:tc>
          <w:tcPr>
            <w:tcW w:w="1864" w:type="dxa"/>
            <w:vAlign w:val="center"/>
          </w:tcPr>
          <w:p w14:paraId="289C3660">
            <w:pPr>
              <w:wordWrap w:val="0"/>
              <w:spacing w:line="440" w:lineRule="exact"/>
              <w:jc w:val="center"/>
              <w:rPr>
                <w:color w:val="auto"/>
                <w:szCs w:val="21"/>
                <w:highlight w:val="none"/>
              </w:rPr>
            </w:pPr>
          </w:p>
        </w:tc>
        <w:tc>
          <w:tcPr>
            <w:tcW w:w="2582" w:type="dxa"/>
            <w:vMerge w:val="continue"/>
            <w:vAlign w:val="center"/>
          </w:tcPr>
          <w:p w14:paraId="11D2AEFD">
            <w:pPr>
              <w:wordWrap w:val="0"/>
              <w:spacing w:line="440" w:lineRule="exact"/>
              <w:jc w:val="center"/>
              <w:rPr>
                <w:color w:val="auto"/>
                <w:szCs w:val="21"/>
                <w:highlight w:val="none"/>
              </w:rPr>
            </w:pPr>
          </w:p>
        </w:tc>
      </w:tr>
      <w:tr w14:paraId="5374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0BBCAFE">
            <w:pPr>
              <w:wordWrap w:val="0"/>
              <w:spacing w:line="440" w:lineRule="exact"/>
              <w:jc w:val="center"/>
              <w:rPr>
                <w:color w:val="auto"/>
                <w:szCs w:val="21"/>
                <w:highlight w:val="none"/>
              </w:rPr>
            </w:pPr>
          </w:p>
        </w:tc>
        <w:tc>
          <w:tcPr>
            <w:tcW w:w="2456" w:type="dxa"/>
            <w:vAlign w:val="center"/>
          </w:tcPr>
          <w:p w14:paraId="70752306">
            <w:pPr>
              <w:wordWrap w:val="0"/>
              <w:spacing w:line="440" w:lineRule="exact"/>
              <w:jc w:val="center"/>
              <w:rPr>
                <w:color w:val="auto"/>
                <w:szCs w:val="21"/>
                <w:highlight w:val="none"/>
              </w:rPr>
            </w:pPr>
          </w:p>
        </w:tc>
        <w:tc>
          <w:tcPr>
            <w:tcW w:w="1864" w:type="dxa"/>
            <w:vAlign w:val="center"/>
          </w:tcPr>
          <w:p w14:paraId="41936F2B">
            <w:pPr>
              <w:wordWrap w:val="0"/>
              <w:spacing w:line="440" w:lineRule="exact"/>
              <w:jc w:val="center"/>
              <w:rPr>
                <w:color w:val="auto"/>
                <w:szCs w:val="21"/>
                <w:highlight w:val="none"/>
              </w:rPr>
            </w:pPr>
          </w:p>
        </w:tc>
        <w:tc>
          <w:tcPr>
            <w:tcW w:w="2582" w:type="dxa"/>
            <w:vMerge w:val="continue"/>
            <w:vAlign w:val="center"/>
          </w:tcPr>
          <w:p w14:paraId="27892CE1">
            <w:pPr>
              <w:wordWrap w:val="0"/>
              <w:spacing w:line="440" w:lineRule="exact"/>
              <w:jc w:val="center"/>
              <w:rPr>
                <w:color w:val="auto"/>
                <w:szCs w:val="21"/>
                <w:highlight w:val="none"/>
              </w:rPr>
            </w:pPr>
          </w:p>
        </w:tc>
      </w:tr>
      <w:tr w14:paraId="6023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vAlign w:val="center"/>
          </w:tcPr>
          <w:p w14:paraId="5DDC5397">
            <w:pPr>
              <w:wordWrap w:val="0"/>
              <w:spacing w:line="440" w:lineRule="exact"/>
              <w:jc w:val="center"/>
              <w:rPr>
                <w:color w:val="auto"/>
                <w:szCs w:val="21"/>
                <w:highlight w:val="none"/>
              </w:rPr>
            </w:pPr>
            <w:r>
              <w:rPr>
                <w:color w:val="auto"/>
                <w:szCs w:val="21"/>
                <w:highlight w:val="none"/>
              </w:rPr>
              <w:t>拟分包工程造价合计（万元）</w:t>
            </w:r>
          </w:p>
        </w:tc>
        <w:tc>
          <w:tcPr>
            <w:tcW w:w="1864" w:type="dxa"/>
            <w:vAlign w:val="center"/>
          </w:tcPr>
          <w:p w14:paraId="13EE1328">
            <w:pPr>
              <w:wordWrap w:val="0"/>
              <w:spacing w:line="440" w:lineRule="exact"/>
              <w:jc w:val="center"/>
              <w:rPr>
                <w:color w:val="auto"/>
                <w:szCs w:val="21"/>
                <w:highlight w:val="none"/>
              </w:rPr>
            </w:pPr>
          </w:p>
        </w:tc>
        <w:tc>
          <w:tcPr>
            <w:tcW w:w="2582" w:type="dxa"/>
            <w:vMerge w:val="continue"/>
            <w:vAlign w:val="center"/>
          </w:tcPr>
          <w:p w14:paraId="3A7058FA">
            <w:pPr>
              <w:wordWrap w:val="0"/>
              <w:spacing w:line="440" w:lineRule="exact"/>
              <w:jc w:val="center"/>
              <w:rPr>
                <w:color w:val="auto"/>
                <w:szCs w:val="21"/>
                <w:highlight w:val="none"/>
              </w:rPr>
            </w:pPr>
          </w:p>
        </w:tc>
      </w:tr>
    </w:tbl>
    <w:p w14:paraId="70A5DCB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rPr>
          <w:rFonts w:hint="eastAsia" w:eastAsia="黑体" w:cs="Times New Roman"/>
          <w:b w:val="0"/>
          <w:bCs/>
          <w:color w:val="auto"/>
          <w:kern w:val="44"/>
          <w:sz w:val="28"/>
          <w:szCs w:val="28"/>
          <w:highlight w:val="none"/>
          <w:lang w:val="en-US" w:eastAsia="zh-CN"/>
        </w:rPr>
      </w:pPr>
      <w:r>
        <w:rPr>
          <w:rFonts w:hint="eastAsia" w:eastAsia="黑体" w:cs="Times New Roman"/>
          <w:b w:val="0"/>
          <w:bCs/>
          <w:color w:val="auto"/>
          <w:kern w:val="44"/>
          <w:sz w:val="28"/>
          <w:szCs w:val="28"/>
          <w:highlight w:val="none"/>
          <w:lang w:val="en-US" w:eastAsia="zh-CN"/>
        </w:rPr>
        <w:br w:type="page"/>
      </w:r>
    </w:p>
    <w:p w14:paraId="01C6C1AD">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r>
        <w:rPr>
          <w:rFonts w:hint="eastAsia" w:ascii="Times New Roman" w:hAnsi="Times New Roman" w:eastAsia="黑体" w:cs="Times New Roman"/>
          <w:b w:val="0"/>
          <w:i w:val="0"/>
          <w:iCs/>
          <w:color w:val="auto"/>
          <w:sz w:val="30"/>
          <w:szCs w:val="30"/>
          <w:highlight w:val="none"/>
          <w:lang w:val="en-US" w:eastAsia="zh-CN"/>
        </w:rPr>
        <w:t>八</w:t>
      </w:r>
      <w:r>
        <w:rPr>
          <w:rFonts w:hint="default" w:ascii="Times New Roman" w:hAnsi="Times New Roman" w:eastAsia="黑体" w:cs="Times New Roman"/>
          <w:b w:val="0"/>
          <w:i w:val="0"/>
          <w:iCs/>
          <w:color w:val="auto"/>
          <w:sz w:val="30"/>
          <w:szCs w:val="30"/>
          <w:highlight w:val="none"/>
        </w:rPr>
        <w:t>、资格审查资料</w:t>
      </w:r>
      <w:bookmarkEnd w:id="1673"/>
      <w:bookmarkEnd w:id="1674"/>
    </w:p>
    <w:p w14:paraId="3BE8F4F0">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8"/>
          <w:szCs w:val="28"/>
          <w:highlight w:val="none"/>
        </w:rPr>
      </w:pPr>
    </w:p>
    <w:p w14:paraId="69AA23B7">
      <w:pPr>
        <w:pageBreakBefore w:val="0"/>
        <w:kinsoku/>
        <w:wordWrap w:val="0"/>
        <w:bidi w:val="0"/>
        <w:spacing w:before="0" w:after="0" w:line="380" w:lineRule="atLeast"/>
        <w:jc w:val="center"/>
        <w:outlineLvl w:val="9"/>
        <w:rPr>
          <w:rFonts w:hint="default" w:ascii="Times New Roman" w:hAnsi="Times New Roman" w:eastAsia="黑体" w:cs="Times New Roman"/>
          <w:color w:val="auto"/>
          <w:sz w:val="23"/>
          <w:szCs w:val="23"/>
          <w:highlight w:val="none"/>
        </w:rPr>
      </w:pPr>
      <w:bookmarkStart w:id="1675" w:name="_Toc8645"/>
      <w:bookmarkStart w:id="1676" w:name="_Toc15892"/>
      <w:bookmarkStart w:id="1677" w:name="_Toc234833279"/>
      <w:r>
        <w:rPr>
          <w:rFonts w:hint="default" w:ascii="Times New Roman" w:hAnsi="Times New Roman" w:eastAsia="黑体" w:cs="Times New Roman"/>
          <w:b w:val="0"/>
          <w:color w:val="auto"/>
          <w:sz w:val="24"/>
          <w:szCs w:val="24"/>
          <w:highlight w:val="none"/>
        </w:rPr>
        <w:t>（一）投标人基本情况表</w:t>
      </w:r>
      <w:bookmarkEnd w:id="1675"/>
      <w:bookmarkEnd w:id="1676"/>
      <w:bookmarkEnd w:id="1677"/>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0E0B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ED81AF5">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68D7FE3">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3107B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24419B9">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264CB84C">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F7E9827">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5A3EC92">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5E89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6AE3005D">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11414BC">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A8C17A6">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7243BD">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61D80192">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1746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5190877D">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E5BDC3">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传真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1C2954A7">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1D941FD">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6BB9BF45">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71228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644627B5">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417D2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7E1133">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F199888">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62E8E9A">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E49FD40">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9BAA44">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44AEF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222DE0DE">
            <w:pPr>
              <w:pageBreakBefore w:val="0"/>
              <w:kinsoku/>
              <w:wordWrap w:val="0"/>
              <w:topLinePunct/>
              <w:bidi w:val="0"/>
              <w:spacing w:line="440" w:lineRule="exact"/>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项目总工</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DA2AC7">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426D0F">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3CADB52">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B93EFB8">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29B92D4">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BF4BB6">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51B81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4CDB775E">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078C9E">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7020C15D">
            <w:pPr>
              <w:pageBreakBefore w:val="0"/>
              <w:kinsoku/>
              <w:wordWrap w:val="0"/>
              <w:topLinePunct/>
              <w:bidi w:val="0"/>
              <w:spacing w:line="440" w:lineRule="exact"/>
              <w:ind w:firstLine="105" w:firstLine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员工总人数：</w:t>
            </w:r>
          </w:p>
        </w:tc>
      </w:tr>
      <w:tr w14:paraId="61DD9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2D346BA2">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049DAA3">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2CF2B3C1">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2BBD02D8">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8BEF727">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74E11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2B985CE4">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0BF649">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1B3991CC">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1C40081A">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99399CF">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11B0A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47B23CB6">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7D41175">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8B30261">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F01016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672B4F4">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3ED5C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037352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85A5FCE">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520546B9">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AE16C19">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026AEC0A">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297FD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467472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5348C0D">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7F287306">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708BD689">
            <w:pPr>
              <w:pStyle w:val="29"/>
              <w:pageBreakBefore w:val="0"/>
              <w:kinsoku/>
              <w:wordWrap w:val="0"/>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177788">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03A53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6E3633AA">
            <w:pPr>
              <w:pageBreakBefore w:val="0"/>
              <w:kinsoku/>
              <w:wordWrap w:val="0"/>
              <w:topLinePunct/>
              <w:bidi w:val="0"/>
              <w:spacing w:line="440" w:lineRule="exact"/>
              <w:ind w:firstLine="210" w:firstLineChars="10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14:paraId="54E06F88">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p w14:paraId="1EC9BCAA">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p w14:paraId="1B788019">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p w14:paraId="20FCC711">
            <w:pPr>
              <w:pageBreakBefore w:val="0"/>
              <w:kinsoku/>
              <w:wordWrap w:val="0"/>
              <w:topLinePunct/>
              <w:bidi w:val="0"/>
              <w:spacing w:line="440" w:lineRule="exact"/>
              <w:rPr>
                <w:rFonts w:hint="default" w:ascii="Times New Roman" w:hAnsi="Times New Roman" w:cs="Times New Roman"/>
                <w:color w:val="auto"/>
                <w:szCs w:val="21"/>
                <w:highlight w:val="none"/>
              </w:rPr>
            </w:pPr>
          </w:p>
        </w:tc>
      </w:tr>
      <w:tr w14:paraId="2650B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A81F3D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7B207B65">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投标人应提供关联企业情况，包括：</w:t>
            </w:r>
          </w:p>
          <w:p w14:paraId="692232CC">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（1）投标人的所有股东名称及相应股权（出资额）比例；如投标人为上市公司，投标人应提供股权占公司股份总数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%以上的所有股东名称及相应股权比例；</w:t>
            </w:r>
          </w:p>
          <w:p w14:paraId="4E127550">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（2）投标人投资（控股）或管理的下属企业名称、持有股权（出资额）比例；</w:t>
            </w:r>
          </w:p>
          <w:p w14:paraId="710DD1BA">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（3）与投标人单位负责人（即法定代表人）为同一人的其他单位名称</w:t>
            </w:r>
          </w:p>
          <w:p w14:paraId="4F34F56F">
            <w:pPr>
              <w:pageBreakBefore w:val="0"/>
              <w:kinsoku/>
              <w:wordWrap w:val="0"/>
              <w:topLinePunct/>
              <w:bidi w:val="0"/>
              <w:spacing w:line="440" w:lineRule="exact"/>
              <w:jc w:val="both"/>
              <w:rPr>
                <w:rFonts w:hint="default" w:ascii="Times New Roman" w:hAnsi="Times New Roman" w:cs="Times New Roman"/>
                <w:color w:val="auto"/>
                <w:szCs w:val="21"/>
                <w:highlight w:val="none"/>
              </w:rPr>
            </w:pPr>
          </w:p>
        </w:tc>
      </w:tr>
      <w:tr w14:paraId="50B1C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6048B33A">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3F039E">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bl>
    <w:p w14:paraId="365D191D">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第3.5.1项的要求在本表后附相关证明材料。</w:t>
      </w:r>
    </w:p>
    <w:p w14:paraId="434A41F1">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2.以联合体形式参与投标的，联合体各成员应分别填写。</w:t>
      </w:r>
    </w:p>
    <w:p w14:paraId="7578FAF7">
      <w:pPr>
        <w:pageBreakBefore w:val="0"/>
        <w:kinsoku/>
        <w:wordWrap w:val="0"/>
        <w:bidi w:val="0"/>
        <w:spacing w:line="440" w:lineRule="exact"/>
        <w:jc w:val="center"/>
        <w:rPr>
          <w:rFonts w:hint="default" w:ascii="Times New Roman" w:hAnsi="Times New Roman" w:cs="Times New Roman"/>
          <w:color w:val="auto"/>
          <w:szCs w:val="21"/>
          <w:highlight w:val="none"/>
        </w:rPr>
      </w:pPr>
    </w:p>
    <w:p w14:paraId="41216DBD">
      <w:pPr>
        <w:rPr>
          <w:rFonts w:hint="default" w:ascii="Times New Roman" w:hAnsi="Times New Roman" w:eastAsia="黑体" w:cs="Times New Roman"/>
          <w:b w:val="0"/>
          <w:color w:val="auto"/>
          <w:sz w:val="24"/>
          <w:szCs w:val="24"/>
          <w:highlight w:val="none"/>
        </w:rPr>
      </w:pPr>
      <w:bookmarkStart w:id="1678" w:name="_Toc234833280"/>
      <w:bookmarkStart w:id="1679" w:name="_Toc11366"/>
      <w:bookmarkStart w:id="1680" w:name="_Toc18039"/>
      <w:r>
        <w:rPr>
          <w:rFonts w:hint="default" w:ascii="Times New Roman" w:hAnsi="Times New Roman" w:eastAsia="黑体" w:cs="Times New Roman"/>
          <w:b w:val="0"/>
          <w:color w:val="auto"/>
          <w:sz w:val="24"/>
          <w:szCs w:val="24"/>
          <w:highlight w:val="none"/>
        </w:rPr>
        <w:br w:type="page"/>
      </w:r>
    </w:p>
    <w:p w14:paraId="7802496E">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（二）投标人企业组织机构框图</w:t>
      </w:r>
      <w:bookmarkEnd w:id="1678"/>
      <w:bookmarkEnd w:id="1679"/>
      <w:bookmarkEnd w:id="1680"/>
    </w:p>
    <w:p w14:paraId="16573E89">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color w:val="auto"/>
          <w:sz w:val="20"/>
          <w:szCs w:val="20"/>
          <w:highlight w:val="none"/>
        </w:rPr>
      </w:pPr>
    </w:p>
    <w:p w14:paraId="38D27C46">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color w:val="auto"/>
          <w:sz w:val="20"/>
          <w:szCs w:val="20"/>
          <w:highlight w:val="none"/>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28ED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3408388">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6CCC0A46">
            <w:pPr>
              <w:pageBreakBefore w:val="0"/>
              <w:kinsoku/>
              <w:wordWrap w:val="0"/>
              <w:bidi w:val="0"/>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以框图方式表示。</w:t>
            </w:r>
          </w:p>
          <w:p w14:paraId="0A8AB62B">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5DAEC112">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468F2319">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73C5D8A7">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5010966F">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195D66E8">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678AD1F5">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062FA168">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133EE981">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tc>
      </w:tr>
      <w:tr w14:paraId="1E57E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13FA90B3">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w:t>
            </w:r>
          </w:p>
          <w:p w14:paraId="0F854CB2">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375116EF">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6D448608">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57147CCE">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tc>
      </w:tr>
    </w:tbl>
    <w:p w14:paraId="08EE204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color w:val="auto"/>
          <w:sz w:val="20"/>
          <w:szCs w:val="20"/>
          <w:highlight w:val="none"/>
        </w:rPr>
      </w:pPr>
    </w:p>
    <w:p w14:paraId="15E000F4">
      <w:pPr>
        <w:pageBreakBefore w:val="0"/>
        <w:kinsoku/>
        <w:wordWrap w:val="0"/>
        <w:topLinePunct/>
        <w:bidi w:val="0"/>
        <w:spacing w:line="340" w:lineRule="atLeast"/>
        <w:jc w:val="center"/>
        <w:rPr>
          <w:rFonts w:hint="eastAsia" w:ascii="Times New Roman" w:hAnsi="Times New Roman" w:eastAsia="黑体" w:cs="Times New Roman"/>
          <w:color w:val="auto"/>
          <w:sz w:val="24"/>
          <w:highlight w:val="none"/>
          <w:lang w:eastAsia="zh-CN"/>
        </w:rPr>
      </w:pPr>
    </w:p>
    <w:p w14:paraId="4099C2B6">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681" w:name="_Toc234833282"/>
      <w:bookmarkStart w:id="1682" w:name="_Toc5424"/>
      <w:bookmarkStart w:id="1683" w:name="_Toc9070"/>
      <w:bookmarkStart w:id="1684" w:name="_Toc234833281"/>
      <w:r>
        <w:rPr>
          <w:rFonts w:hint="default" w:ascii="Times New Roman" w:hAnsi="Times New Roman" w:eastAsia="黑体" w:cs="Times New Roman"/>
          <w:b w:val="0"/>
          <w:color w:val="auto"/>
          <w:sz w:val="24"/>
          <w:szCs w:val="24"/>
          <w:highlight w:val="none"/>
        </w:rPr>
        <w:t>（</w:t>
      </w:r>
      <w:r>
        <w:rPr>
          <w:rFonts w:hint="default" w:ascii="Times New Roman" w:hAnsi="Times New Roman" w:eastAsia="黑体" w:cs="Times New Roman"/>
          <w:b w:val="0"/>
          <w:color w:val="auto"/>
          <w:sz w:val="24"/>
          <w:szCs w:val="24"/>
          <w:highlight w:val="none"/>
          <w:lang w:eastAsia="zh-CN"/>
        </w:rPr>
        <w:t>三</w:t>
      </w:r>
      <w:r>
        <w:rPr>
          <w:rFonts w:hint="default" w:ascii="Times New Roman" w:hAnsi="Times New Roman" w:eastAsia="黑体" w:cs="Times New Roman"/>
          <w:b w:val="0"/>
          <w:color w:val="auto"/>
          <w:sz w:val="24"/>
          <w:szCs w:val="24"/>
          <w:highlight w:val="none"/>
        </w:rPr>
        <w:t>）近年财务状况</w:t>
      </w:r>
      <w:bookmarkEnd w:id="1681"/>
      <w:bookmarkEnd w:id="1682"/>
      <w:bookmarkEnd w:id="1683"/>
    </w:p>
    <w:p w14:paraId="0527150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6BE015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财务状况表</w:t>
      </w:r>
    </w:p>
    <w:p w14:paraId="70D234CB">
      <w:pPr>
        <w:pageBreakBefore w:val="0"/>
        <w:kinsoku/>
        <w:wordWrap w:val="0"/>
        <w:bidi w:val="0"/>
        <w:spacing w:line="320" w:lineRule="atLeast"/>
        <w:jc w:val="center"/>
        <w:rPr>
          <w:rFonts w:hint="default" w:ascii="Times New Roman" w:hAnsi="Times New Roman" w:eastAsia="黑体" w:cs="Times New Roman"/>
          <w:b/>
          <w:color w:val="auto"/>
          <w:sz w:val="28"/>
          <w:highlight w:val="none"/>
        </w:rPr>
      </w:pPr>
    </w:p>
    <w:tbl>
      <w:tblPr>
        <w:tblStyle w:val="40"/>
        <w:tblW w:w="8925" w:type="dxa"/>
        <w:tblInd w:w="-77" w:type="dxa"/>
        <w:tblLayout w:type="fixed"/>
        <w:tblCellMar>
          <w:top w:w="0" w:type="dxa"/>
          <w:left w:w="28" w:type="dxa"/>
          <w:bottom w:w="0" w:type="dxa"/>
          <w:right w:w="28" w:type="dxa"/>
        </w:tblCellMar>
      </w:tblPr>
      <w:tblGrid>
        <w:gridCol w:w="4065"/>
        <w:gridCol w:w="900"/>
        <w:gridCol w:w="1320"/>
        <w:gridCol w:w="1320"/>
        <w:gridCol w:w="1320"/>
      </w:tblGrid>
      <w:tr w14:paraId="3F55CA2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17F34B">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707790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A09542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E4E83A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53CA30A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r>
      <w:tr w14:paraId="3A0E6964">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B326DD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69E18BF">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3E1653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55126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722317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459FECD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2DF77F1">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C6A462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7DE21D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9DA23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0E451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BFE70A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420B8AF">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8933F7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E57CAD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5DB0C4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268E5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0961368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73D1CE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31193F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A08C7D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C92675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9BA30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7293BB7B">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130F5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81FA67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445E6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43BD5A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DE5E9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5A7CCC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522F1E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C03526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9B9C86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67D1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06C19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0E3BF04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A4746D3">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68C8A0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7E3C7D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B9E896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DEAE69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38437C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17C26A6">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A9A6A1F">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0BBE98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979FB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252F6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56CA58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23DCB46">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F2656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5A974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C24B47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F2734D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378C75D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48A6ED7">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E8011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7E54B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0A4CF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ACD421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3AA2E73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2CE9C63">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DA62AF2">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5BED83D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8CBD8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92C84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81261E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5C76C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7448D7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54FD0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4711CB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B31AE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DACC48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2AEB396">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3A65C1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B3D1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7CC8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CD55D8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A9F099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9384CA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237B13B">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4A7451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7AD5BD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B2E634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728D4E3B">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CE90B7">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B4D7E7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2F04F4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A0F24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E9F412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A6E700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8B78B66">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F327AF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46924E8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D191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22293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8D41E0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CD49747">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FBE8B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63D43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711D1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F5DFB9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bl>
    <w:p w14:paraId="6DAD3EBE">
      <w:pPr>
        <w:pageBreakBefore w:val="0"/>
        <w:kinsoku/>
        <w:wordWrap w:val="0"/>
        <w:bidi w:val="0"/>
        <w:spacing w:line="400" w:lineRule="atLeast"/>
        <w:ind w:left="735" w:hanging="735" w:hangingChars="35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第3.5.2项的要求在本表后附相关证明材料。</w:t>
      </w:r>
    </w:p>
    <w:p w14:paraId="33A17488">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2.本表所列数据必须与本表各附件中的数据相一致。</w:t>
      </w:r>
    </w:p>
    <w:p w14:paraId="09BCA035">
      <w:pPr>
        <w:pageBreakBefore w:val="0"/>
        <w:kinsoku/>
        <w:wordWrap w:val="0"/>
        <w:bidi w:val="0"/>
        <w:spacing w:line="400" w:lineRule="atLeast"/>
        <w:ind w:left="399" w:leftChars="190"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3.以联合体形式参与投标的，联合体各成员</w:t>
      </w:r>
      <w:r>
        <w:rPr>
          <w:rFonts w:hint="default" w:ascii="Times New Roman" w:hAnsi="Times New Roman" w:cs="Times New Roman"/>
          <w:color w:val="auto"/>
          <w:szCs w:val="21"/>
          <w:highlight w:val="none"/>
          <w:lang w:val="en-US" w:eastAsia="zh-CN"/>
        </w:rPr>
        <w:t>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lang w:val="en-US" w:eastAsia="zh-CN"/>
        </w:rPr>
        <w:t>前附表附录2要求及第三章</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评标办法</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详细评审要求（如有）</w:t>
      </w:r>
      <w:r>
        <w:rPr>
          <w:rFonts w:hint="default" w:ascii="Times New Roman" w:hAnsi="Times New Roman" w:cs="Times New Roman"/>
          <w:color w:val="auto"/>
          <w:szCs w:val="21"/>
          <w:highlight w:val="none"/>
        </w:rPr>
        <w:t>分别填写。</w:t>
      </w:r>
    </w:p>
    <w:p w14:paraId="2AB7D601">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color w:val="auto"/>
          <w:sz w:val="24"/>
          <w:highlight w:val="none"/>
        </w:rPr>
      </w:pPr>
      <w:r>
        <w:rPr>
          <w:rFonts w:hint="default" w:ascii="Times New Roman" w:hAnsi="Times New Roman" w:cs="Times New Roman"/>
          <w:color w:val="auto"/>
          <w:highlight w:val="none"/>
        </w:rPr>
        <w:br w:type="page"/>
      </w:r>
      <w:r>
        <w:rPr>
          <w:rFonts w:hint="default" w:ascii="Times New Roman" w:hAnsi="Times New Roman" w:eastAsia="黑体" w:cs="Times New Roman"/>
          <w:color w:val="auto"/>
          <w:sz w:val="24"/>
          <w:highlight w:val="none"/>
        </w:rPr>
        <w:t>银行信贷证明</w:t>
      </w:r>
      <w:r>
        <w:rPr>
          <w:rStyle w:val="48"/>
          <w:rFonts w:hint="default" w:ascii="Times New Roman" w:hAnsi="Times New Roman" w:eastAsia="黑体" w:cs="Times New Roman"/>
          <w:color w:val="auto"/>
          <w:sz w:val="24"/>
          <w:highlight w:val="none"/>
        </w:rPr>
        <w:footnoteReference w:id="51"/>
      </w:r>
    </w:p>
    <w:p w14:paraId="10AB1D1E">
      <w:pPr>
        <w:pageBreakBefore w:val="0"/>
        <w:kinsoku/>
        <w:wordWrap w:val="0"/>
        <w:bidi w:val="0"/>
        <w:spacing w:line="360" w:lineRule="atLeast"/>
        <w:jc w:val="center"/>
        <w:rPr>
          <w:rFonts w:hint="default" w:ascii="Times New Roman" w:hAnsi="Times New Roman" w:cs="Times New Roman"/>
          <w:color w:val="auto"/>
          <w:sz w:val="24"/>
          <w:highlight w:val="none"/>
        </w:rPr>
      </w:pPr>
    </w:p>
    <w:p w14:paraId="1B62BE0A">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银行名称：________________________________</w:t>
      </w:r>
    </w:p>
    <w:p w14:paraId="6A1B9CCA">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地址：________________________________</w:t>
      </w:r>
    </w:p>
    <w:p w14:paraId="3DDB32E4">
      <w:pPr>
        <w:pageBreakBefore w:val="0"/>
        <w:kinsoku/>
        <w:wordWrap w:val="0"/>
        <w:autoSpaceDE w:val="0"/>
        <w:autoSpaceDN w:val="0"/>
        <w:bidi w:val="0"/>
        <w:adjustRightInd w:val="0"/>
        <w:spacing w:line="520" w:lineRule="atLeast"/>
        <w:jc w:val="righ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日期：_____________</w:t>
      </w:r>
    </w:p>
    <w:p w14:paraId="1BACC66E">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p>
    <w:p w14:paraId="1B9ACBFD">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 xml:space="preserve">    （招标人全称）    </w:t>
      </w:r>
    </w:p>
    <w:p w14:paraId="3637BFEE">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p>
    <w:p w14:paraId="2B012B23">
      <w:pPr>
        <w:pageBreakBefore w:val="0"/>
        <w:kinsoku/>
        <w:wordWrap w:val="0"/>
        <w:autoSpaceDE w:val="0"/>
        <w:autoSpaceDN w:val="0"/>
        <w:bidi w:val="0"/>
        <w:adjustRightInd w:val="0"/>
        <w:spacing w:line="400" w:lineRule="atLeast"/>
        <w:ind w:firstLine="5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兹开具最高限额为人民币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万元的银行信贷，供</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（投标人注册地点）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日之前，在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（项目名称）需要时使用。我行保证由____________（投标人名称）提供的财务报表中所开列的作为流动资产的各项中无一项包含在上述提到的银行信贷中。</w:t>
      </w:r>
    </w:p>
    <w:p w14:paraId="6D4B588E">
      <w:pPr>
        <w:pageBreakBefore w:val="0"/>
        <w:kinsoku/>
        <w:wordWrap w:val="0"/>
        <w:autoSpaceDE w:val="0"/>
        <w:autoSpaceDN w:val="0"/>
        <w:bidi w:val="0"/>
        <w:adjustRightInd w:val="0"/>
        <w:spacing w:line="520" w:lineRule="atLeast"/>
        <w:ind w:firstLine="5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此项目若未中标，该信贷证明自动失效，无须退回我行。</w:t>
      </w:r>
    </w:p>
    <w:p w14:paraId="633FEE65">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p>
    <w:p w14:paraId="4BB3102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银          行（盖单位章）：</w:t>
      </w:r>
      <w:r>
        <w:rPr>
          <w:rFonts w:hint="default" w:ascii="Times New Roman" w:hAnsi="Times New Roman" w:cs="Times New Roman"/>
          <w:color w:val="auto"/>
          <w:sz w:val="24"/>
          <w:highlight w:val="none"/>
          <w:u w:val="single"/>
        </w:rPr>
        <w:t xml:space="preserve">                 </w:t>
      </w:r>
    </w:p>
    <w:p w14:paraId="7DB1BE5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银行主要负责人（签字）：</w:t>
      </w:r>
      <w:r>
        <w:rPr>
          <w:rFonts w:hint="default" w:ascii="Times New Roman" w:hAnsi="Times New Roman" w:cs="Times New Roman"/>
          <w:color w:val="auto"/>
          <w:sz w:val="24"/>
          <w:highlight w:val="none"/>
          <w:u w:val="single"/>
        </w:rPr>
        <w:t xml:space="preserve">                     </w:t>
      </w:r>
    </w:p>
    <w:p w14:paraId="59E91A9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银行主要负责人姓名、职务：</w:t>
      </w:r>
      <w:r>
        <w:rPr>
          <w:rFonts w:hint="default" w:ascii="Times New Roman" w:hAnsi="Times New Roman" w:cs="Times New Roman"/>
          <w:color w:val="auto"/>
          <w:sz w:val="24"/>
          <w:highlight w:val="none"/>
          <w:u w:val="single"/>
        </w:rPr>
        <w:t xml:space="preserve">     （打印）    </w:t>
      </w:r>
    </w:p>
    <w:p w14:paraId="75D4B993">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    行    电    话：</w:t>
      </w:r>
      <w:r>
        <w:rPr>
          <w:rFonts w:hint="default" w:ascii="Times New Roman" w:hAnsi="Times New Roman" w:cs="Times New Roman"/>
          <w:color w:val="auto"/>
          <w:sz w:val="24"/>
          <w:highlight w:val="none"/>
          <w:u w:val="single"/>
        </w:rPr>
        <w:t xml:space="preserve">                    </w:t>
      </w:r>
    </w:p>
    <w:p w14:paraId="263A42FE">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    行    传    真：</w:t>
      </w:r>
      <w:r>
        <w:rPr>
          <w:rFonts w:hint="default" w:ascii="Times New Roman" w:hAnsi="Times New Roman" w:cs="Times New Roman"/>
          <w:color w:val="auto"/>
          <w:sz w:val="24"/>
          <w:highlight w:val="none"/>
          <w:u w:val="single"/>
        </w:rPr>
        <w:t xml:space="preserve">                    </w:t>
      </w:r>
    </w:p>
    <w:p w14:paraId="777A9E98">
      <w:pPr>
        <w:pageBreakBefore w:val="0"/>
        <w:kinsoku/>
        <w:wordWrap w:val="0"/>
        <w:bidi w:val="0"/>
        <w:spacing w:line="320" w:lineRule="atLeast"/>
        <w:jc w:val="center"/>
        <w:rPr>
          <w:rFonts w:hint="default" w:ascii="Times New Roman" w:hAnsi="Times New Roman" w:cs="Times New Roman"/>
          <w:color w:val="auto"/>
          <w:sz w:val="24"/>
          <w:highlight w:val="none"/>
        </w:rPr>
      </w:pPr>
    </w:p>
    <w:p w14:paraId="65646DF3">
      <w:pPr>
        <w:pageBreakBefore w:val="0"/>
        <w:kinsoku/>
        <w:wordWrap w:val="0"/>
        <w:bidi w:val="0"/>
        <w:spacing w:line="320" w:lineRule="atLeast"/>
        <w:jc w:val="center"/>
        <w:rPr>
          <w:rFonts w:hint="default" w:ascii="Times New Roman" w:hAnsi="Times New Roman" w:cs="Times New Roman"/>
          <w:color w:val="auto"/>
          <w:sz w:val="24"/>
          <w:highlight w:val="none"/>
        </w:rPr>
      </w:pPr>
    </w:p>
    <w:p w14:paraId="1E8A757E">
      <w:pPr>
        <w:pStyle w:val="31"/>
        <w:pageBreakBefore w:val="0"/>
        <w:kinsoku/>
        <w:wordWrap w:val="0"/>
        <w:bidi w:val="0"/>
        <w:spacing w:line="320" w:lineRule="atLeast"/>
        <w:ind w:left="1084" w:leftChars="216" w:hanging="630" w:hanging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注：允许投标人实际开具的银行信贷证明的格式与《</w:t>
      </w:r>
      <w:r>
        <w:rPr>
          <w:rFonts w:hint="default" w:ascii="Times New Roman" w:hAnsi="Times New Roman" w:cs="Times New Roman"/>
          <w:color w:val="auto"/>
          <w:sz w:val="21"/>
          <w:szCs w:val="21"/>
          <w:highlight w:val="none"/>
          <w:lang w:val="en-US" w:eastAsia="zh-CN"/>
        </w:rPr>
        <w:t>标准文件</w:t>
      </w:r>
      <w:r>
        <w:rPr>
          <w:rFonts w:hint="default" w:ascii="Times New Roman" w:hAnsi="Times New Roman" w:cs="Times New Roman"/>
          <w:color w:val="auto"/>
          <w:sz w:val="21"/>
          <w:szCs w:val="21"/>
          <w:highlight w:val="none"/>
        </w:rPr>
        <w:t>》提供的格式有所不同，但不得更改《</w:t>
      </w:r>
      <w:r>
        <w:rPr>
          <w:rFonts w:hint="default" w:ascii="Times New Roman" w:hAnsi="Times New Roman" w:cs="Times New Roman"/>
          <w:color w:val="auto"/>
          <w:sz w:val="21"/>
          <w:szCs w:val="21"/>
          <w:highlight w:val="none"/>
          <w:lang w:val="en-US" w:eastAsia="zh-CN"/>
        </w:rPr>
        <w:t>标准文件</w:t>
      </w:r>
      <w:r>
        <w:rPr>
          <w:rFonts w:hint="default" w:ascii="Times New Roman" w:hAnsi="Times New Roman" w:cs="Times New Roman"/>
          <w:color w:val="auto"/>
          <w:sz w:val="21"/>
          <w:szCs w:val="21"/>
          <w:highlight w:val="none"/>
        </w:rPr>
        <w:t>》提供的银行信贷证明格式中的实质性内容。</w:t>
      </w:r>
    </w:p>
    <w:p w14:paraId="75BA9D1B">
      <w:pPr>
        <w:pageBreakBefore w:val="0"/>
        <w:kinsoku/>
        <w:wordWrap w:val="0"/>
        <w:bidi w:val="0"/>
        <w:spacing w:line="320" w:lineRule="atLeast"/>
        <w:ind w:left="1155" w:leftChars="400" w:hanging="315" w:hangingChars="150"/>
        <w:rPr>
          <w:rFonts w:hint="default" w:ascii="Times New Roman" w:hAnsi="Times New Roman" w:cs="Times New Roman"/>
          <w:color w:val="auto"/>
          <w:szCs w:val="21"/>
          <w:highlight w:val="none"/>
        </w:rPr>
      </w:pPr>
    </w:p>
    <w:p w14:paraId="4106A125">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4"/>
          <w:highlight w:val="none"/>
        </w:rPr>
        <w:br w:type="page"/>
      </w:r>
      <w:bookmarkStart w:id="1685" w:name="_Toc26877"/>
      <w:bookmarkStart w:id="1686" w:name="_Toc11478"/>
      <w:bookmarkStart w:id="1687" w:name="_Toc234833283"/>
      <w:r>
        <w:rPr>
          <w:rFonts w:hint="default" w:ascii="Times New Roman" w:hAnsi="Times New Roman" w:eastAsia="黑体" w:cs="Times New Roman"/>
          <w:b w:val="0"/>
          <w:color w:val="auto"/>
          <w:sz w:val="24"/>
          <w:szCs w:val="24"/>
          <w:highlight w:val="none"/>
        </w:rPr>
        <w:t>（</w:t>
      </w:r>
      <w:r>
        <w:rPr>
          <w:rFonts w:hint="default" w:ascii="Times New Roman" w:hAnsi="Times New Roman" w:eastAsia="黑体" w:cs="Times New Roman"/>
          <w:b w:val="0"/>
          <w:color w:val="auto"/>
          <w:sz w:val="24"/>
          <w:szCs w:val="24"/>
          <w:highlight w:val="none"/>
          <w:lang w:eastAsia="zh-CN"/>
        </w:rPr>
        <w:t>四</w:t>
      </w:r>
      <w:r>
        <w:rPr>
          <w:rFonts w:hint="default" w:ascii="Times New Roman" w:hAnsi="Times New Roman" w:eastAsia="黑体" w:cs="Times New Roman"/>
          <w:b w:val="0"/>
          <w:color w:val="auto"/>
          <w:sz w:val="24"/>
          <w:szCs w:val="24"/>
          <w:highlight w:val="none"/>
        </w:rPr>
        <w:t>）近年完成的类似项目情况表</w:t>
      </w:r>
      <w:bookmarkEnd w:id="1685"/>
      <w:bookmarkEnd w:id="1686"/>
      <w:bookmarkEnd w:id="1687"/>
    </w:p>
    <w:p w14:paraId="0DFD8809">
      <w:pPr>
        <w:pageBreakBefore w:val="0"/>
        <w:kinsoku/>
        <w:wordWrap w:val="0"/>
        <w:bidi w:val="0"/>
        <w:spacing w:line="440" w:lineRule="exact"/>
        <w:jc w:val="center"/>
        <w:rPr>
          <w:rFonts w:hint="default" w:ascii="Times New Roman" w:hAnsi="Times New Roman" w:eastAsia="黑体" w:cs="Times New Roman"/>
          <w:color w:val="auto"/>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3F3D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225EC37B">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Cs w:val="21"/>
                <w:highlight w:val="none"/>
              </w:rPr>
              <w:t>序</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号</w:t>
            </w:r>
          </w:p>
        </w:tc>
        <w:tc>
          <w:tcPr>
            <w:tcW w:w="6524" w:type="dxa"/>
            <w:noWrap w:val="0"/>
            <w:vAlign w:val="top"/>
          </w:tcPr>
          <w:p w14:paraId="0F10548D">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D2D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2CFE504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项目名称</w:t>
            </w:r>
          </w:p>
        </w:tc>
        <w:tc>
          <w:tcPr>
            <w:tcW w:w="6524" w:type="dxa"/>
            <w:noWrap w:val="0"/>
            <w:vAlign w:val="top"/>
          </w:tcPr>
          <w:p w14:paraId="472B67F0">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1C81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7010AB17">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项目所在地</w:t>
            </w:r>
          </w:p>
        </w:tc>
        <w:tc>
          <w:tcPr>
            <w:tcW w:w="6524" w:type="dxa"/>
            <w:noWrap w:val="0"/>
            <w:vAlign w:val="top"/>
          </w:tcPr>
          <w:p w14:paraId="57E07AE3">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3D4B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70D48B5A">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发包人名称</w:t>
            </w:r>
          </w:p>
        </w:tc>
        <w:tc>
          <w:tcPr>
            <w:tcW w:w="6524" w:type="dxa"/>
            <w:noWrap w:val="0"/>
            <w:vAlign w:val="top"/>
          </w:tcPr>
          <w:p w14:paraId="4864BC73">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1710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7F0B628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发包人地址</w:t>
            </w:r>
          </w:p>
        </w:tc>
        <w:tc>
          <w:tcPr>
            <w:tcW w:w="6524" w:type="dxa"/>
            <w:noWrap w:val="0"/>
            <w:vAlign w:val="top"/>
          </w:tcPr>
          <w:p w14:paraId="3AA9F022">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E74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061EE3EF">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发包人电话</w:t>
            </w:r>
          </w:p>
        </w:tc>
        <w:tc>
          <w:tcPr>
            <w:tcW w:w="6524" w:type="dxa"/>
            <w:noWrap w:val="0"/>
            <w:vAlign w:val="top"/>
          </w:tcPr>
          <w:p w14:paraId="7D051E72">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239A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0B73D14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合同价格</w:t>
            </w:r>
          </w:p>
        </w:tc>
        <w:tc>
          <w:tcPr>
            <w:tcW w:w="6524" w:type="dxa"/>
            <w:noWrap w:val="0"/>
            <w:vAlign w:val="top"/>
          </w:tcPr>
          <w:p w14:paraId="615D2EB9">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2CFD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B744185">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开工日期</w:t>
            </w:r>
          </w:p>
        </w:tc>
        <w:tc>
          <w:tcPr>
            <w:tcW w:w="6524" w:type="dxa"/>
            <w:noWrap w:val="0"/>
            <w:vAlign w:val="top"/>
          </w:tcPr>
          <w:p w14:paraId="74270752">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52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41A93791">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交工日期</w:t>
            </w:r>
          </w:p>
        </w:tc>
        <w:tc>
          <w:tcPr>
            <w:tcW w:w="6524" w:type="dxa"/>
            <w:noWrap w:val="0"/>
            <w:vAlign w:val="top"/>
          </w:tcPr>
          <w:p w14:paraId="554EE8DD">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4CC8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1888DBD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承担的工作</w:t>
            </w:r>
          </w:p>
        </w:tc>
        <w:tc>
          <w:tcPr>
            <w:tcW w:w="6524" w:type="dxa"/>
            <w:noWrap w:val="0"/>
            <w:vAlign w:val="top"/>
          </w:tcPr>
          <w:p w14:paraId="39DA7006">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4782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22535357">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工程质量</w:t>
            </w:r>
          </w:p>
        </w:tc>
        <w:tc>
          <w:tcPr>
            <w:tcW w:w="6524" w:type="dxa"/>
            <w:noWrap w:val="0"/>
            <w:vAlign w:val="top"/>
          </w:tcPr>
          <w:p w14:paraId="76951866">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3F53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186F5885">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项目经理</w:t>
            </w:r>
          </w:p>
        </w:tc>
        <w:tc>
          <w:tcPr>
            <w:tcW w:w="6524" w:type="dxa"/>
            <w:noWrap w:val="0"/>
            <w:vAlign w:val="top"/>
          </w:tcPr>
          <w:p w14:paraId="16B386F8">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2FC4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0ACE3DBE">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项目总工</w:t>
            </w:r>
          </w:p>
        </w:tc>
        <w:tc>
          <w:tcPr>
            <w:tcW w:w="6524" w:type="dxa"/>
            <w:noWrap w:val="0"/>
            <w:vAlign w:val="top"/>
          </w:tcPr>
          <w:p w14:paraId="356F66EB">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59F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5687CF1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总监理工程师及电话</w:t>
            </w:r>
          </w:p>
        </w:tc>
        <w:tc>
          <w:tcPr>
            <w:tcW w:w="6524" w:type="dxa"/>
            <w:noWrap w:val="0"/>
            <w:vAlign w:val="top"/>
          </w:tcPr>
          <w:p w14:paraId="57659DAC">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42AA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2649B5B8">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项目描述</w:t>
            </w:r>
          </w:p>
        </w:tc>
        <w:tc>
          <w:tcPr>
            <w:tcW w:w="6524" w:type="dxa"/>
            <w:noWrap w:val="0"/>
            <w:vAlign w:val="top"/>
          </w:tcPr>
          <w:p w14:paraId="0F039D46">
            <w:pPr>
              <w:pageBreakBefore w:val="0"/>
              <w:kinsoku/>
              <w:wordWrap w:val="0"/>
              <w:topLinePunct/>
              <w:bidi w:val="0"/>
              <w:spacing w:line="440" w:lineRule="exact"/>
              <w:rPr>
                <w:rFonts w:hint="default" w:ascii="Times New Roman" w:hAnsi="Times New Roman" w:cs="Times New Roman"/>
                <w:color w:val="auto"/>
                <w:sz w:val="20"/>
                <w:szCs w:val="20"/>
                <w:highlight w:val="none"/>
              </w:rPr>
            </w:pPr>
          </w:p>
          <w:p w14:paraId="470358C0">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1A19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2E529C3A">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w:t>
            </w:r>
          </w:p>
        </w:tc>
        <w:tc>
          <w:tcPr>
            <w:tcW w:w="6524" w:type="dxa"/>
            <w:noWrap w:val="0"/>
            <w:vAlign w:val="top"/>
          </w:tcPr>
          <w:p w14:paraId="0A99BDD1">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bl>
    <w:p w14:paraId="3F2C4FF2">
      <w:pPr>
        <w:pageBreakBefore w:val="0"/>
        <w:kinsoku/>
        <w:wordWrap w:val="0"/>
        <w:bidi w:val="0"/>
        <w:spacing w:line="400" w:lineRule="atLeast"/>
        <w:ind w:left="735" w:hanging="735" w:hangingChars="3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注：1.每张表格只填写一个项目，并标明序号。</w:t>
      </w:r>
    </w:p>
    <w:p w14:paraId="63D57CF8">
      <w:pPr>
        <w:pageBreakBefore w:val="0"/>
        <w:kinsoku/>
        <w:wordWrap w:val="0"/>
        <w:bidi w:val="0"/>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第3.5.3项的要求在本表后附相关证明材料。</w:t>
      </w:r>
    </w:p>
    <w:p w14:paraId="30B36AB1">
      <w:pPr>
        <w:pageBreakBefore w:val="0"/>
        <w:kinsoku/>
        <w:wordWrap w:val="0"/>
        <w:bidi w:val="0"/>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3.如近年来，投标人法人机构发生合法变更或重组或法人名称变更时，应提供相关部门的合法批件或其他相关证明材料来证明其所附业绩的继承性。</w:t>
      </w:r>
    </w:p>
    <w:p w14:paraId="523D0CC0">
      <w:pPr>
        <w:pageBreakBefore w:val="0"/>
        <w:kinsoku/>
        <w:wordWrap w:val="0"/>
        <w:bidi w:val="0"/>
        <w:spacing w:line="400" w:lineRule="atLeast"/>
        <w:ind w:left="609" w:leftChars="190" w:hanging="210" w:hanging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4.以联合体形式参与投标的，联合体各成员</w:t>
      </w:r>
      <w:r>
        <w:rPr>
          <w:rFonts w:hint="default" w:ascii="Times New Roman" w:hAnsi="Times New Roman" w:cs="Times New Roman"/>
          <w:color w:val="auto"/>
          <w:szCs w:val="21"/>
          <w:highlight w:val="none"/>
          <w:lang w:val="en-US" w:eastAsia="zh-CN"/>
        </w:rPr>
        <w:t>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lang w:val="en-US" w:eastAsia="zh-CN"/>
        </w:rPr>
        <w:t>前附表附录3要求及第三章</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评标办法</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详细评审要求（如有）</w:t>
      </w:r>
      <w:r>
        <w:rPr>
          <w:rFonts w:hint="default" w:ascii="Times New Roman" w:hAnsi="Times New Roman" w:cs="Times New Roman"/>
          <w:color w:val="auto"/>
          <w:szCs w:val="21"/>
          <w:highlight w:val="none"/>
        </w:rPr>
        <w:t>分别填写。</w:t>
      </w:r>
    </w:p>
    <w:p w14:paraId="51AB2A06">
      <w:pPr>
        <w:pageBreakBefore w:val="0"/>
        <w:kinsoku/>
        <w:wordWrap w:val="0"/>
        <w:bidi w:val="0"/>
        <w:spacing w:line="280" w:lineRule="exact"/>
        <w:rPr>
          <w:rFonts w:hint="default" w:ascii="Times New Roman" w:hAnsi="Times New Roman" w:eastAsia="黑体" w:cs="Times New Roman"/>
          <w:color w:val="auto"/>
          <w:sz w:val="23"/>
          <w:szCs w:val="23"/>
          <w:highlight w:val="none"/>
        </w:rPr>
      </w:pPr>
      <w:r>
        <w:rPr>
          <w:rFonts w:hint="default" w:ascii="Times New Roman" w:hAnsi="Times New Roman" w:eastAsia="黑体" w:cs="Times New Roman"/>
          <w:color w:val="auto"/>
          <w:sz w:val="23"/>
          <w:szCs w:val="23"/>
          <w:highlight w:val="none"/>
        </w:rPr>
        <w:br w:type="page"/>
      </w:r>
    </w:p>
    <w:p w14:paraId="1DFF9D83">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bookmarkStart w:id="1688" w:name="_Toc26533"/>
      <w:bookmarkStart w:id="1689" w:name="_Toc2693"/>
      <w:bookmarkStart w:id="1690" w:name="_Toc234833285"/>
      <w:r>
        <w:rPr>
          <w:rFonts w:hint="eastAsia" w:ascii="Times New Roman" w:hAnsi="Times New Roman" w:eastAsia="黑体" w:cs="Times New Roman"/>
          <w:b w:val="0"/>
          <w:color w:val="auto"/>
          <w:sz w:val="24"/>
          <w:szCs w:val="24"/>
          <w:highlight w:val="none"/>
          <w:lang w:val="en-US" w:eastAsia="zh-CN"/>
        </w:rPr>
        <w:t>（五）</w:t>
      </w:r>
      <w:r>
        <w:rPr>
          <w:rFonts w:hint="default" w:ascii="Times New Roman" w:hAnsi="Times New Roman" w:eastAsia="黑体" w:cs="Times New Roman"/>
          <w:b w:val="0"/>
          <w:color w:val="auto"/>
          <w:sz w:val="24"/>
          <w:szCs w:val="24"/>
          <w:highlight w:val="none"/>
        </w:rPr>
        <w:t>投标人的信誉情况表</w:t>
      </w:r>
      <w:bookmarkEnd w:id="1688"/>
      <w:bookmarkEnd w:id="1689"/>
    </w:p>
    <w:p w14:paraId="4E48B772">
      <w:pPr>
        <w:keepNext/>
        <w:keepLines/>
        <w:spacing w:before="80" w:after="64"/>
        <w:ind w:firstLine="566"/>
        <w:jc w:val="center"/>
        <w:rPr>
          <w:rFonts w:hint="default" w:eastAsia="黑体" w:cs="Times New Roman"/>
          <w:bCs/>
          <w:color w:val="auto"/>
          <w:kern w:val="0"/>
          <w:sz w:val="28"/>
          <w:szCs w:val="28"/>
          <w:highlight w:val="none"/>
          <w:lang w:val="en-US" w:eastAsia="zh-CN" w:bidi="zh-CN"/>
        </w:rPr>
      </w:pPr>
      <w:r>
        <w:rPr>
          <w:rFonts w:hint="eastAsia" w:eastAsia="黑体" w:cs="Times New Roman"/>
          <w:bCs/>
          <w:color w:val="auto"/>
          <w:kern w:val="0"/>
          <w:sz w:val="28"/>
          <w:szCs w:val="28"/>
          <w:highlight w:val="none"/>
          <w:lang w:val="en-US" w:eastAsia="zh-CN" w:bidi="zh-CN"/>
        </w:rPr>
        <w:t>5-1</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3F2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01D9FDF4">
            <w:pPr>
              <w:pageBreakBefore w:val="0"/>
              <w:kinsoku/>
              <w:wordWrap w:val="0"/>
              <w:topLinePunct/>
              <w:bidi w:val="0"/>
              <w:spacing w:line="40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项目</w:t>
            </w:r>
          </w:p>
        </w:tc>
        <w:tc>
          <w:tcPr>
            <w:tcW w:w="4261" w:type="dxa"/>
            <w:noWrap w:val="0"/>
            <w:vAlign w:val="center"/>
          </w:tcPr>
          <w:p w14:paraId="17E62E68">
            <w:pPr>
              <w:pageBreakBefore w:val="0"/>
              <w:kinsoku/>
              <w:wordWrap w:val="0"/>
              <w:topLinePunct/>
              <w:bidi w:val="0"/>
              <w:spacing w:line="40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投标人情况说明</w:t>
            </w:r>
          </w:p>
        </w:tc>
      </w:tr>
      <w:tr w14:paraId="6DDA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6E802B43">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459D5E71">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1007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34353CB9">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0608AC5F">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5FB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137FE42">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6FD5112D">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218B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39E2B02">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53DAEA39">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0945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50DB37">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6EEA8C18">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4BDB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D2E3A2F">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6DDFD1E8">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3228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4826FE">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72ED0E27">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0ABE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B4F75C">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2FBFB6D4">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bl>
    <w:p w14:paraId="4CC66E75">
      <w:pPr>
        <w:keepNext w:val="0"/>
        <w:keepLines w:val="0"/>
        <w:pageBreakBefore w:val="0"/>
        <w:widowControl w:val="0"/>
        <w:kinsoku/>
        <w:wordWrap w:val="0"/>
        <w:overflowPunct/>
        <w:topLinePunct w:val="0"/>
        <w:autoSpaceDE/>
        <w:autoSpaceDN/>
        <w:bidi w:val="0"/>
        <w:adjustRightInd/>
        <w:snapToGrid/>
        <w:spacing w:line="400" w:lineRule="atLeast"/>
        <w:ind w:left="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注：1.投标人应按照招标文件第二章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前附表附录4和</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正文第1.4.4项规定，逐条说明其信誉情况。</w:t>
      </w:r>
      <w:bookmarkEnd w:id="1690"/>
    </w:p>
    <w:p w14:paraId="65D31368">
      <w:pPr>
        <w:keepNext w:val="0"/>
        <w:keepLines w:val="0"/>
        <w:pageBreakBefore w:val="0"/>
        <w:widowControl w:val="0"/>
        <w:kinsoku/>
        <w:wordWrap w:val="0"/>
        <w:overflowPunct/>
        <w:topLinePunct w:val="0"/>
        <w:autoSpaceDE/>
        <w:autoSpaceDN/>
        <w:bidi w:val="0"/>
        <w:adjustRightInd/>
        <w:snapToGrid/>
        <w:spacing w:line="400" w:lineRule="atLeast"/>
        <w:ind w:left="0" w:firstLine="420" w:firstLineChars="200"/>
        <w:textAlignment w:val="auto"/>
        <w:rPr>
          <w:rFonts w:hint="default" w:ascii="Times New Roman" w:hAnsi="Times New Roman" w:cs="Times New Roman"/>
          <w:color w:val="auto"/>
          <w:szCs w:val="21"/>
          <w:highlight w:val="none"/>
        </w:rPr>
      </w:pPr>
      <w:bookmarkStart w:id="1691" w:name="_Hlk493477915"/>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第3.5.4项的要求在本表后附相关证明材料。</w:t>
      </w:r>
      <w:bookmarkEnd w:id="1691"/>
    </w:p>
    <w:p w14:paraId="4F26CEBF">
      <w:pPr>
        <w:keepNext w:val="0"/>
        <w:keepLines w:val="0"/>
        <w:pageBreakBefore w:val="0"/>
        <w:widowControl w:val="0"/>
        <w:kinsoku/>
        <w:wordWrap w:val="0"/>
        <w:overflowPunct/>
        <w:topLinePunct w:val="0"/>
        <w:autoSpaceDE/>
        <w:autoSpaceDN/>
        <w:bidi w:val="0"/>
        <w:adjustRightInd/>
        <w:snapToGrid/>
        <w:spacing w:line="400" w:lineRule="atLeast"/>
        <w:ind w:left="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3.以联合体形式参与投标的，联合体各成员应分别填写。</w:t>
      </w:r>
    </w:p>
    <w:p w14:paraId="6714ECC4">
      <w:pPr>
        <w:pStyle w:val="2"/>
        <w:pageBreakBefore w:val="0"/>
        <w:kinsoku/>
        <w:wordWrap w:val="0"/>
        <w:bidi w:val="0"/>
        <w:spacing w:before="0" w:after="0" w:line="380" w:lineRule="atLeast"/>
        <w:jc w:val="center"/>
        <w:outlineLvl w:val="9"/>
        <w:rPr>
          <w:rFonts w:hint="default" w:ascii="Times New Roman" w:hAnsi="Times New Roman" w:cs="Times New Roman"/>
          <w:b w:val="0"/>
          <w:bCs w:val="0"/>
          <w:color w:val="auto"/>
          <w:kern w:val="2"/>
          <w:sz w:val="21"/>
          <w:szCs w:val="21"/>
          <w:highlight w:val="none"/>
          <w:lang w:val="en-US" w:eastAsia="zh-CN"/>
        </w:rPr>
        <w:sectPr>
          <w:headerReference r:id="rId40" w:type="default"/>
          <w:footerReference r:id="rId41"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7021F7C4">
      <w:pPr>
        <w:keepNext/>
        <w:keepLines/>
        <w:spacing w:before="80" w:after="64"/>
        <w:ind w:firstLine="566"/>
        <w:jc w:val="center"/>
        <w:rPr>
          <w:rFonts w:hint="default" w:ascii="Times New Roman" w:hAnsi="Times New Roman" w:eastAsia="黑体" w:cs="Times New Roman"/>
          <w:bCs/>
          <w:color w:val="auto"/>
          <w:kern w:val="0"/>
          <w:sz w:val="28"/>
          <w:szCs w:val="28"/>
          <w:highlight w:val="none"/>
          <w:lang w:val="en-US" w:bidi="zh-CN"/>
        </w:rPr>
      </w:pPr>
      <w:r>
        <w:rPr>
          <w:rFonts w:hint="eastAsia" w:eastAsia="黑体" w:cs="Times New Roman"/>
          <w:bCs/>
          <w:color w:val="auto"/>
          <w:kern w:val="0"/>
          <w:sz w:val="28"/>
          <w:szCs w:val="28"/>
          <w:highlight w:val="none"/>
          <w:lang w:val="en-US" w:bidi="zh-CN"/>
        </w:rPr>
        <w:t>5-2</w:t>
      </w: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598"/>
        <w:gridCol w:w="1952"/>
        <w:gridCol w:w="1952"/>
        <w:gridCol w:w="1953"/>
      </w:tblGrid>
      <w:tr w14:paraId="54DE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52" w:type="pct"/>
            <w:noWrap w:val="0"/>
            <w:vAlign w:val="center"/>
          </w:tcPr>
          <w:p w14:paraId="7EB550FF">
            <w:pPr>
              <w:pageBreakBefore w:val="0"/>
              <w:kinsoku/>
              <w:wordWrap w:val="0"/>
              <w:topLinePunct/>
              <w:bidi w:val="0"/>
              <w:spacing w:line="400" w:lineRule="atLeast"/>
              <w:jc w:val="center"/>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评价年度</w:t>
            </w:r>
          </w:p>
        </w:tc>
        <w:tc>
          <w:tcPr>
            <w:tcW w:w="910" w:type="pct"/>
            <w:noWrap w:val="0"/>
            <w:vAlign w:val="center"/>
          </w:tcPr>
          <w:p w14:paraId="7D0AA313">
            <w:pPr>
              <w:pageBreakBefore w:val="0"/>
              <w:kinsoku/>
              <w:wordWrap w:val="0"/>
              <w:topLinePunct/>
              <w:bidi w:val="0"/>
              <w:spacing w:line="40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评价机构</w:t>
            </w:r>
          </w:p>
        </w:tc>
        <w:tc>
          <w:tcPr>
            <w:tcW w:w="1112" w:type="pct"/>
            <w:noWrap w:val="0"/>
            <w:vAlign w:val="center"/>
          </w:tcPr>
          <w:p w14:paraId="0CA6BE20">
            <w:pPr>
              <w:pageBreakBefore w:val="0"/>
              <w:kinsoku/>
              <w:wordWrap w:val="0"/>
              <w:topLinePunct/>
              <w:bidi w:val="0"/>
              <w:spacing w:line="40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信用评价等级</w:t>
            </w:r>
          </w:p>
        </w:tc>
        <w:tc>
          <w:tcPr>
            <w:tcW w:w="1112" w:type="pct"/>
            <w:noWrap w:val="0"/>
            <w:vAlign w:val="center"/>
          </w:tcPr>
          <w:p w14:paraId="09BC65E2">
            <w:pPr>
              <w:pageBreakBefore w:val="0"/>
              <w:kinsoku/>
              <w:wordWrap w:val="0"/>
              <w:topLinePunct/>
              <w:bidi w:val="0"/>
              <w:spacing w:line="400" w:lineRule="atLeas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评价信息公示网站地址</w:t>
            </w:r>
          </w:p>
        </w:tc>
        <w:tc>
          <w:tcPr>
            <w:tcW w:w="1112" w:type="pct"/>
            <w:noWrap w:val="0"/>
            <w:vAlign w:val="center"/>
          </w:tcPr>
          <w:p w14:paraId="20FBCB11">
            <w:pPr>
              <w:pageBreakBefore w:val="0"/>
              <w:kinsoku/>
              <w:wordWrap w:val="0"/>
              <w:topLinePunct/>
              <w:bidi w:val="0"/>
              <w:spacing w:line="40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有效期</w:t>
            </w:r>
          </w:p>
        </w:tc>
      </w:tr>
      <w:tr w14:paraId="0D4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6B04431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7B052BB6">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A0D7CDE">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0C95D767">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9A06EE8">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72E4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38B35AEB">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63CF90F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7348804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6D9B417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6A8849B3">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3AE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62864EDE">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535D43B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4040437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1BC088D9">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39C66185">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14D6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3ABC5FF0">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1ACD0488">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3B4F4944">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F2F6581">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FF01B9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52C5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1C8F9F79">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6D67BD6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4764731F">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148616B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41A1EFC1">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23F1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2FBA695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68A53557">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090CA7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585ABA0">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09FBDD74">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0CD2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423B77B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701F3E19">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6551DE6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D1F28E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8E08BEF">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3294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15FA798F">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0D1433A6">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7189254D">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06DA5B93">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7DF620B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bl>
    <w:p w14:paraId="2C4F3E34">
      <w:pPr>
        <w:keepNext/>
        <w:keepLines/>
        <w:spacing w:before="80" w:after="64"/>
        <w:ind w:firstLine="566"/>
        <w:jc w:val="center"/>
        <w:rPr>
          <w:rFonts w:hint="default" w:ascii="Times New Roman" w:hAnsi="Times New Roman" w:eastAsia="黑体" w:cs="Times New Roman"/>
          <w:bCs/>
          <w:color w:val="auto"/>
          <w:kern w:val="0"/>
          <w:sz w:val="28"/>
          <w:szCs w:val="28"/>
          <w:highlight w:val="none"/>
          <w:lang w:val="zh-CN" w:bidi="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679F533B">
      <w:pPr>
        <w:keepNext/>
        <w:keepLines/>
        <w:spacing w:before="80" w:after="64"/>
        <w:ind w:firstLine="566"/>
        <w:jc w:val="center"/>
        <w:rPr>
          <w:rFonts w:hint="default" w:ascii="Times New Roman" w:hAnsi="Times New Roman" w:eastAsia="黑体" w:cs="Times New Roman"/>
          <w:bCs/>
          <w:color w:val="auto"/>
          <w:kern w:val="0"/>
          <w:sz w:val="28"/>
          <w:szCs w:val="28"/>
          <w:highlight w:val="none"/>
          <w:lang w:val="zh-CN" w:bidi="zh-CN"/>
        </w:rPr>
      </w:pPr>
      <w:r>
        <w:rPr>
          <w:rFonts w:hint="default" w:ascii="Times New Roman" w:hAnsi="Times New Roman" w:eastAsia="黑体" w:cs="Times New Roman"/>
          <w:bCs/>
          <w:color w:val="auto"/>
          <w:kern w:val="0"/>
          <w:sz w:val="28"/>
          <w:szCs w:val="28"/>
          <w:highlight w:val="none"/>
          <w:lang w:val="zh-CN" w:bidi="zh-CN"/>
        </w:rPr>
        <w:t>无行贿犯罪行为承诺函（格式）</w:t>
      </w:r>
    </w:p>
    <w:p w14:paraId="58BFCCA0">
      <w:pPr>
        <w:spacing w:line="360" w:lineRule="auto"/>
        <w:ind w:firstLine="480" w:firstLineChars="200"/>
        <w:rPr>
          <w:rFonts w:hint="default" w:ascii="Times New Roman" w:hAnsi="Times New Roman" w:cs="Times New Roman"/>
          <w:color w:val="auto"/>
          <w:sz w:val="24"/>
          <w:szCs w:val="22"/>
          <w:highlight w:val="none"/>
        </w:rPr>
      </w:pPr>
    </w:p>
    <w:p w14:paraId="611C05F8">
      <w:pPr>
        <w:spacing w:line="360" w:lineRule="auto"/>
        <w:rPr>
          <w:rFonts w:hint="default" w:ascii="Times New Roman" w:hAnsi="Times New Roman" w:cs="Times New Roman"/>
          <w:color w:val="auto"/>
          <w:sz w:val="24"/>
          <w:szCs w:val="22"/>
          <w:highlight w:val="none"/>
        </w:rPr>
      </w:pPr>
      <w:bookmarkStart w:id="1692" w:name="_Toc14547"/>
      <w:bookmarkStart w:id="1693" w:name="_Toc24695"/>
      <w:r>
        <w:rPr>
          <w:rFonts w:hint="default" w:ascii="Times New Roman" w:hAnsi="Times New Roman" w:cs="Times New Roman"/>
          <w:color w:val="auto"/>
          <w:sz w:val="24"/>
          <w:szCs w:val="22"/>
          <w:highlight w:val="none"/>
        </w:rPr>
        <w:t>致：</w:t>
      </w:r>
      <w:r>
        <w:rPr>
          <w:rFonts w:hint="default" w:ascii="Times New Roman" w:hAnsi="Times New Roman" w:cs="Times New Roman"/>
          <w:color w:val="auto"/>
          <w:sz w:val="24"/>
          <w:szCs w:val="22"/>
          <w:highlight w:val="none"/>
          <w:u w:val="single"/>
        </w:rPr>
        <w:t xml:space="preserve">  （招标人全称）  </w:t>
      </w:r>
    </w:p>
    <w:p w14:paraId="2DA2F1BC">
      <w:pPr>
        <w:spacing w:line="360" w:lineRule="auto"/>
        <w:ind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我单位承诺：在近三年内（</w:t>
      </w:r>
      <w:r>
        <w:rPr>
          <w:rFonts w:hint="default" w:ascii="Times New Roman" w:hAnsi="Times New Roman" w:cs="Times New Roman"/>
          <w:color w:val="auto"/>
          <w:sz w:val="24"/>
          <w:szCs w:val="22"/>
          <w:highlight w:val="none"/>
          <w:u w:val="single"/>
        </w:rPr>
        <w:t xml:space="preserve">   </w:t>
      </w:r>
      <w:r>
        <w:rPr>
          <w:rFonts w:hint="default" w:ascii="Times New Roman" w:hAnsi="Times New Roman" w:cs="Times New Roman"/>
          <w:color w:val="auto"/>
          <w:sz w:val="24"/>
          <w:szCs w:val="22"/>
          <w:highlight w:val="none"/>
        </w:rPr>
        <w:t>年</w:t>
      </w:r>
      <w:r>
        <w:rPr>
          <w:rFonts w:hint="default" w:ascii="Times New Roman" w:hAnsi="Times New Roman" w:cs="Times New Roman"/>
          <w:color w:val="auto"/>
          <w:sz w:val="24"/>
          <w:szCs w:val="22"/>
          <w:highlight w:val="none"/>
          <w:u w:val="single"/>
        </w:rPr>
        <w:t xml:space="preserve">   </w:t>
      </w:r>
      <w:r>
        <w:rPr>
          <w:rFonts w:hint="default" w:ascii="Times New Roman" w:hAnsi="Times New Roman" w:cs="Times New Roman"/>
          <w:color w:val="auto"/>
          <w:sz w:val="24"/>
          <w:szCs w:val="22"/>
          <w:highlight w:val="none"/>
        </w:rPr>
        <w:t>月</w:t>
      </w:r>
      <w:r>
        <w:rPr>
          <w:rFonts w:hint="default" w:ascii="Times New Roman" w:hAnsi="Times New Roman" w:cs="Times New Roman"/>
          <w:color w:val="auto"/>
          <w:sz w:val="24"/>
          <w:szCs w:val="22"/>
          <w:highlight w:val="none"/>
          <w:u w:val="single"/>
        </w:rPr>
        <w:t xml:space="preserve">   </w:t>
      </w:r>
      <w:r>
        <w:rPr>
          <w:rFonts w:hint="default" w:ascii="Times New Roman" w:hAnsi="Times New Roman" w:cs="Times New Roman"/>
          <w:color w:val="auto"/>
          <w:sz w:val="24"/>
          <w:szCs w:val="22"/>
          <w:highlight w:val="none"/>
        </w:rPr>
        <w:t>日至投标文件递交截止日），</w:t>
      </w:r>
      <w:r>
        <w:rPr>
          <w:rFonts w:hint="default" w:ascii="Times New Roman" w:hAnsi="Times New Roman" w:cs="Times New Roman"/>
          <w:color w:val="auto"/>
          <w:sz w:val="24"/>
          <w:szCs w:val="22"/>
          <w:highlight w:val="none"/>
          <w:u w:val="single"/>
        </w:rPr>
        <w:t xml:space="preserve">  （投标人单位名称及统一社会信用代码）  </w:t>
      </w:r>
      <w:r>
        <w:rPr>
          <w:rFonts w:hint="default" w:ascii="Times New Roman" w:hAnsi="Times New Roman" w:cs="Times New Roman"/>
          <w:color w:val="auto"/>
          <w:sz w:val="24"/>
          <w:szCs w:val="22"/>
          <w:highlight w:val="none"/>
        </w:rPr>
        <w:t>及法定代表人</w:t>
      </w:r>
      <w:r>
        <w:rPr>
          <w:rFonts w:hint="default" w:ascii="Times New Roman" w:hAnsi="Times New Roman" w:cs="Times New Roman"/>
          <w:color w:val="auto"/>
          <w:sz w:val="24"/>
          <w:szCs w:val="22"/>
          <w:highlight w:val="none"/>
          <w:u w:val="single"/>
        </w:rPr>
        <w:t xml:space="preserve">  （法定代表人姓名及身份证号码）  </w:t>
      </w:r>
      <w:r>
        <w:rPr>
          <w:rFonts w:hint="default" w:ascii="Times New Roman" w:hAnsi="Times New Roman" w:cs="Times New Roman"/>
          <w:color w:val="auto"/>
          <w:sz w:val="24"/>
          <w:szCs w:val="22"/>
          <w:highlight w:val="none"/>
        </w:rPr>
        <w:t>、拟委任的项目</w:t>
      </w:r>
      <w:r>
        <w:rPr>
          <w:rFonts w:hint="default" w:ascii="Times New Roman" w:hAnsi="Times New Roman" w:cs="Times New Roman"/>
          <w:color w:val="auto"/>
          <w:sz w:val="24"/>
          <w:szCs w:val="22"/>
          <w:highlight w:val="none"/>
          <w:lang w:val="en-US" w:eastAsia="zh-CN"/>
        </w:rPr>
        <w:t>经理</w:t>
      </w:r>
      <w:r>
        <w:rPr>
          <w:rFonts w:hint="default" w:ascii="Times New Roman" w:hAnsi="Times New Roman" w:cs="Times New Roman"/>
          <w:color w:val="auto"/>
          <w:sz w:val="24"/>
          <w:szCs w:val="22"/>
          <w:highlight w:val="none"/>
          <w:u w:val="single"/>
        </w:rPr>
        <w:t xml:space="preserve">   （项目</w:t>
      </w:r>
      <w:r>
        <w:rPr>
          <w:rFonts w:hint="default" w:ascii="Times New Roman" w:hAnsi="Times New Roman" w:cs="Times New Roman"/>
          <w:color w:val="auto"/>
          <w:sz w:val="24"/>
          <w:szCs w:val="22"/>
          <w:highlight w:val="none"/>
          <w:u w:val="single"/>
          <w:lang w:val="en-US" w:eastAsia="zh-CN"/>
        </w:rPr>
        <w:t>经理</w:t>
      </w:r>
      <w:r>
        <w:rPr>
          <w:rFonts w:hint="default" w:ascii="Times New Roman" w:hAnsi="Times New Roman" w:cs="Times New Roman"/>
          <w:color w:val="auto"/>
          <w:sz w:val="24"/>
          <w:szCs w:val="22"/>
          <w:highlight w:val="none"/>
          <w:u w:val="single"/>
        </w:rPr>
        <w:t xml:space="preserve">姓名及身份证号码）   </w:t>
      </w:r>
      <w:r>
        <w:rPr>
          <w:rFonts w:hint="default" w:ascii="Times New Roman" w:hAnsi="Times New Roman" w:cs="Times New Roman"/>
          <w:color w:val="auto"/>
          <w:sz w:val="24"/>
          <w:szCs w:val="22"/>
          <w:highlight w:val="none"/>
        </w:rPr>
        <w:t>均无行贿犯罪行为。</w:t>
      </w:r>
    </w:p>
    <w:p w14:paraId="12064B9C">
      <w:pPr>
        <w:spacing w:line="360" w:lineRule="auto"/>
        <w:ind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如经招标人或评标委员会核实我单位出具的该承诺存在弄虚作假，承诺不实的情形，</w:t>
      </w:r>
      <w:r>
        <w:rPr>
          <w:rFonts w:hint="eastAsia" w:cs="Times New Roman"/>
          <w:color w:val="auto"/>
          <w:sz w:val="24"/>
          <w:szCs w:val="22"/>
          <w:highlight w:val="none"/>
          <w:lang w:eastAsia="zh-CN"/>
        </w:rPr>
        <w:t>评标委员会</w:t>
      </w:r>
      <w:r>
        <w:rPr>
          <w:rFonts w:hint="default" w:ascii="Times New Roman" w:hAnsi="Times New Roman" w:cs="Times New Roman"/>
          <w:color w:val="auto"/>
          <w:sz w:val="24"/>
          <w:szCs w:val="22"/>
          <w:highlight w:val="none"/>
        </w:rPr>
        <w:t>有权否决我单位投标资格或招标人取消我单位中标资格，并由招标人上报上级行政主管部门，作为不良记录纳入信用信息管理系统。</w:t>
      </w:r>
    </w:p>
    <w:p w14:paraId="7D44C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特此承诺！</w:t>
      </w:r>
    </w:p>
    <w:p w14:paraId="6529201E">
      <w:pPr>
        <w:spacing w:line="360" w:lineRule="auto"/>
        <w:ind w:firstLine="480" w:firstLineChars="200"/>
        <w:rPr>
          <w:rFonts w:hint="default" w:ascii="Times New Roman" w:hAnsi="Times New Roman" w:cs="Times New Roman"/>
          <w:color w:val="auto"/>
          <w:sz w:val="24"/>
          <w:szCs w:val="22"/>
          <w:highlight w:val="none"/>
        </w:rPr>
      </w:pPr>
    </w:p>
    <w:p w14:paraId="1BA294F4">
      <w:pPr>
        <w:spacing w:line="360" w:lineRule="auto"/>
        <w:ind w:firstLine="480" w:firstLineChars="200"/>
        <w:rPr>
          <w:rFonts w:hint="default" w:ascii="Times New Roman" w:hAnsi="Times New Roman" w:cs="Times New Roman"/>
          <w:color w:val="auto"/>
          <w:sz w:val="24"/>
          <w:szCs w:val="22"/>
          <w:highlight w:val="none"/>
        </w:rPr>
      </w:pPr>
    </w:p>
    <w:p w14:paraId="20709830">
      <w:pPr>
        <w:spacing w:line="360" w:lineRule="auto"/>
        <w:ind w:left="2520" w:leftChars="1200" w:firstLine="1920" w:firstLineChars="800"/>
        <w:rPr>
          <w:rFonts w:hint="default" w:ascii="Times New Roman" w:hAnsi="Times New Roman" w:cs="Times New Roman"/>
          <w:color w:val="auto"/>
          <w:sz w:val="24"/>
          <w:szCs w:val="22"/>
          <w:highlight w:val="none"/>
        </w:rPr>
      </w:pPr>
    </w:p>
    <w:p w14:paraId="4E704B2C">
      <w:pPr>
        <w:wordWrap w:val="0"/>
        <w:topLinePunct/>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2"/>
          <w:highlight w:val="none"/>
        </w:rPr>
        <w:t xml:space="preserve">                       </w:t>
      </w:r>
      <w:r>
        <w:rPr>
          <w:rFonts w:hint="default" w:ascii="Times New Roman" w:hAnsi="Times New Roman" w:cs="Times New Roman"/>
          <w:color w:val="auto"/>
          <w:sz w:val="24"/>
          <w:szCs w:val="24"/>
          <w:highlight w:val="none"/>
        </w:rPr>
        <w:t xml:space="preserve">   投标人：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（全称）</w:t>
      </w:r>
      <w:r>
        <w:rPr>
          <w:rFonts w:hint="default" w:ascii="Times New Roman" w:hAnsi="Times New Roman" w:cs="Times New Roman"/>
          <w:color w:val="auto"/>
          <w:sz w:val="24"/>
          <w:szCs w:val="24"/>
          <w:highlight w:val="none"/>
          <w:u w:val="none"/>
        </w:rPr>
        <w:t>（</w:t>
      </w:r>
      <w:r>
        <w:rPr>
          <w:rFonts w:hint="default" w:ascii="Times New Roman" w:hAnsi="Times New Roman" w:cs="Times New Roman"/>
          <w:color w:val="auto"/>
          <w:sz w:val="24"/>
          <w:szCs w:val="24"/>
          <w:highlight w:val="none"/>
          <w:u w:val="none"/>
          <w:lang w:val="en-US" w:eastAsia="zh-CN"/>
        </w:rPr>
        <w:t>盖单位电子印章</w:t>
      </w:r>
      <w:r>
        <w:rPr>
          <w:rFonts w:hint="default" w:ascii="Times New Roman" w:hAnsi="Times New Roman" w:cs="Times New Roman"/>
          <w:color w:val="auto"/>
          <w:sz w:val="24"/>
          <w:szCs w:val="24"/>
          <w:highlight w:val="none"/>
          <w:u w:val="none"/>
        </w:rPr>
        <w:t>）</w:t>
      </w:r>
    </w:p>
    <w:p w14:paraId="6CDCF735">
      <w:pPr>
        <w:spacing w:line="360" w:lineRule="auto"/>
        <w:ind w:left="2520" w:leftChars="1200" w:firstLine="1920" w:firstLineChars="800"/>
        <w:rPr>
          <w:rFonts w:hint="default" w:ascii="Times New Roman" w:hAnsi="Times New Roman" w:cs="Times New Roman"/>
          <w:color w:val="auto"/>
          <w:sz w:val="24"/>
          <w:szCs w:val="24"/>
          <w:highlight w:val="none"/>
        </w:rPr>
      </w:pPr>
    </w:p>
    <w:p w14:paraId="50560106">
      <w:pPr>
        <w:spacing w:line="360" w:lineRule="auto"/>
        <w:ind w:left="2520" w:leftChars="1200" w:firstLine="1920" w:firstLineChars="8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日</w:t>
      </w:r>
    </w:p>
    <w:p w14:paraId="523CCC54">
      <w:pPr>
        <w:pStyle w:val="17"/>
        <w:rPr>
          <w:rFonts w:hint="default" w:ascii="Times New Roman" w:hAnsi="Times New Roman" w:cs="Times New Roman"/>
          <w:color w:val="auto"/>
          <w:highlight w:val="none"/>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4A4D6E82">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（六）拟委任的项目经理和项目总工资历表</w:t>
      </w:r>
      <w:bookmarkEnd w:id="1684"/>
      <w:bookmarkEnd w:id="1692"/>
      <w:bookmarkEnd w:id="1693"/>
    </w:p>
    <w:p w14:paraId="60E868FE">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67D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79AB62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506" w:type="dxa"/>
            <w:gridSpan w:val="3"/>
            <w:noWrap w:val="0"/>
            <w:vAlign w:val="center"/>
          </w:tcPr>
          <w:p w14:paraId="6CBB7EE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060" w:type="dxa"/>
            <w:noWrap w:val="0"/>
            <w:vAlign w:val="center"/>
          </w:tcPr>
          <w:p w14:paraId="2FA4B78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年龄</w:t>
            </w:r>
          </w:p>
        </w:tc>
        <w:tc>
          <w:tcPr>
            <w:tcW w:w="1381" w:type="dxa"/>
            <w:noWrap w:val="0"/>
            <w:vAlign w:val="top"/>
          </w:tcPr>
          <w:p w14:paraId="071E6D0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top"/>
          </w:tcPr>
          <w:p w14:paraId="0CFD5C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专业</w:t>
            </w:r>
          </w:p>
        </w:tc>
        <w:tc>
          <w:tcPr>
            <w:tcW w:w="1669" w:type="dxa"/>
            <w:gridSpan w:val="2"/>
            <w:noWrap w:val="0"/>
            <w:vAlign w:val="top"/>
          </w:tcPr>
          <w:p w14:paraId="487670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0A0C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4846238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506" w:type="dxa"/>
            <w:gridSpan w:val="3"/>
            <w:noWrap w:val="0"/>
            <w:vAlign w:val="center"/>
          </w:tcPr>
          <w:p w14:paraId="3D8B291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060" w:type="dxa"/>
            <w:noWrap w:val="0"/>
            <w:vAlign w:val="center"/>
          </w:tcPr>
          <w:p w14:paraId="63D77B5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学历</w:t>
            </w:r>
          </w:p>
        </w:tc>
        <w:tc>
          <w:tcPr>
            <w:tcW w:w="1381" w:type="dxa"/>
            <w:noWrap w:val="0"/>
            <w:vAlign w:val="top"/>
          </w:tcPr>
          <w:p w14:paraId="575C06D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top"/>
          </w:tcPr>
          <w:p w14:paraId="790AE83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w:t>
            </w:r>
          </w:p>
          <w:p w14:paraId="57CF308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工程任职</w:t>
            </w:r>
          </w:p>
        </w:tc>
        <w:tc>
          <w:tcPr>
            <w:tcW w:w="1669" w:type="dxa"/>
            <w:gridSpan w:val="2"/>
            <w:noWrap w:val="0"/>
            <w:vAlign w:val="top"/>
          </w:tcPr>
          <w:p w14:paraId="41F85DC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D81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287948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工作年限</w:t>
            </w:r>
          </w:p>
        </w:tc>
        <w:tc>
          <w:tcPr>
            <w:tcW w:w="3947" w:type="dxa"/>
            <w:gridSpan w:val="5"/>
            <w:noWrap w:val="0"/>
            <w:vAlign w:val="center"/>
          </w:tcPr>
          <w:p w14:paraId="37D7BD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center"/>
          </w:tcPr>
          <w:p w14:paraId="2155FB7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类似施工经验年限</w:t>
            </w:r>
          </w:p>
        </w:tc>
        <w:tc>
          <w:tcPr>
            <w:tcW w:w="1669" w:type="dxa"/>
            <w:gridSpan w:val="2"/>
            <w:noWrap w:val="0"/>
            <w:vAlign w:val="top"/>
          </w:tcPr>
          <w:p w14:paraId="24045D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0619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3BEC6AA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毕业学校</w:t>
            </w:r>
          </w:p>
        </w:tc>
        <w:tc>
          <w:tcPr>
            <w:tcW w:w="7497" w:type="dxa"/>
            <w:gridSpan w:val="9"/>
            <w:noWrap w:val="0"/>
            <w:vAlign w:val="center"/>
          </w:tcPr>
          <w:p w14:paraId="7FAB1D5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______年___月毕业于___________________学校___________专业，学制______年</w:t>
            </w:r>
          </w:p>
        </w:tc>
      </w:tr>
      <w:tr w14:paraId="5CA9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87AECE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经历</w:t>
            </w:r>
          </w:p>
        </w:tc>
      </w:tr>
      <w:tr w14:paraId="00A8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F8905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时间</w:t>
            </w:r>
          </w:p>
        </w:tc>
        <w:tc>
          <w:tcPr>
            <w:tcW w:w="4233" w:type="dxa"/>
            <w:gridSpan w:val="5"/>
            <w:noWrap w:val="0"/>
            <w:vAlign w:val="center"/>
          </w:tcPr>
          <w:p w14:paraId="3CC98B6C">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参加过的类似工程项目名称</w:t>
            </w:r>
          </w:p>
        </w:tc>
        <w:tc>
          <w:tcPr>
            <w:tcW w:w="1930" w:type="dxa"/>
            <w:gridSpan w:val="2"/>
            <w:noWrap w:val="0"/>
            <w:vAlign w:val="center"/>
          </w:tcPr>
          <w:p w14:paraId="05F6C5B3">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担任职务</w:t>
            </w:r>
          </w:p>
        </w:tc>
        <w:tc>
          <w:tcPr>
            <w:tcW w:w="1283" w:type="dxa"/>
            <w:noWrap w:val="0"/>
            <w:vAlign w:val="center"/>
          </w:tcPr>
          <w:p w14:paraId="4205364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发包人及联系电话</w:t>
            </w:r>
          </w:p>
        </w:tc>
      </w:tr>
      <w:tr w14:paraId="1C25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13FD51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4495287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16CABF4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5B55847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35A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CD35E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0A6D4CB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0D5A0E2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29B0771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A4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3B72D3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0A096D9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FC5ADD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351030C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9F3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4F4FD1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7E298E3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702E9C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44201A7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4A50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DB9B1C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597FF0B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1C7DB2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35A61D8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72B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9332CB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29751E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333C7B7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5F7CA87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9FB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C95C7E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30C4519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336C2A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61654DE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66CB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5FA31F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504485F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6AA1C3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725E91B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5A5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C5742C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5760B51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3E9B241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012A6C7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186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485CCBD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获奖情况</w:t>
            </w:r>
          </w:p>
        </w:tc>
        <w:tc>
          <w:tcPr>
            <w:tcW w:w="6094" w:type="dxa"/>
            <w:gridSpan w:val="7"/>
            <w:noWrap w:val="0"/>
            <w:vAlign w:val="top"/>
          </w:tcPr>
          <w:p w14:paraId="7C471A9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6235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0FCED4E">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说明在岗情况</w:t>
            </w:r>
          </w:p>
        </w:tc>
        <w:tc>
          <w:tcPr>
            <w:tcW w:w="6094" w:type="dxa"/>
            <w:gridSpan w:val="7"/>
            <w:noWrap w:val="0"/>
            <w:vAlign w:val="top"/>
          </w:tcPr>
          <w:p w14:paraId="6766A91D">
            <w:pPr>
              <w:pStyle w:val="16"/>
              <w:pageBreakBefore w:val="0"/>
              <w:kinsoku/>
              <w:wordWrap w:val="0"/>
              <w:topLinePunct/>
              <w:bidi w:val="0"/>
              <w:spacing w:line="360" w:lineRule="atLeas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□目前未在其他项目上任职，现从事工作为：。</w:t>
            </w:r>
          </w:p>
          <w:p w14:paraId="209ABDAB">
            <w:pPr>
              <w:pageBreakBefore w:val="0"/>
              <w:widowControl/>
              <w:kinsoku/>
              <w:wordWrap w:val="0"/>
              <w:autoSpaceDE w:val="0"/>
              <w:autoSpaceDN w:val="0"/>
              <w:bidi w:val="0"/>
              <w:spacing w:line="400" w:lineRule="atLeast"/>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□目前虽</w:t>
            </w:r>
            <w:r>
              <w:rPr>
                <w:rFonts w:hint="default" w:ascii="Times New Roman" w:hAnsi="Times New Roman" w:cs="Times New Roman"/>
                <w:color w:val="auto"/>
                <w:highlight w:val="none"/>
              </w:rPr>
              <w:t>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任职，但本项目中标后能够从该项目撤离，目前任职项目：，担任职位：。</w:t>
            </w:r>
          </w:p>
        </w:tc>
      </w:tr>
      <w:tr w14:paraId="498A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42AC9DD3">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6094" w:type="dxa"/>
            <w:gridSpan w:val="7"/>
            <w:noWrap w:val="0"/>
            <w:vAlign w:val="top"/>
          </w:tcPr>
          <w:p w14:paraId="4E1B0C04">
            <w:pPr>
              <w:pageBreakBefore w:val="0"/>
              <w:widowControl/>
              <w:kinsoku/>
              <w:wordWrap w:val="0"/>
              <w:autoSpaceDE w:val="0"/>
              <w:autoSpaceDN w:val="0"/>
              <w:bidi w:val="0"/>
              <w:spacing w:line="400" w:lineRule="atLeast"/>
              <w:textAlignment w:val="bottom"/>
              <w:rPr>
                <w:rFonts w:hint="default" w:ascii="Times New Roman" w:hAnsi="Times New Roman" w:cs="Times New Roman"/>
                <w:color w:val="auto"/>
                <w:szCs w:val="21"/>
                <w:highlight w:val="none"/>
              </w:rPr>
            </w:pPr>
          </w:p>
        </w:tc>
      </w:tr>
    </w:tbl>
    <w:p w14:paraId="1FD139E2">
      <w:pPr>
        <w:pStyle w:val="18"/>
        <w:pageBreakBefore w:val="0"/>
        <w:kinsoku/>
        <w:wordWrap w:val="0"/>
        <w:bidi w:val="0"/>
        <w:spacing w:after="0" w:line="400" w:lineRule="atLeast"/>
        <w:ind w:left="699" w:leftChars="0" w:hanging="699" w:hangingChars="333"/>
        <w:rPr>
          <w:rFonts w:hint="default" w:ascii="Times New Roman" w:hAnsi="Times New Roman" w:cs="Times New Roman"/>
          <w:color w:val="auto"/>
          <w:highlight w:val="none"/>
        </w:rPr>
      </w:pPr>
      <w:r>
        <w:rPr>
          <w:rFonts w:hint="default" w:ascii="Times New Roman" w:hAnsi="Times New Roman" w:cs="Times New Roman"/>
          <w:color w:val="auto"/>
          <w:highlight w:val="none"/>
        </w:rPr>
        <w:t>注：1.本表应填写项目经理和项目总工相关情况。</w:t>
      </w:r>
    </w:p>
    <w:p w14:paraId="2000A595">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2.投标人应根据招标文件第二章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第3.5.5项的要求在本表后附相关证明材料。</w:t>
      </w:r>
    </w:p>
    <w:p w14:paraId="1644EFAD">
      <w:pPr>
        <w:pageBreakBefore w:val="0"/>
        <w:kinsoku/>
        <w:wordWrap/>
        <w:bidi w:val="0"/>
        <w:spacing w:line="240" w:lineRule="auto"/>
        <w:ind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50D64B8C">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主要人员撤离承诺函（如有）</w:t>
      </w:r>
    </w:p>
    <w:p w14:paraId="54E79FA6">
      <w:pPr>
        <w:pageBreakBefore w:val="0"/>
        <w:kinsoku/>
        <w:wordWrap w:val="0"/>
        <w:overflowPunct/>
        <w:bidi w:val="0"/>
        <w:ind w:firstLine="232"/>
        <w:jc w:val="center"/>
        <w:rPr>
          <w:rFonts w:hint="default" w:ascii="Times New Roman" w:hAnsi="Times New Roman" w:cs="Times New Roman"/>
          <w:color w:val="auto"/>
          <w:sz w:val="28"/>
          <w:szCs w:val="36"/>
          <w:highlight w:val="none"/>
        </w:rPr>
      </w:pPr>
    </w:p>
    <w:p w14:paraId="69CA1E6E">
      <w:pPr>
        <w:pageBreakBefore w:val="0"/>
        <w:kinsoku/>
        <w:wordWrap w:val="0"/>
        <w:overflowPunct/>
        <w:bidi w:val="0"/>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14:paraId="2125A582">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我方参加了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本项目</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）投标，我方在此承诺：</w:t>
      </w:r>
    </w:p>
    <w:p w14:paraId="6D356344">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鉴于我方拟投入的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项目经理</w:t>
      </w:r>
      <w:r>
        <w:rPr>
          <w:rFonts w:hint="default" w:ascii="Times New Roman" w:hAnsi="Times New Roman" w:cs="Times New Roman"/>
          <w:color w:val="auto"/>
          <w:sz w:val="24"/>
          <w:highlight w:val="none"/>
        </w:rPr>
        <w:t>和/或</w:t>
      </w:r>
      <w:r>
        <w:rPr>
          <w:rFonts w:hint="eastAsia" w:cs="Times New Roman"/>
          <w:color w:val="auto"/>
          <w:sz w:val="24"/>
          <w:highlight w:val="none"/>
          <w:lang w:val="en-US" w:eastAsia="zh-CN"/>
        </w:rPr>
        <w:t>项目总工</w:t>
      </w:r>
      <w:r>
        <w:rPr>
          <w:rFonts w:hint="default" w:ascii="Times New Roman" w:hAnsi="Times New Roman" w:cs="Times New Roman"/>
          <w:color w:val="auto"/>
          <w:sz w:val="24"/>
          <w:highlight w:val="none"/>
        </w:rPr>
        <w:t>姓名）目前仍在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（项目名称）上任职，若我方中标，立即将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项目经理</w:t>
      </w:r>
      <w:r>
        <w:rPr>
          <w:rFonts w:hint="default" w:ascii="Times New Roman" w:hAnsi="Times New Roman" w:cs="Times New Roman"/>
          <w:color w:val="auto"/>
          <w:sz w:val="24"/>
          <w:highlight w:val="none"/>
        </w:rPr>
        <w:t>和/或</w:t>
      </w:r>
      <w:r>
        <w:rPr>
          <w:rFonts w:hint="eastAsia" w:cs="Times New Roman"/>
          <w:color w:val="auto"/>
          <w:sz w:val="24"/>
          <w:highlight w:val="none"/>
          <w:lang w:val="en-US" w:eastAsia="zh-CN"/>
        </w:rPr>
        <w:t>项目总工</w:t>
      </w:r>
      <w:r>
        <w:rPr>
          <w:rFonts w:hint="default" w:ascii="Times New Roman" w:hAnsi="Times New Roman" w:cs="Times New Roman"/>
          <w:color w:val="auto"/>
          <w:sz w:val="24"/>
          <w:highlight w:val="none"/>
        </w:rPr>
        <w:t>）从上述项目撤离，投入本项目。</w:t>
      </w:r>
    </w:p>
    <w:p w14:paraId="129F5BF6">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如我方违背了上述承诺，招标人有权取消我方的中标资格，并由招标人将我方的违约行为上报省级交通运输主管部门，作为不良记录纳入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2421A7D3">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p>
    <w:p w14:paraId="2D2406C9">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p>
    <w:p w14:paraId="175985D9">
      <w:pPr>
        <w:pageBreakBefore w:val="0"/>
        <w:kinsoku/>
        <w:wordWrap w:val="0"/>
        <w:overflowPunct/>
        <w:bidi w:val="0"/>
        <w:spacing w:line="400" w:lineRule="exact"/>
        <w:ind w:firstLine="2880" w:firstLineChars="1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（全称）</w:t>
      </w:r>
      <w:r>
        <w:rPr>
          <w:rFonts w:hint="default" w:ascii="Times New Roman" w:hAnsi="Times New Roman" w:cs="Times New Roman"/>
          <w:color w:val="auto"/>
          <w:sz w:val="24"/>
          <w:szCs w:val="24"/>
          <w:highlight w:val="none"/>
          <w:u w:val="none"/>
        </w:rPr>
        <w:t>（</w:t>
      </w:r>
      <w:r>
        <w:rPr>
          <w:rFonts w:hint="default" w:ascii="Times New Roman" w:hAnsi="Times New Roman" w:cs="Times New Roman"/>
          <w:color w:val="auto"/>
          <w:sz w:val="24"/>
          <w:szCs w:val="24"/>
          <w:highlight w:val="none"/>
          <w:u w:val="none"/>
          <w:lang w:val="en-US" w:eastAsia="zh-CN"/>
        </w:rPr>
        <w:t>盖单位电子印章</w:t>
      </w:r>
      <w:r>
        <w:rPr>
          <w:rFonts w:hint="default" w:ascii="Times New Roman" w:hAnsi="Times New Roman" w:cs="Times New Roman"/>
          <w:color w:val="auto"/>
          <w:sz w:val="24"/>
          <w:szCs w:val="24"/>
          <w:highlight w:val="none"/>
          <w:u w:val="none"/>
        </w:rPr>
        <w:t>）</w:t>
      </w:r>
    </w:p>
    <w:p w14:paraId="3457235D">
      <w:pPr>
        <w:pageBreakBefore w:val="0"/>
        <w:kinsoku/>
        <w:wordWrap w:val="0"/>
        <w:overflowPunct/>
        <w:bidi w:val="0"/>
        <w:spacing w:line="40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32E73286">
      <w:pPr>
        <w:pageBreakBefore w:val="0"/>
        <w:kinsoku/>
        <w:wordWrap w:val="0"/>
        <w:overflowPunct/>
        <w:bidi w:val="0"/>
        <w:spacing w:line="400" w:lineRule="exact"/>
        <w:ind w:firstLine="3120" w:firstLineChars="1300"/>
        <w:rPr>
          <w:rFonts w:hint="default" w:ascii="Times New Roman" w:hAnsi="Times New Roman" w:cs="Times New Roman"/>
          <w:color w:val="auto"/>
          <w:sz w:val="24"/>
          <w:highlight w:val="none"/>
        </w:rPr>
      </w:pPr>
    </w:p>
    <w:p w14:paraId="6DD60662">
      <w:pPr>
        <w:pageBreakBefore w:val="0"/>
        <w:kinsoku/>
        <w:wordWrap w:val="0"/>
        <w:overflowPunct/>
        <w:bidi w:val="0"/>
        <w:spacing w:line="400" w:lineRule="exact"/>
        <w:ind w:firstLine="3840" w:firstLineChars="16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4E9F3BEA">
      <w:pPr>
        <w:pageBreakBefore w:val="0"/>
        <w:kinsoku/>
        <w:wordWrap w:val="0"/>
        <w:overflowPunct/>
        <w:bidi w:val="0"/>
        <w:spacing w:line="400" w:lineRule="exact"/>
        <w:ind w:firstLine="3840" w:firstLineChars="1600"/>
        <w:rPr>
          <w:rFonts w:hint="default" w:ascii="Times New Roman" w:hAnsi="Times New Roman" w:cs="Times New Roman"/>
          <w:color w:val="auto"/>
          <w:sz w:val="24"/>
          <w:highlight w:val="none"/>
        </w:rPr>
      </w:pPr>
    </w:p>
    <w:p w14:paraId="5A6B602F">
      <w:pPr>
        <w:pageBreakBefore w:val="0"/>
        <w:kinsoku/>
        <w:wordWrap w:val="0"/>
        <w:overflowPunct/>
        <w:bidi w:val="0"/>
        <w:spacing w:line="3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注：1、如项目经理和/或项目总工目前仍在其他项目上任职，投标人应提供项目经理和/或项目总工能够从该项目撤离的承诺函。</w:t>
      </w:r>
    </w:p>
    <w:p w14:paraId="51F5C5BF">
      <w:pPr>
        <w:pageBreakBefore w:val="0"/>
        <w:kinsoku/>
        <w:wordWrap w:val="0"/>
        <w:overflowPunct/>
        <w:bidi w:val="0"/>
        <w:spacing w:line="360" w:lineRule="exact"/>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2、投标人所提供的承诺函格式和内容须与招标文件提供的格式和内容一致，不得更改招标文件提供的承诺函格式和内容，否则其投标将被否决。</w:t>
      </w:r>
    </w:p>
    <w:p w14:paraId="0755A5D9">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p>
    <w:p w14:paraId="2B3A01E5">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694" w:name="_Toc30763"/>
      <w:bookmarkStart w:id="1695" w:name="_Toc234833286"/>
      <w:bookmarkStart w:id="1696" w:name="_Toc15670"/>
      <w:r>
        <w:rPr>
          <w:rFonts w:hint="default" w:ascii="Times New Roman" w:hAnsi="Times New Roman" w:eastAsia="黑体" w:cs="Times New Roman"/>
          <w:b w:val="0"/>
          <w:color w:val="auto"/>
          <w:sz w:val="24"/>
          <w:szCs w:val="24"/>
          <w:highlight w:val="none"/>
        </w:rPr>
        <w:t>（</w:t>
      </w:r>
      <w:r>
        <w:rPr>
          <w:rFonts w:hint="default" w:ascii="Times New Roman" w:hAnsi="Times New Roman" w:eastAsia="黑体" w:cs="Times New Roman"/>
          <w:b w:val="0"/>
          <w:color w:val="auto"/>
          <w:sz w:val="24"/>
          <w:szCs w:val="24"/>
          <w:highlight w:val="none"/>
          <w:lang w:eastAsia="zh-CN"/>
        </w:rPr>
        <w:t>七</w:t>
      </w:r>
      <w:r>
        <w:rPr>
          <w:rFonts w:hint="default" w:ascii="Times New Roman" w:hAnsi="Times New Roman" w:eastAsia="黑体" w:cs="Times New Roman"/>
          <w:b w:val="0"/>
          <w:color w:val="auto"/>
          <w:sz w:val="24"/>
          <w:szCs w:val="24"/>
          <w:highlight w:val="none"/>
        </w:rPr>
        <w:t>）拟委任的其他管理和技术人员汇总表</w:t>
      </w:r>
      <w:r>
        <w:rPr>
          <w:rFonts w:hint="default" w:ascii="Times New Roman" w:hAnsi="Times New Roman" w:eastAsia="黑体" w:cs="Times New Roman"/>
          <w:b w:val="0"/>
          <w:color w:val="auto"/>
          <w:sz w:val="24"/>
          <w:szCs w:val="24"/>
          <w:highlight w:val="none"/>
          <w:vertAlign w:val="superscript"/>
        </w:rPr>
        <w:footnoteReference w:id="52"/>
      </w:r>
      <w:bookmarkEnd w:id="1694"/>
      <w:bookmarkEnd w:id="1695"/>
      <w:bookmarkEnd w:id="1696"/>
    </w:p>
    <w:p w14:paraId="55ED1300">
      <w:pPr>
        <w:pageBreakBefore w:val="0"/>
        <w:kinsoku/>
        <w:wordWrap w:val="0"/>
        <w:bidi w:val="0"/>
        <w:spacing w:line="400" w:lineRule="atLeast"/>
        <w:rPr>
          <w:rFonts w:hint="default" w:ascii="Times New Roman" w:hAnsi="Times New Roman" w:cs="Times New Roman"/>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0CB8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46A0EF4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926" w:type="dxa"/>
            <w:noWrap w:val="0"/>
            <w:vAlign w:val="center"/>
          </w:tcPr>
          <w:p w14:paraId="45ACA244">
            <w:pPr>
              <w:pStyle w:val="76"/>
              <w:pageBreakBefore w:val="0"/>
              <w:kinsoku/>
              <w:wordWrap w:val="0"/>
              <w:autoSpaceDE/>
              <w:autoSpaceDN/>
              <w:bidi w:val="0"/>
              <w:adjustRightInd/>
              <w:snapToGrid/>
              <w:spacing w:line="400" w:lineRule="atLeast"/>
              <w:textAlignment w:val="auto"/>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年龄</w:t>
            </w:r>
          </w:p>
        </w:tc>
        <w:tc>
          <w:tcPr>
            <w:tcW w:w="2682" w:type="dxa"/>
            <w:noWrap w:val="0"/>
            <w:vAlign w:val="center"/>
          </w:tcPr>
          <w:p w14:paraId="76973EE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拟在本标段工程任职</w:t>
            </w:r>
          </w:p>
        </w:tc>
        <w:tc>
          <w:tcPr>
            <w:tcW w:w="1101" w:type="dxa"/>
            <w:noWrap w:val="0"/>
            <w:vAlign w:val="center"/>
          </w:tcPr>
          <w:p w14:paraId="6185B6A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307" w:type="dxa"/>
            <w:noWrap w:val="0"/>
            <w:vAlign w:val="center"/>
          </w:tcPr>
          <w:p w14:paraId="616E1FB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工作年限</w:t>
            </w:r>
          </w:p>
        </w:tc>
        <w:tc>
          <w:tcPr>
            <w:tcW w:w="1942" w:type="dxa"/>
            <w:noWrap w:val="0"/>
            <w:vAlign w:val="center"/>
          </w:tcPr>
          <w:p w14:paraId="4B3FF7AE">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类似施工经验年限</w:t>
            </w:r>
          </w:p>
        </w:tc>
      </w:tr>
      <w:tr w14:paraId="146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79A52437">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736E2C3A">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3CF781CC">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19D62083">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18A77816">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F2081AA">
            <w:pPr>
              <w:pageBreakBefore w:val="0"/>
              <w:kinsoku/>
              <w:wordWrap w:val="0"/>
              <w:bidi w:val="0"/>
              <w:spacing w:line="400" w:lineRule="atLeast"/>
              <w:jc w:val="center"/>
              <w:rPr>
                <w:rFonts w:hint="default" w:ascii="Times New Roman" w:hAnsi="Times New Roman" w:cs="Times New Roman"/>
                <w:color w:val="auto"/>
                <w:highlight w:val="none"/>
              </w:rPr>
            </w:pPr>
          </w:p>
        </w:tc>
      </w:tr>
      <w:tr w14:paraId="129D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31AFCCAF">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4921EAA1">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3F1104E0">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5E849BE5">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4FCE431A">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3011F10">
            <w:pPr>
              <w:pageBreakBefore w:val="0"/>
              <w:kinsoku/>
              <w:wordWrap w:val="0"/>
              <w:bidi w:val="0"/>
              <w:spacing w:line="400" w:lineRule="atLeast"/>
              <w:jc w:val="center"/>
              <w:rPr>
                <w:rFonts w:hint="default" w:ascii="Times New Roman" w:hAnsi="Times New Roman" w:cs="Times New Roman"/>
                <w:color w:val="auto"/>
                <w:highlight w:val="none"/>
              </w:rPr>
            </w:pPr>
          </w:p>
        </w:tc>
      </w:tr>
      <w:tr w14:paraId="0481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7F558560">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24E587B8">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2BEA3A98">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0F51B9A7">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63DB19D6">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0C1FF758">
            <w:pPr>
              <w:pageBreakBefore w:val="0"/>
              <w:kinsoku/>
              <w:wordWrap w:val="0"/>
              <w:bidi w:val="0"/>
              <w:spacing w:line="400" w:lineRule="atLeast"/>
              <w:jc w:val="center"/>
              <w:rPr>
                <w:rFonts w:hint="default" w:ascii="Times New Roman" w:hAnsi="Times New Roman" w:cs="Times New Roman"/>
                <w:color w:val="auto"/>
                <w:highlight w:val="none"/>
              </w:rPr>
            </w:pPr>
          </w:p>
        </w:tc>
      </w:tr>
      <w:tr w14:paraId="02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425706F">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CD362DF">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28EF59CE">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30CAF5D0">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001171B4">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74EC3426">
            <w:pPr>
              <w:pageBreakBefore w:val="0"/>
              <w:kinsoku/>
              <w:wordWrap w:val="0"/>
              <w:bidi w:val="0"/>
              <w:spacing w:line="400" w:lineRule="atLeast"/>
              <w:jc w:val="center"/>
              <w:rPr>
                <w:rFonts w:hint="default" w:ascii="Times New Roman" w:hAnsi="Times New Roman" w:cs="Times New Roman"/>
                <w:color w:val="auto"/>
                <w:highlight w:val="none"/>
              </w:rPr>
            </w:pPr>
          </w:p>
        </w:tc>
      </w:tr>
      <w:tr w14:paraId="0A74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23DC30EA">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68FF0DC">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15602679">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4DFC1CB6">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78C00A6C">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8D4AAE0">
            <w:pPr>
              <w:pageBreakBefore w:val="0"/>
              <w:kinsoku/>
              <w:wordWrap w:val="0"/>
              <w:bidi w:val="0"/>
              <w:spacing w:line="400" w:lineRule="atLeast"/>
              <w:jc w:val="center"/>
              <w:rPr>
                <w:rFonts w:hint="default" w:ascii="Times New Roman" w:hAnsi="Times New Roman" w:cs="Times New Roman"/>
                <w:color w:val="auto"/>
                <w:highlight w:val="none"/>
              </w:rPr>
            </w:pPr>
          </w:p>
        </w:tc>
      </w:tr>
      <w:tr w14:paraId="4A35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7F531213">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5B7A1AE9">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23D0A318">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615674C7">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677D0E70">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E413DD5">
            <w:pPr>
              <w:pageBreakBefore w:val="0"/>
              <w:kinsoku/>
              <w:wordWrap w:val="0"/>
              <w:bidi w:val="0"/>
              <w:spacing w:line="400" w:lineRule="atLeast"/>
              <w:jc w:val="center"/>
              <w:rPr>
                <w:rFonts w:hint="default" w:ascii="Times New Roman" w:hAnsi="Times New Roman" w:cs="Times New Roman"/>
                <w:color w:val="auto"/>
                <w:highlight w:val="none"/>
              </w:rPr>
            </w:pPr>
          </w:p>
        </w:tc>
      </w:tr>
      <w:tr w14:paraId="393B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1B6676E3">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20DAA939">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428BFBAA">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1E803EEC">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11CDB528">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D85C34E">
            <w:pPr>
              <w:pageBreakBefore w:val="0"/>
              <w:kinsoku/>
              <w:wordWrap w:val="0"/>
              <w:bidi w:val="0"/>
              <w:spacing w:line="400" w:lineRule="atLeast"/>
              <w:jc w:val="center"/>
              <w:rPr>
                <w:rFonts w:hint="default" w:ascii="Times New Roman" w:hAnsi="Times New Roman" w:cs="Times New Roman"/>
                <w:color w:val="auto"/>
                <w:highlight w:val="none"/>
              </w:rPr>
            </w:pPr>
          </w:p>
        </w:tc>
      </w:tr>
      <w:tr w14:paraId="7325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7D32E44A">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2A355724">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0EC01A65">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4AE05605">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4995E385">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D8DB342">
            <w:pPr>
              <w:pageBreakBefore w:val="0"/>
              <w:kinsoku/>
              <w:wordWrap w:val="0"/>
              <w:bidi w:val="0"/>
              <w:spacing w:line="400" w:lineRule="atLeast"/>
              <w:jc w:val="center"/>
              <w:rPr>
                <w:rFonts w:hint="default" w:ascii="Times New Roman" w:hAnsi="Times New Roman" w:cs="Times New Roman"/>
                <w:color w:val="auto"/>
                <w:highlight w:val="none"/>
              </w:rPr>
            </w:pPr>
          </w:p>
        </w:tc>
      </w:tr>
      <w:tr w14:paraId="510C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6669087B">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34E52F2E">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7F07176F">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51458469">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731228B1">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2663DC1B">
            <w:pPr>
              <w:pageBreakBefore w:val="0"/>
              <w:kinsoku/>
              <w:wordWrap w:val="0"/>
              <w:bidi w:val="0"/>
              <w:spacing w:line="400" w:lineRule="atLeast"/>
              <w:jc w:val="center"/>
              <w:rPr>
                <w:rFonts w:hint="default" w:ascii="Times New Roman" w:hAnsi="Times New Roman" w:cs="Times New Roman"/>
                <w:color w:val="auto"/>
                <w:highlight w:val="none"/>
              </w:rPr>
            </w:pPr>
          </w:p>
        </w:tc>
      </w:tr>
      <w:tr w14:paraId="2096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3E0B63C">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50F8D285">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5DDCC473">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1D36A35E">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37A6E5F1">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8E7EFD2">
            <w:pPr>
              <w:pageBreakBefore w:val="0"/>
              <w:kinsoku/>
              <w:wordWrap w:val="0"/>
              <w:bidi w:val="0"/>
              <w:spacing w:line="400" w:lineRule="atLeast"/>
              <w:jc w:val="center"/>
              <w:rPr>
                <w:rFonts w:hint="default" w:ascii="Times New Roman" w:hAnsi="Times New Roman" w:cs="Times New Roman"/>
                <w:color w:val="auto"/>
                <w:highlight w:val="none"/>
              </w:rPr>
            </w:pPr>
          </w:p>
        </w:tc>
      </w:tr>
      <w:tr w14:paraId="5DC3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BBF965">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A44B0EC">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71F6EE2E">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59B5D722">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00F21184">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0A382F47">
            <w:pPr>
              <w:pageBreakBefore w:val="0"/>
              <w:kinsoku/>
              <w:wordWrap w:val="0"/>
              <w:bidi w:val="0"/>
              <w:spacing w:line="400" w:lineRule="atLeast"/>
              <w:jc w:val="center"/>
              <w:rPr>
                <w:rFonts w:hint="default" w:ascii="Times New Roman" w:hAnsi="Times New Roman" w:cs="Times New Roman"/>
                <w:color w:val="auto"/>
                <w:highlight w:val="none"/>
              </w:rPr>
            </w:pPr>
          </w:p>
        </w:tc>
      </w:tr>
      <w:tr w14:paraId="33F8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F1E522C">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3AB29D95">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73844086">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61C52C64">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3885077A">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261A027">
            <w:pPr>
              <w:pageBreakBefore w:val="0"/>
              <w:kinsoku/>
              <w:wordWrap w:val="0"/>
              <w:bidi w:val="0"/>
              <w:spacing w:line="400" w:lineRule="atLeast"/>
              <w:jc w:val="center"/>
              <w:rPr>
                <w:rFonts w:hint="default" w:ascii="Times New Roman" w:hAnsi="Times New Roman" w:cs="Times New Roman"/>
                <w:color w:val="auto"/>
                <w:highlight w:val="none"/>
              </w:rPr>
            </w:pPr>
          </w:p>
        </w:tc>
      </w:tr>
      <w:tr w14:paraId="68E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1649A">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6B32BBD">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5591F8C5">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4D02F701">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5F5E5FBB">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407EB6CC">
            <w:pPr>
              <w:pageBreakBefore w:val="0"/>
              <w:kinsoku/>
              <w:wordWrap w:val="0"/>
              <w:bidi w:val="0"/>
              <w:spacing w:line="400" w:lineRule="atLeast"/>
              <w:jc w:val="center"/>
              <w:rPr>
                <w:rFonts w:hint="default" w:ascii="Times New Roman" w:hAnsi="Times New Roman" w:cs="Times New Roman"/>
                <w:color w:val="auto"/>
                <w:highlight w:val="none"/>
              </w:rPr>
            </w:pPr>
          </w:p>
        </w:tc>
      </w:tr>
    </w:tbl>
    <w:p w14:paraId="751BBFB8">
      <w:pPr>
        <w:pStyle w:val="18"/>
        <w:pageBreakBefore w:val="0"/>
        <w:kinsoku/>
        <w:wordWrap w:val="0"/>
        <w:bidi w:val="0"/>
        <w:spacing w:after="0" w:line="400" w:lineRule="atLeast"/>
        <w:ind w:left="735" w:leftChars="0" w:hanging="735" w:hangingChars="350"/>
        <w:rPr>
          <w:rFonts w:hint="default" w:ascii="Times New Roman" w:hAnsi="Times New Roman" w:cs="Times New Roman"/>
          <w:bCs/>
          <w:color w:val="auto"/>
          <w:kern w:val="0"/>
          <w:szCs w:val="21"/>
          <w:highlight w:val="none"/>
        </w:rPr>
      </w:pPr>
      <w:r>
        <w:rPr>
          <w:rFonts w:hint="default" w:ascii="Times New Roman" w:hAnsi="Times New Roman" w:cs="Times New Roman"/>
          <w:color w:val="auto"/>
          <w:szCs w:val="21"/>
          <w:highlight w:val="none"/>
        </w:rPr>
        <w:t>注：本表填报的人员应满足招标文件第二章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前附表附录6的要求。</w:t>
      </w:r>
    </w:p>
    <w:p w14:paraId="4F814862">
      <w:pPr>
        <w:pageBreakBefore w:val="0"/>
        <w:kinsoku/>
        <w:wordWrap w:val="0"/>
        <w:bidi w:val="0"/>
        <w:spacing w:line="400" w:lineRule="atLeast"/>
        <w:jc w:val="center"/>
        <w:rPr>
          <w:rFonts w:hint="default" w:ascii="Times New Roman" w:hAnsi="Times New Roman" w:eastAsia="黑体" w:cs="Times New Roman"/>
          <w:color w:val="auto"/>
          <w:sz w:val="28"/>
          <w:highlight w:val="none"/>
        </w:rPr>
      </w:pPr>
      <w:r>
        <w:rPr>
          <w:rFonts w:hint="default" w:ascii="Times New Roman" w:hAnsi="Times New Roman" w:eastAsia="黑体" w:cs="Times New Roman"/>
          <w:color w:val="auto"/>
          <w:sz w:val="28"/>
          <w:highlight w:val="none"/>
        </w:rPr>
        <w:br w:type="page"/>
      </w:r>
    </w:p>
    <w:p w14:paraId="79EC4D9C">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bookmarkStart w:id="1697" w:name="_Toc4744"/>
      <w:bookmarkStart w:id="1698" w:name="_Toc234833287"/>
      <w:bookmarkStart w:id="1699" w:name="_Toc31833"/>
      <w:r>
        <w:rPr>
          <w:rFonts w:hint="default" w:ascii="Times New Roman" w:hAnsi="Times New Roman" w:eastAsia="黑体" w:cs="Times New Roman"/>
          <w:color w:val="auto"/>
          <w:sz w:val="24"/>
          <w:highlight w:val="none"/>
        </w:rPr>
        <w:t>（</w:t>
      </w:r>
      <w:r>
        <w:rPr>
          <w:rFonts w:hint="default" w:ascii="Times New Roman" w:hAnsi="Times New Roman" w:eastAsia="黑体" w:cs="Times New Roman"/>
          <w:color w:val="auto"/>
          <w:sz w:val="24"/>
          <w:highlight w:val="none"/>
          <w:lang w:eastAsia="zh-CN"/>
        </w:rPr>
        <w:t>八</w:t>
      </w:r>
      <w:r>
        <w:rPr>
          <w:rFonts w:hint="default" w:ascii="Times New Roman" w:hAnsi="Times New Roman" w:eastAsia="黑体" w:cs="Times New Roman"/>
          <w:color w:val="auto"/>
          <w:sz w:val="24"/>
          <w:highlight w:val="none"/>
        </w:rPr>
        <w:t>）拟委任的其他管理和技术人员资历表</w:t>
      </w:r>
      <w:r>
        <w:rPr>
          <w:rFonts w:hint="default" w:ascii="Times New Roman" w:hAnsi="Times New Roman" w:eastAsia="黑体" w:cs="Times New Roman"/>
          <w:color w:val="auto"/>
          <w:sz w:val="24"/>
          <w:highlight w:val="none"/>
        </w:rPr>
        <w:footnoteReference w:id="53"/>
      </w:r>
      <w:bookmarkEnd w:id="1697"/>
      <w:bookmarkEnd w:id="1698"/>
      <w:bookmarkEnd w:id="1699"/>
    </w:p>
    <w:p w14:paraId="6ACA3E38">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highlight w:val="none"/>
        </w:rPr>
      </w:pPr>
    </w:p>
    <w:tbl>
      <w:tblPr>
        <w:tblStyle w:val="40"/>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C0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DAAC9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姓    名</w:t>
            </w:r>
          </w:p>
        </w:tc>
        <w:tc>
          <w:tcPr>
            <w:tcW w:w="150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D1DAE9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D296A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5A854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21F5AF0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专    业</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0F50C0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1658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82221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技术职称</w:t>
            </w:r>
          </w:p>
        </w:tc>
        <w:tc>
          <w:tcPr>
            <w:tcW w:w="150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3D627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B91D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5B8F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336583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w:t>
            </w:r>
          </w:p>
          <w:p w14:paraId="4FA9555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C68AB5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50B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shd w:val="clear" w:color="auto" w:fill="auto"/>
            <w:noWrap w:val="0"/>
            <w:vAlign w:val="center"/>
          </w:tcPr>
          <w:p w14:paraId="67033C1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工作年限</w:t>
            </w:r>
          </w:p>
        </w:tc>
        <w:tc>
          <w:tcPr>
            <w:tcW w:w="3947" w:type="dxa"/>
            <w:gridSpan w:val="5"/>
            <w:shd w:val="clear" w:color="auto" w:fill="auto"/>
            <w:noWrap w:val="0"/>
            <w:vAlign w:val="center"/>
          </w:tcPr>
          <w:p w14:paraId="72E1DBA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81" w:type="dxa"/>
            <w:gridSpan w:val="2"/>
            <w:shd w:val="clear" w:color="auto" w:fill="auto"/>
            <w:noWrap w:val="0"/>
            <w:vAlign w:val="center"/>
          </w:tcPr>
          <w:p w14:paraId="5C06C81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类似施工经验年限</w:t>
            </w:r>
          </w:p>
        </w:tc>
        <w:tc>
          <w:tcPr>
            <w:tcW w:w="1669" w:type="dxa"/>
            <w:gridSpan w:val="2"/>
            <w:shd w:val="clear" w:color="auto" w:fill="auto"/>
            <w:noWrap w:val="0"/>
            <w:vAlign w:val="top"/>
          </w:tcPr>
          <w:p w14:paraId="3C5BC67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6C60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shd w:val="clear" w:color="auto" w:fill="auto"/>
            <w:noWrap w:val="0"/>
            <w:vAlign w:val="center"/>
          </w:tcPr>
          <w:p w14:paraId="62C74D4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毕业学校</w:t>
            </w:r>
          </w:p>
        </w:tc>
        <w:tc>
          <w:tcPr>
            <w:tcW w:w="7497" w:type="dxa"/>
            <w:gridSpan w:val="9"/>
            <w:shd w:val="clear" w:color="auto" w:fill="auto"/>
            <w:noWrap w:val="0"/>
            <w:vAlign w:val="center"/>
          </w:tcPr>
          <w:p w14:paraId="77F9C979">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______年___月毕业于___________________学校___________专业，学制______年</w:t>
            </w:r>
          </w:p>
        </w:tc>
      </w:tr>
      <w:tr w14:paraId="62D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0955222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         历</w:t>
            </w:r>
          </w:p>
        </w:tc>
      </w:tr>
      <w:tr w14:paraId="1DCD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EE63B9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时  间</w:t>
            </w:r>
          </w:p>
        </w:tc>
        <w:tc>
          <w:tcPr>
            <w:tcW w:w="4233" w:type="dxa"/>
            <w:gridSpan w:val="5"/>
            <w:noWrap w:val="0"/>
            <w:vAlign w:val="center"/>
          </w:tcPr>
          <w:p w14:paraId="1B819DB8">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参加过的类似工程项目名称</w:t>
            </w:r>
          </w:p>
        </w:tc>
        <w:tc>
          <w:tcPr>
            <w:tcW w:w="1930" w:type="dxa"/>
            <w:gridSpan w:val="2"/>
            <w:noWrap w:val="0"/>
            <w:vAlign w:val="center"/>
          </w:tcPr>
          <w:p w14:paraId="4916F445">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担任职务</w:t>
            </w:r>
          </w:p>
        </w:tc>
        <w:tc>
          <w:tcPr>
            <w:tcW w:w="1283" w:type="dxa"/>
            <w:noWrap w:val="0"/>
            <w:vAlign w:val="center"/>
          </w:tcPr>
          <w:p w14:paraId="2CE0DEC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发包人及联系电话</w:t>
            </w:r>
          </w:p>
        </w:tc>
      </w:tr>
      <w:tr w14:paraId="170B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FCE9F6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429D918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0BE5B38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2063D32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13F0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98D17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75AD3EE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07312AF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7FDC526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8E8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E3ABBB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28C149F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11D07EC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00E0E00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74F8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08A924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06A8BC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7FC456E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604493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0234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0D8F10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6F1BA48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A31DCB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2F8A039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1597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672C37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276696D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148932C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73DFBA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7F7A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D36F7C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16DE4B7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4837868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5EF977D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5D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shd w:val="clear" w:color="auto" w:fill="auto"/>
            <w:noWrap w:val="0"/>
            <w:vAlign w:val="center"/>
          </w:tcPr>
          <w:p w14:paraId="5C417B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获奖情况</w:t>
            </w:r>
          </w:p>
        </w:tc>
        <w:tc>
          <w:tcPr>
            <w:tcW w:w="6094" w:type="dxa"/>
            <w:gridSpan w:val="7"/>
            <w:shd w:val="clear" w:color="auto" w:fill="auto"/>
            <w:noWrap w:val="0"/>
            <w:vAlign w:val="top"/>
          </w:tcPr>
          <w:p w14:paraId="0D61C2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2F2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shd w:val="clear" w:color="auto" w:fill="auto"/>
            <w:noWrap w:val="0"/>
            <w:vAlign w:val="center"/>
          </w:tcPr>
          <w:p w14:paraId="16CC97CC">
            <w:pPr>
              <w:pageBreakBefore w:val="0"/>
              <w:widowControl/>
              <w:kinsoku/>
              <w:wordWrap w:val="0"/>
              <w:autoSpaceDE w:val="0"/>
              <w:autoSpaceDN w:val="0"/>
              <w:bidi w:val="0"/>
              <w:spacing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说明在岗情况</w:t>
            </w:r>
          </w:p>
        </w:tc>
        <w:tc>
          <w:tcPr>
            <w:tcW w:w="6094" w:type="dxa"/>
            <w:gridSpan w:val="7"/>
            <w:shd w:val="clear" w:color="auto" w:fill="auto"/>
            <w:noWrap w:val="0"/>
            <w:vAlign w:val="top"/>
          </w:tcPr>
          <w:p w14:paraId="0119C973">
            <w:pPr>
              <w:pStyle w:val="16"/>
              <w:pageBreakBefore w:val="0"/>
              <w:kinsoku/>
              <w:wordWrap w:val="0"/>
              <w:topLinePunct/>
              <w:bidi w:val="0"/>
              <w:spacing w:line="360" w:lineRule="atLeas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□目前未在其他项目上任职，现从事工作为：</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w:t>
            </w:r>
          </w:p>
          <w:p w14:paraId="7829D601">
            <w:pPr>
              <w:pageBreakBefore w:val="0"/>
              <w:widowControl/>
              <w:kinsoku/>
              <w:wordWrap w:val="0"/>
              <w:autoSpaceDE w:val="0"/>
              <w:autoSpaceDN w:val="0"/>
              <w:bidi w:val="0"/>
              <w:spacing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□目前虽</w:t>
            </w:r>
            <w:r>
              <w:rPr>
                <w:rFonts w:hint="default" w:ascii="Times New Roman" w:hAnsi="Times New Roman" w:cs="Times New Roman"/>
                <w:color w:val="auto"/>
                <w:highlight w:val="none"/>
              </w:rPr>
              <w:t>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任职，但本项目中标后能够从该项目撤离，目前任职项目：</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，担任职位：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highlight w:val="none"/>
              </w:rPr>
              <w:t>。</w:t>
            </w:r>
          </w:p>
        </w:tc>
      </w:tr>
      <w:tr w14:paraId="3156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shd w:val="clear" w:color="auto" w:fill="auto"/>
            <w:noWrap w:val="0"/>
            <w:vAlign w:val="center"/>
          </w:tcPr>
          <w:p w14:paraId="63CE66EB">
            <w:pPr>
              <w:pageBreakBefore w:val="0"/>
              <w:widowControl/>
              <w:kinsoku/>
              <w:wordWrap w:val="0"/>
              <w:autoSpaceDE w:val="0"/>
              <w:autoSpaceDN w:val="0"/>
              <w:bidi w:val="0"/>
              <w:spacing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备     注</w:t>
            </w:r>
          </w:p>
        </w:tc>
        <w:tc>
          <w:tcPr>
            <w:tcW w:w="6094" w:type="dxa"/>
            <w:gridSpan w:val="7"/>
            <w:shd w:val="clear" w:color="auto" w:fill="auto"/>
            <w:noWrap w:val="0"/>
            <w:vAlign w:val="top"/>
          </w:tcPr>
          <w:p w14:paraId="1B53C811">
            <w:pPr>
              <w:pageBreakBefore w:val="0"/>
              <w:widowControl/>
              <w:kinsoku/>
              <w:wordWrap w:val="0"/>
              <w:autoSpaceDE w:val="0"/>
              <w:autoSpaceDN w:val="0"/>
              <w:bidi w:val="0"/>
              <w:spacing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bl>
    <w:p w14:paraId="1AEFE075">
      <w:pPr>
        <w:pStyle w:val="18"/>
        <w:pageBreakBefore w:val="0"/>
        <w:kinsoku/>
        <w:wordWrap w:val="0"/>
        <w:bidi w:val="0"/>
        <w:spacing w:after="0" w:line="400" w:lineRule="atLeast"/>
        <w:ind w:left="588" w:leftChars="0" w:right="-61" w:rightChars="-29" w:hanging="588" w:hangingChars="2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注：1.本表人员应与表（七）中所列人员相一致。</w:t>
      </w:r>
    </w:p>
    <w:p w14:paraId="3FBE663A">
      <w:pPr>
        <w:pStyle w:val="18"/>
        <w:pageBreakBefore w:val="0"/>
        <w:kinsoku/>
        <w:wordWrap w:val="0"/>
        <w:bidi w:val="0"/>
        <w:spacing w:after="0" w:line="400" w:lineRule="atLeas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第3.5.6项的要求在本表后附相关证明材料。</w:t>
      </w:r>
    </w:p>
    <w:p w14:paraId="4BBE8E6B">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br w:type="page"/>
      </w:r>
      <w:bookmarkStart w:id="1700" w:name="_Toc26111"/>
      <w:bookmarkStart w:id="1701" w:name="_Toc21686"/>
      <w:bookmarkStart w:id="1702" w:name="_Toc234833288"/>
      <w:r>
        <w:rPr>
          <w:rFonts w:hint="default" w:ascii="Times New Roman" w:hAnsi="Times New Roman" w:eastAsia="黑体" w:cs="Times New Roman"/>
          <w:color w:val="auto"/>
          <w:sz w:val="24"/>
          <w:highlight w:val="none"/>
        </w:rPr>
        <w:t>（</w:t>
      </w:r>
      <w:r>
        <w:rPr>
          <w:rFonts w:hint="default" w:ascii="Times New Roman" w:hAnsi="Times New Roman" w:eastAsia="黑体" w:cs="Times New Roman"/>
          <w:color w:val="auto"/>
          <w:sz w:val="24"/>
          <w:highlight w:val="none"/>
          <w:lang w:eastAsia="zh-CN"/>
        </w:rPr>
        <w:t>九</w:t>
      </w:r>
      <w:r>
        <w:rPr>
          <w:rFonts w:hint="default" w:ascii="Times New Roman" w:hAnsi="Times New Roman" w:eastAsia="黑体" w:cs="Times New Roman"/>
          <w:color w:val="auto"/>
          <w:sz w:val="24"/>
          <w:highlight w:val="none"/>
        </w:rPr>
        <w:t>）拟投入本标段的主要施工机械表</w:t>
      </w:r>
      <w:r>
        <w:rPr>
          <w:rFonts w:hint="default" w:ascii="Times New Roman" w:hAnsi="Times New Roman" w:eastAsia="黑体" w:cs="Times New Roman"/>
          <w:color w:val="auto"/>
          <w:sz w:val="24"/>
          <w:highlight w:val="none"/>
          <w:vertAlign w:val="superscript"/>
        </w:rPr>
        <w:footnoteReference w:id="54"/>
      </w:r>
      <w:bookmarkEnd w:id="1700"/>
      <w:bookmarkEnd w:id="1701"/>
      <w:bookmarkEnd w:id="1702"/>
    </w:p>
    <w:p w14:paraId="04F41334">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color w:val="auto"/>
          <w:sz w:val="23"/>
          <w:szCs w:val="23"/>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5D52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6B42E29D">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085" w:type="dxa"/>
            <w:vMerge w:val="restart"/>
            <w:noWrap w:val="0"/>
            <w:vAlign w:val="center"/>
          </w:tcPr>
          <w:p w14:paraId="5B8CBE8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设备名称</w:t>
            </w:r>
          </w:p>
        </w:tc>
        <w:tc>
          <w:tcPr>
            <w:tcW w:w="758" w:type="dxa"/>
            <w:vMerge w:val="restart"/>
            <w:noWrap w:val="0"/>
            <w:vAlign w:val="center"/>
          </w:tcPr>
          <w:p w14:paraId="3C4C8BD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w:t>
            </w:r>
          </w:p>
          <w:p w14:paraId="72F994D6">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规格</w:t>
            </w:r>
          </w:p>
        </w:tc>
        <w:tc>
          <w:tcPr>
            <w:tcW w:w="670" w:type="dxa"/>
            <w:vMerge w:val="restart"/>
            <w:noWrap w:val="0"/>
            <w:vAlign w:val="center"/>
          </w:tcPr>
          <w:p w14:paraId="320D362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w:t>
            </w:r>
          </w:p>
          <w:p w14:paraId="78D3458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产地</w:t>
            </w:r>
          </w:p>
        </w:tc>
        <w:tc>
          <w:tcPr>
            <w:tcW w:w="659" w:type="dxa"/>
            <w:vMerge w:val="restart"/>
            <w:noWrap w:val="0"/>
            <w:vAlign w:val="center"/>
          </w:tcPr>
          <w:p w14:paraId="014394E5">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w:t>
            </w:r>
          </w:p>
          <w:p w14:paraId="5A9545DF">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年份</w:t>
            </w:r>
          </w:p>
        </w:tc>
        <w:tc>
          <w:tcPr>
            <w:tcW w:w="941" w:type="dxa"/>
            <w:vMerge w:val="restart"/>
            <w:noWrap w:val="0"/>
            <w:vAlign w:val="center"/>
          </w:tcPr>
          <w:p w14:paraId="5DAFD08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额定功率（kW）</w:t>
            </w:r>
          </w:p>
        </w:tc>
        <w:tc>
          <w:tcPr>
            <w:tcW w:w="646" w:type="dxa"/>
            <w:vMerge w:val="restart"/>
            <w:noWrap w:val="0"/>
            <w:vAlign w:val="center"/>
          </w:tcPr>
          <w:p w14:paraId="42F24041">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生产</w:t>
            </w:r>
          </w:p>
          <w:p w14:paraId="213E1EE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能力</w:t>
            </w:r>
          </w:p>
        </w:tc>
        <w:tc>
          <w:tcPr>
            <w:tcW w:w="2109" w:type="dxa"/>
            <w:gridSpan w:val="4"/>
            <w:noWrap w:val="0"/>
            <w:vAlign w:val="center"/>
          </w:tcPr>
          <w:p w14:paraId="2235936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数量（台）</w:t>
            </w:r>
          </w:p>
        </w:tc>
        <w:tc>
          <w:tcPr>
            <w:tcW w:w="948" w:type="dxa"/>
            <w:vMerge w:val="restart"/>
            <w:noWrap w:val="0"/>
            <w:vAlign w:val="center"/>
          </w:tcPr>
          <w:p w14:paraId="657A97A2">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预计进场时间</w:t>
            </w:r>
          </w:p>
        </w:tc>
      </w:tr>
      <w:tr w14:paraId="792E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5E5175BD">
            <w:pPr>
              <w:pageBreakBefore w:val="0"/>
              <w:kinsoku/>
              <w:wordWrap w:val="0"/>
              <w:bidi w:val="0"/>
              <w:spacing w:line="400" w:lineRule="atLeast"/>
              <w:rPr>
                <w:rFonts w:hint="default" w:ascii="Times New Roman" w:hAnsi="Times New Roman" w:cs="Times New Roman"/>
                <w:color w:val="auto"/>
                <w:szCs w:val="21"/>
                <w:highlight w:val="none"/>
              </w:rPr>
            </w:pPr>
          </w:p>
        </w:tc>
        <w:tc>
          <w:tcPr>
            <w:tcW w:w="1085" w:type="dxa"/>
            <w:vMerge w:val="continue"/>
            <w:noWrap w:val="0"/>
            <w:vAlign w:val="center"/>
          </w:tcPr>
          <w:p w14:paraId="7742B5D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vMerge w:val="continue"/>
            <w:noWrap w:val="0"/>
            <w:vAlign w:val="center"/>
          </w:tcPr>
          <w:p w14:paraId="00EBAA3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vMerge w:val="continue"/>
            <w:noWrap w:val="0"/>
            <w:vAlign w:val="center"/>
          </w:tcPr>
          <w:p w14:paraId="2ABD688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vMerge w:val="continue"/>
            <w:noWrap w:val="0"/>
            <w:vAlign w:val="center"/>
          </w:tcPr>
          <w:p w14:paraId="3AD1654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vMerge w:val="continue"/>
            <w:noWrap w:val="0"/>
            <w:vAlign w:val="center"/>
          </w:tcPr>
          <w:p w14:paraId="0F12D9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vMerge w:val="continue"/>
            <w:noWrap w:val="0"/>
            <w:vAlign w:val="center"/>
          </w:tcPr>
          <w:p w14:paraId="4BDB5DB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vMerge w:val="restart"/>
            <w:noWrap w:val="0"/>
            <w:vAlign w:val="center"/>
          </w:tcPr>
          <w:p w14:paraId="2A97AA7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1679" w:type="dxa"/>
            <w:gridSpan w:val="3"/>
            <w:noWrap w:val="0"/>
            <w:vAlign w:val="center"/>
          </w:tcPr>
          <w:p w14:paraId="0136208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w:t>
            </w:r>
          </w:p>
        </w:tc>
        <w:tc>
          <w:tcPr>
            <w:tcW w:w="948" w:type="dxa"/>
            <w:vMerge w:val="continue"/>
            <w:noWrap w:val="0"/>
            <w:vAlign w:val="center"/>
          </w:tcPr>
          <w:p w14:paraId="2053580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6DC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172A3E29">
            <w:pPr>
              <w:pageBreakBefore w:val="0"/>
              <w:kinsoku/>
              <w:wordWrap w:val="0"/>
              <w:bidi w:val="0"/>
              <w:spacing w:line="400" w:lineRule="atLeast"/>
              <w:rPr>
                <w:rFonts w:hint="default" w:ascii="Times New Roman" w:hAnsi="Times New Roman" w:cs="Times New Roman"/>
                <w:color w:val="auto"/>
                <w:szCs w:val="21"/>
                <w:highlight w:val="none"/>
              </w:rPr>
            </w:pPr>
          </w:p>
        </w:tc>
        <w:tc>
          <w:tcPr>
            <w:tcW w:w="1085" w:type="dxa"/>
            <w:vMerge w:val="continue"/>
            <w:noWrap w:val="0"/>
            <w:vAlign w:val="center"/>
          </w:tcPr>
          <w:p w14:paraId="4A04A92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vMerge w:val="continue"/>
            <w:noWrap w:val="0"/>
            <w:vAlign w:val="center"/>
          </w:tcPr>
          <w:p w14:paraId="0DC66B9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vMerge w:val="continue"/>
            <w:noWrap w:val="0"/>
            <w:vAlign w:val="center"/>
          </w:tcPr>
          <w:p w14:paraId="278B91A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vMerge w:val="continue"/>
            <w:noWrap w:val="0"/>
            <w:vAlign w:val="center"/>
          </w:tcPr>
          <w:p w14:paraId="1D2810C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vMerge w:val="continue"/>
            <w:noWrap w:val="0"/>
            <w:vAlign w:val="center"/>
          </w:tcPr>
          <w:p w14:paraId="7668AF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vMerge w:val="continue"/>
            <w:noWrap w:val="0"/>
            <w:vAlign w:val="center"/>
          </w:tcPr>
          <w:p w14:paraId="6B3DEF4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vMerge w:val="continue"/>
            <w:noWrap w:val="0"/>
            <w:vAlign w:val="center"/>
          </w:tcPr>
          <w:p w14:paraId="46793EA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center"/>
          </w:tcPr>
          <w:p w14:paraId="68F8E876">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自有</w:t>
            </w:r>
          </w:p>
        </w:tc>
        <w:tc>
          <w:tcPr>
            <w:tcW w:w="559" w:type="dxa"/>
            <w:noWrap w:val="0"/>
            <w:vAlign w:val="center"/>
          </w:tcPr>
          <w:p w14:paraId="02D5FA8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新购</w:t>
            </w:r>
          </w:p>
        </w:tc>
        <w:tc>
          <w:tcPr>
            <w:tcW w:w="561" w:type="dxa"/>
            <w:noWrap w:val="0"/>
            <w:vAlign w:val="center"/>
          </w:tcPr>
          <w:p w14:paraId="688C3B2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租赁</w:t>
            </w:r>
          </w:p>
        </w:tc>
        <w:tc>
          <w:tcPr>
            <w:tcW w:w="948" w:type="dxa"/>
            <w:vMerge w:val="continue"/>
            <w:noWrap w:val="0"/>
            <w:vAlign w:val="center"/>
          </w:tcPr>
          <w:p w14:paraId="0971F963">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380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2487A45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center"/>
          </w:tcPr>
          <w:p w14:paraId="562E7EE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center"/>
          </w:tcPr>
          <w:p w14:paraId="6B7664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center"/>
          </w:tcPr>
          <w:p w14:paraId="6713AD7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center"/>
          </w:tcPr>
          <w:p w14:paraId="1DE38CC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center"/>
          </w:tcPr>
          <w:p w14:paraId="5052FB3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center"/>
          </w:tcPr>
          <w:p w14:paraId="184AFA1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center"/>
          </w:tcPr>
          <w:p w14:paraId="75839A4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center"/>
          </w:tcPr>
          <w:p w14:paraId="0E98969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center"/>
          </w:tcPr>
          <w:p w14:paraId="3FE17BF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center"/>
          </w:tcPr>
          <w:p w14:paraId="5BAA8AF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center"/>
          </w:tcPr>
          <w:p w14:paraId="3D6965D0">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14EC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530AB0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center"/>
          </w:tcPr>
          <w:p w14:paraId="26FAC79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center"/>
          </w:tcPr>
          <w:p w14:paraId="04B7445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center"/>
          </w:tcPr>
          <w:p w14:paraId="5B24066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center"/>
          </w:tcPr>
          <w:p w14:paraId="2BEA060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center"/>
          </w:tcPr>
          <w:p w14:paraId="0B85A2B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center"/>
          </w:tcPr>
          <w:p w14:paraId="62084B6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center"/>
          </w:tcPr>
          <w:p w14:paraId="3C8B0B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center"/>
          </w:tcPr>
          <w:p w14:paraId="18A0F24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center"/>
          </w:tcPr>
          <w:p w14:paraId="00B7C5C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center"/>
          </w:tcPr>
          <w:p w14:paraId="6C06CC53">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center"/>
          </w:tcPr>
          <w:p w14:paraId="77D6F1BE">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742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C57198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8FE8A7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AA59DB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F6A39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FEEA1D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D27111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EB29A2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D94D1D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5F7C279">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22367D1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D19932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3BB337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3A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F07ECC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C9615D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F2EC28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2A3509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1B85583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304278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23C86C6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B9CB30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3647E4C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6DCC36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12DA9D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4EA5F65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11A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E3265A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365B0E6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A5509C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1B8BB0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F9C58F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5AAD0B9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0B32CC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3A96A3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4BEB3CC">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B9C0FF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3A552F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528F939">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6DE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7343B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848238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9FDFDC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EFA362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F4315E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7AFB39B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2D34FEE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CD67C5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9E6F7B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C8F2AF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73010A8">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FC61631">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24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691EE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27AEDC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DDDD00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39E7AF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C0042E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6A8EF25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3D0D2A2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117A359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3EDD632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5A83924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FFD0F2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4A0D992">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C0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91D3F3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1025617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D5D82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332F9C9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FCD349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3042E40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DC1E1F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615D8EF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5AFC2F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63AF7C6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A52553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87C08F4">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643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08B89C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0866E0B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2F2B47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BB354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0E31FF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728C676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0512FF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DE8C77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268FECB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1C03046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7CF66CD">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1EA1DFF">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124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B62CE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7EB392A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59B9454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6545EBA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884942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30A84C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769266D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0EAFC5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B49BCA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B4AD19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5D02626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72631DB">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051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F9779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2626DB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51FB29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641B256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2C7BD5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132F5A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C5C4BD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101839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9246996">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4DEA794D">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E77DD8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99A5739">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B61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9806CB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57399D8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235523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061451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130C8D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4EB31A1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430D53F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663C4DD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E28D0A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73D403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AD62B1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036D4F8">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4E6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931F0D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4A08A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73601CE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CD5A89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38A18B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50587AA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419C71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7509463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77000EF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435C0E66">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5FC55CE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DF9CC09">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C14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D22A3C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53C077D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5728A6F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417C6E5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3FC5F5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6594C3F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36CFB6C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092E62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54BCC5D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78FE08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8A4A23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EEFB8E0">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04A5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853A22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121DE6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91BB79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1A5819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1FBA418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2FA0FD1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421825A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3A85CC8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79BD86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BDAEE8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39D483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E8E055A">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8BD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2D548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29026FD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24CD127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C37E65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317F5C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40220E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0C10E86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DE62BC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3196960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1549613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73A72A9B">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420B577">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730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D38660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2F691DE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367758C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D3590F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7EB2FC6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B006A6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CE952E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14A0A79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4D30D6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1B301133">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38C9B2B8">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F1DCE3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510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FFB5A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30119C1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2FFE89B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8CCEAA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36194B9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3E12D60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31841FB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1582046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CE5845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25832CBD">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215E0E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A2532DF">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733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34E7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24FAB6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4A811A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5288A16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1B97B3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0D3383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35F854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0C98B4A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CF01C4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E203FA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C78E838">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4A9B35C1">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90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7522AC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B9210F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275686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1136F5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C9BEE3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7220CF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522BC5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D815A7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7B6F936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3936BE3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D82AE6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E89160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3E6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5BF156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A73A1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29552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63C88B9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495892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7022C0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356AC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4A337B3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6E32C87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2B8862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53D4C4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4CC721D">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808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243322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57E867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579772F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573D28E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3E5FB5D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6F4395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E2154A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F8A640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49E7FF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3FEB9EEC">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78926B6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4B0991D">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0C6C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64E81E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C821AC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7A606D0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79D88D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ECF931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BD01D8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16E6D6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05E9BDD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846865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3B772BD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5EDEC2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24B22B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FB5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EACA3C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1AD59C8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2508A9A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DEF75D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5AD4F7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5482D1C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C518B0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314B3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5165792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ACE611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1E0CF25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BFF28E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FC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6F243C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5D917FC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79C04ED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59EE095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F63F65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1BAAE2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2CCE0DB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68EF357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653D86D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6CE3982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2CAB68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218F8F4">
            <w:pPr>
              <w:pageBreakBefore w:val="0"/>
              <w:kinsoku/>
              <w:wordWrap w:val="0"/>
              <w:bidi w:val="0"/>
              <w:spacing w:line="400" w:lineRule="atLeast"/>
              <w:jc w:val="center"/>
              <w:rPr>
                <w:rFonts w:hint="default" w:ascii="Times New Roman" w:hAnsi="Times New Roman" w:cs="Times New Roman"/>
                <w:color w:val="auto"/>
                <w:szCs w:val="21"/>
                <w:highlight w:val="none"/>
              </w:rPr>
            </w:pPr>
          </w:p>
        </w:tc>
      </w:tr>
    </w:tbl>
    <w:p w14:paraId="1F2A34F1">
      <w:pPr>
        <w:pStyle w:val="18"/>
        <w:pageBreakBefore w:val="0"/>
        <w:kinsoku/>
        <w:wordWrap w:val="0"/>
        <w:bidi w:val="0"/>
        <w:spacing w:after="0" w:line="400" w:lineRule="atLeast"/>
        <w:ind w:left="735" w:leftChars="0" w:hanging="735" w:hangingChars="350"/>
        <w:rPr>
          <w:rFonts w:hint="default" w:ascii="Times New Roman" w:hAnsi="Times New Roman" w:cs="Times New Roman"/>
          <w:bCs/>
          <w:color w:val="auto"/>
          <w:kern w:val="0"/>
          <w:szCs w:val="21"/>
          <w:highlight w:val="none"/>
        </w:rPr>
      </w:pPr>
      <w:r>
        <w:rPr>
          <w:rFonts w:hint="default" w:ascii="Times New Roman" w:hAnsi="Times New Roman" w:cs="Times New Roman"/>
          <w:color w:val="auto"/>
          <w:szCs w:val="21"/>
          <w:highlight w:val="none"/>
        </w:rPr>
        <w:t>注：本表填报的设备应满足招标文件第二章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前附表附录7的要求。</w:t>
      </w:r>
    </w:p>
    <w:p w14:paraId="467A4783">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bookmarkStart w:id="1703" w:name="_Toc19215"/>
      <w:bookmarkStart w:id="1704" w:name="_Toc234833289"/>
      <w:bookmarkStart w:id="1705" w:name="_Toc32334"/>
      <w:r>
        <w:rPr>
          <w:rFonts w:hint="default" w:ascii="Times New Roman" w:hAnsi="Times New Roman" w:eastAsia="黑体" w:cs="Times New Roman"/>
          <w:color w:val="auto"/>
          <w:sz w:val="24"/>
          <w:highlight w:val="none"/>
        </w:rPr>
        <w:t>（十）拟配备本标段的主要材料试验、测量、质检仪器设备表</w:t>
      </w:r>
      <w:r>
        <w:rPr>
          <w:rFonts w:hint="default" w:ascii="Times New Roman" w:hAnsi="Times New Roman" w:eastAsia="黑体" w:cs="Times New Roman"/>
          <w:color w:val="auto"/>
          <w:sz w:val="24"/>
          <w:highlight w:val="none"/>
          <w:vertAlign w:val="superscript"/>
        </w:rPr>
        <w:footnoteReference w:id="55"/>
      </w:r>
      <w:bookmarkEnd w:id="1703"/>
      <w:bookmarkEnd w:id="1704"/>
      <w:bookmarkEnd w:id="1705"/>
    </w:p>
    <w:p w14:paraId="313118EB">
      <w:pPr>
        <w:pageBreakBefore w:val="0"/>
        <w:kinsoku/>
        <w:wordWrap w:val="0"/>
        <w:bidi w:val="0"/>
        <w:spacing w:line="400" w:lineRule="atLeast"/>
        <w:rPr>
          <w:rFonts w:hint="default" w:ascii="Times New Roman" w:hAnsi="Times New Roman" w:cs="Times New Roman"/>
          <w:color w:val="auto"/>
          <w:sz w:val="20"/>
          <w:szCs w:val="20"/>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637E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503D223E">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617" w:type="dxa"/>
            <w:noWrap w:val="0"/>
            <w:vAlign w:val="center"/>
          </w:tcPr>
          <w:p w14:paraId="2141B468">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仪器设备名称</w:t>
            </w:r>
          </w:p>
        </w:tc>
        <w:tc>
          <w:tcPr>
            <w:tcW w:w="1030" w:type="dxa"/>
            <w:noWrap w:val="0"/>
            <w:vAlign w:val="center"/>
          </w:tcPr>
          <w:p w14:paraId="2B1210A8">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型号规格</w:t>
            </w:r>
          </w:p>
        </w:tc>
        <w:tc>
          <w:tcPr>
            <w:tcW w:w="1016" w:type="dxa"/>
            <w:noWrap w:val="0"/>
            <w:vAlign w:val="center"/>
          </w:tcPr>
          <w:p w14:paraId="238CFAB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1026" w:type="dxa"/>
            <w:noWrap w:val="0"/>
            <w:vAlign w:val="center"/>
          </w:tcPr>
          <w:p w14:paraId="6BEEB64A">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国别产地</w:t>
            </w:r>
          </w:p>
        </w:tc>
        <w:tc>
          <w:tcPr>
            <w:tcW w:w="1026" w:type="dxa"/>
            <w:noWrap w:val="0"/>
            <w:vAlign w:val="center"/>
          </w:tcPr>
          <w:p w14:paraId="3EEAF37E">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制造年份</w:t>
            </w:r>
          </w:p>
        </w:tc>
        <w:tc>
          <w:tcPr>
            <w:tcW w:w="1693" w:type="dxa"/>
            <w:noWrap w:val="0"/>
            <w:vAlign w:val="center"/>
          </w:tcPr>
          <w:p w14:paraId="529D7A6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用途</w:t>
            </w:r>
          </w:p>
        </w:tc>
        <w:tc>
          <w:tcPr>
            <w:tcW w:w="697" w:type="dxa"/>
            <w:noWrap w:val="0"/>
            <w:vAlign w:val="center"/>
          </w:tcPr>
          <w:p w14:paraId="2EE9C3F7">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7F2A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AD9B57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center"/>
          </w:tcPr>
          <w:p w14:paraId="65305E5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center"/>
          </w:tcPr>
          <w:p w14:paraId="0A20BAF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center"/>
          </w:tcPr>
          <w:p w14:paraId="32BB92B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2359E0FC">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3173BFC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center"/>
          </w:tcPr>
          <w:p w14:paraId="3E04640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center"/>
          </w:tcPr>
          <w:p w14:paraId="636FC99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4A9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87F0A8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center"/>
          </w:tcPr>
          <w:p w14:paraId="5543BC9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center"/>
          </w:tcPr>
          <w:p w14:paraId="04B9C91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center"/>
          </w:tcPr>
          <w:p w14:paraId="2AE08B59">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134A886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68A879B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center"/>
          </w:tcPr>
          <w:p w14:paraId="6249686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center"/>
          </w:tcPr>
          <w:p w14:paraId="7CCBE1C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5817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91D119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2EC9B07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43CF5C0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5CFA6A5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331100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C6782E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1652CD0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35BB42D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2335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5F75C1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234566E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6B7469C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5DCB42F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21CB5D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5A4549F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54AA07B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45D5B75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7986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B8AEAE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575CAB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6DD7664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6B76323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A5A763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9C814A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3C3B724C">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75570E19">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CA3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5FAECE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073C0D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3921076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0630FE0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5A9D6F7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17D67E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412A02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0F47FC7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76BE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dxa"/>
            <w:noWrap w:val="0"/>
            <w:vAlign w:val="top"/>
          </w:tcPr>
          <w:p w14:paraId="3DEFF64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36A8F7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5DE6E9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105E50A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0B1511E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1820B5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18C4AC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5AADE4D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138B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8DDD6B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C770A0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47E96D1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1339D1E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0D5B57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C67E81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1A8FE31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2FBC0DF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53CE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C4E182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9CB35A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762480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02CC301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8CD038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44EB7F5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47D95A4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718DBC2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150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39AC29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1BB0206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1A43982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3596DD6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D22F21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0B028B3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251888C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2C7D493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2C0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dxa"/>
            <w:noWrap w:val="0"/>
            <w:vAlign w:val="top"/>
          </w:tcPr>
          <w:p w14:paraId="2EFC95F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48EB9BC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2B8FEB0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4B6E010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C55DD9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2ED7F9E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7AE0309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63337D9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602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211B93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374BC4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014EAF2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2A304EF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A24A0E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47F691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D58901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739971A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BD5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088ED8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D4E557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D725A7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725E66F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5E07B82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217F3AC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396C12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3FAD816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081C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1BC7A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244F3D7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4D6B48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01811B9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A1CEF0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34F041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4E56F49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0B7BD9B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002B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dxa"/>
            <w:noWrap w:val="0"/>
            <w:vAlign w:val="top"/>
          </w:tcPr>
          <w:p w14:paraId="3071724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9F87A2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1BE467C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3ECD30A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672BDD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5C352E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4EC39BA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2DF051C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4636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82C50F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BC0672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364E95C">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56EC0E9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288988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41BD9DB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2D01293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0DBDCAA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bl>
    <w:p w14:paraId="25088CC4">
      <w:pPr>
        <w:pStyle w:val="18"/>
        <w:pageBreakBefore w:val="0"/>
        <w:kinsoku/>
        <w:wordWrap w:val="0"/>
        <w:bidi w:val="0"/>
        <w:spacing w:after="0" w:line="400" w:lineRule="atLeast"/>
        <w:ind w:left="735" w:leftChars="0" w:hanging="735" w:hangingChars="3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注：本表填报的设备应满足招标文件第二章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前附表附录7的要求。</w:t>
      </w:r>
    </w:p>
    <w:p w14:paraId="3F5BA925">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color w:val="auto"/>
          <w:sz w:val="30"/>
          <w:szCs w:val="30"/>
          <w:highlight w:val="none"/>
        </w:rPr>
      </w:pPr>
      <w:r>
        <w:rPr>
          <w:rFonts w:hint="default" w:ascii="Times New Roman" w:hAnsi="Times New Roman" w:cs="Times New Roman"/>
          <w:color w:val="auto"/>
          <w:sz w:val="24"/>
          <w:highlight w:val="none"/>
        </w:rPr>
        <w:br w:type="page"/>
      </w:r>
      <w:bookmarkStart w:id="1706" w:name="_Toc15816"/>
      <w:bookmarkStart w:id="1707" w:name="_Toc5710"/>
      <w:bookmarkStart w:id="1708" w:name="_Toc8012"/>
      <w:bookmarkStart w:id="1709" w:name="_Toc234833291"/>
      <w:r>
        <w:rPr>
          <w:rFonts w:hint="eastAsia" w:ascii="Times New Roman" w:hAnsi="Times New Roman" w:eastAsia="黑体" w:cs="Times New Roman"/>
          <w:b w:val="0"/>
          <w:i w:val="0"/>
          <w:iCs/>
          <w:color w:val="auto"/>
          <w:sz w:val="30"/>
          <w:szCs w:val="30"/>
          <w:highlight w:val="none"/>
          <w:lang w:val="en-US" w:eastAsia="zh-CN"/>
        </w:rPr>
        <w:t>九</w:t>
      </w:r>
      <w:r>
        <w:rPr>
          <w:rFonts w:hint="default" w:ascii="Times New Roman" w:hAnsi="Times New Roman" w:eastAsia="黑体" w:cs="Times New Roman"/>
          <w:b w:val="0"/>
          <w:i w:val="0"/>
          <w:iCs/>
          <w:color w:val="auto"/>
          <w:sz w:val="30"/>
          <w:szCs w:val="30"/>
          <w:highlight w:val="none"/>
          <w:lang w:val="en-US" w:eastAsia="zh-CN"/>
        </w:rPr>
        <w:t>、投标人告知承诺函</w:t>
      </w:r>
      <w:bookmarkEnd w:id="1706"/>
      <w:bookmarkEnd w:id="1707"/>
      <w:bookmarkEnd w:id="1708"/>
      <w:r>
        <w:rPr>
          <w:rFonts w:hint="default" w:ascii="Times New Roman" w:hAnsi="Times New Roman" w:eastAsia="黑体" w:cs="Times New Roman"/>
          <w:b w:val="0"/>
          <w:i w:val="0"/>
          <w:iCs/>
          <w:color w:val="auto"/>
          <w:sz w:val="30"/>
          <w:szCs w:val="30"/>
          <w:highlight w:val="none"/>
          <w:vertAlign w:val="superscript"/>
          <w:lang w:val="zh-CN" w:eastAsia="zh-CN"/>
        </w:rPr>
        <w:footnoteReference w:id="56"/>
      </w:r>
    </w:p>
    <w:p w14:paraId="361AB61E">
      <w:pPr>
        <w:spacing w:line="380" w:lineRule="exact"/>
        <w:rPr>
          <w:rFonts w:hint="default" w:ascii="Times New Roman" w:hAnsi="Times New Roman" w:cs="Times New Roman"/>
          <w:color w:val="auto"/>
          <w:sz w:val="24"/>
          <w:highlight w:val="none"/>
          <w:u w:val="single"/>
        </w:rPr>
      </w:pPr>
    </w:p>
    <w:p w14:paraId="06F58AAA">
      <w:pPr>
        <w:wordWrap w:val="0"/>
        <w:spacing w:line="380" w:lineRule="exact"/>
        <w:ind w:firstLine="480" w:firstLineChars="200"/>
        <w:rPr>
          <w:rFonts w:hint="default" w:ascii="Times New Roman" w:hAnsi="Times New Roman" w:cs="Times New Roman"/>
          <w:color w:val="auto"/>
          <w:sz w:val="24"/>
          <w:highlight w:val="none"/>
        </w:rPr>
      </w:pPr>
      <w:bookmarkStart w:id="1710" w:name="_Toc29420"/>
      <w:bookmarkStart w:id="1711" w:name="_Toc18802"/>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（监管部门名称）：</w:t>
      </w:r>
    </w:p>
    <w:p w14:paraId="658FAD39">
      <w:pPr>
        <w:wordWrap w:val="0"/>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我单位参与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eastAsia" w:cs="Times New Roman"/>
          <w:color w:val="auto"/>
          <w:sz w:val="24"/>
          <w:highlight w:val="none"/>
          <w:u w:val="none"/>
          <w:lang w:val="en-US" w:eastAsia="zh-CN"/>
        </w:rPr>
        <w:t>施工</w:t>
      </w:r>
      <w:r>
        <w:rPr>
          <w:rFonts w:hint="default" w:ascii="Times New Roman" w:hAnsi="Times New Roman" w:cs="Times New Roman"/>
          <w:color w:val="auto"/>
          <w:sz w:val="24"/>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A4AAE1C">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一、我单位和我本人遵循公开、公平、公正、诚实守信的原则，依法依规参与本项目投标。</w:t>
      </w:r>
    </w:p>
    <w:p w14:paraId="28C31056">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二、我单位具有参与本次投标的资质和能力，公司运营状况良好，不存在挂靠投标、不受让、租借、出租、出借资格或资质证书，无处罚期内的不良行为。</w:t>
      </w:r>
    </w:p>
    <w:p w14:paraId="07429FB7">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三、我单位在本项目投标过程中从招标公告列明的渠道获取招标文件，没有通过其他不正当渠道获取招标文件。</w:t>
      </w:r>
    </w:p>
    <w:p w14:paraId="6949BD64">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四、我单位承诺投标文件由本单位员工独立编制，严格遵守保密义务。所提供的一切投标相关材料都是真实、有效、合法的。</w:t>
      </w:r>
    </w:p>
    <w:p w14:paraId="155E9BBE">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五、我单位不与其他投标人相互串通投标报价，不恶意压低或抬高投标报价，不排挤其他投标人的公平竞争，不损害招标人或其他投标人的合法权益。</w:t>
      </w:r>
    </w:p>
    <w:p w14:paraId="2CD17FC4">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六、我单位不与招标人或招标代理机构串通投标，损害国家利益、社会公共利益或者他人的合法权益。</w:t>
      </w:r>
    </w:p>
    <w:p w14:paraId="620DFBEA">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七、我单位不向招标人或者评标委员会成员行贿以牟取中标，不在开标后进行虚假恶意投诉。</w:t>
      </w:r>
    </w:p>
    <w:p w14:paraId="28EDD8AF">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八、我单位和我个人清楚并知晓《中华人民共和国刑法》第二百二十三条</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的规定。</w:t>
      </w:r>
    </w:p>
    <w:p w14:paraId="0FB36096">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九、我单位如在本项目招标投标活动评标工作中存在串通投标、弄虚作假等行为的，本单位及本人自愿承担法律责任，接受相应刑事、纪律和行政处罚以及失信惩戒。</w:t>
      </w:r>
    </w:p>
    <w:p w14:paraId="0715A326">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十、本承诺函由我单位盖章及法定代表人（授权委托人）本人</w:t>
      </w:r>
      <w:r>
        <w:rPr>
          <w:rFonts w:hint="eastAsia" w:cs="Times New Roman"/>
          <w:color w:val="auto"/>
          <w:sz w:val="24"/>
          <w:highlight w:val="none"/>
          <w:lang w:val="en-US" w:eastAsia="zh-CN"/>
        </w:rPr>
        <w:t>电子</w:t>
      </w:r>
      <w:r>
        <w:rPr>
          <w:rFonts w:hint="default" w:ascii="Times New Roman" w:hAnsi="Times New Roman" w:cs="Times New Roman"/>
          <w:color w:val="auto"/>
          <w:sz w:val="24"/>
          <w:highlight w:val="none"/>
        </w:rPr>
        <w:t>确认。</w:t>
      </w:r>
    </w:p>
    <w:p w14:paraId="7DEBB9CE">
      <w:pPr>
        <w:spacing w:line="380" w:lineRule="exact"/>
        <w:ind w:firstLine="480" w:firstLineChars="200"/>
        <w:rPr>
          <w:rFonts w:hint="default" w:ascii="Times New Roman" w:hAnsi="Times New Roman" w:cs="Times New Roman"/>
          <w:color w:val="auto"/>
          <w:sz w:val="24"/>
          <w:highlight w:val="none"/>
        </w:rPr>
      </w:pPr>
    </w:p>
    <w:p w14:paraId="008F3A57">
      <w:pPr>
        <w:widowControl/>
        <w:spacing w:line="380" w:lineRule="exact"/>
        <w:jc w:val="right"/>
        <w:rPr>
          <w:rFonts w:hint="default" w:ascii="Times New Roman" w:hAnsi="Times New Roman" w:cs="Times New Roman"/>
          <w:color w:val="auto"/>
          <w:kern w:val="0"/>
          <w:sz w:val="24"/>
          <w:highlight w:val="none"/>
          <w:u w:val="single"/>
          <w:lang w:val="zh-CN" w:bidi="zh-CN"/>
        </w:rPr>
      </w:pPr>
      <w:r>
        <w:rPr>
          <w:rFonts w:hint="default" w:ascii="Times New Roman" w:hAnsi="Times New Roman" w:cs="Times New Roman"/>
          <w:color w:val="auto"/>
          <w:kern w:val="0"/>
          <w:sz w:val="24"/>
          <w:highlight w:val="none"/>
          <w:lang w:val="zh-CN" w:bidi="zh-CN"/>
        </w:rPr>
        <w:t>投标人：</w:t>
      </w:r>
      <w:r>
        <w:rPr>
          <w:rFonts w:hint="default" w:ascii="Times New Roman" w:hAnsi="Times New Roman" w:cs="Times New Roman"/>
          <w:color w:val="auto"/>
          <w:kern w:val="0"/>
          <w:sz w:val="24"/>
          <w:highlight w:val="none"/>
          <w:u w:val="single"/>
          <w:lang w:val="zh-CN" w:bidi="zh-CN"/>
        </w:rPr>
        <w:t>投标人全称（加盖单位</w:t>
      </w:r>
      <w:r>
        <w:rPr>
          <w:rFonts w:hint="default" w:ascii="Times New Roman" w:hAnsi="Times New Roman" w:cs="Times New Roman"/>
          <w:color w:val="auto"/>
          <w:kern w:val="0"/>
          <w:sz w:val="24"/>
          <w:highlight w:val="none"/>
          <w:u w:val="single"/>
          <w:lang w:val="en-US" w:bidi="zh-CN"/>
        </w:rPr>
        <w:t>电子印</w:t>
      </w:r>
      <w:r>
        <w:rPr>
          <w:rFonts w:hint="default" w:ascii="Times New Roman" w:hAnsi="Times New Roman" w:cs="Times New Roman"/>
          <w:color w:val="auto"/>
          <w:kern w:val="0"/>
          <w:sz w:val="24"/>
          <w:highlight w:val="none"/>
          <w:u w:val="single"/>
          <w:lang w:val="zh-CN" w:bidi="zh-CN"/>
        </w:rPr>
        <w:t>章）</w:t>
      </w:r>
    </w:p>
    <w:p w14:paraId="522F9E30">
      <w:pPr>
        <w:keepNext w:val="0"/>
        <w:keepLines w:val="0"/>
        <w:pageBreakBefore w:val="0"/>
        <w:widowControl/>
        <w:kinsoku/>
        <w:wordWrap w:val="0"/>
        <w:overflowPunct/>
        <w:topLinePunct w:val="0"/>
        <w:autoSpaceDE/>
        <w:autoSpaceDN/>
        <w:bidi w:val="0"/>
        <w:adjustRightInd/>
        <w:snapToGrid/>
        <w:spacing w:line="380" w:lineRule="exact"/>
        <w:jc w:val="right"/>
        <w:textAlignment w:val="auto"/>
        <w:outlineLvl w:val="9"/>
        <w:rPr>
          <w:rFonts w:hint="default" w:ascii="Times New Roman" w:hAnsi="Times New Roman" w:cs="Times New Roman"/>
          <w:color w:val="auto"/>
          <w:kern w:val="0"/>
          <w:sz w:val="24"/>
          <w:highlight w:val="none"/>
          <w:lang w:val="zh-CN" w:bidi="zh-CN"/>
        </w:rPr>
      </w:pPr>
      <w:r>
        <w:rPr>
          <w:rFonts w:hint="default" w:ascii="Times New Roman" w:hAnsi="Times New Roman" w:cs="Times New Roman"/>
          <w:color w:val="auto"/>
          <w:kern w:val="0"/>
          <w:sz w:val="24"/>
          <w:highlight w:val="none"/>
          <w:lang w:val="zh-CN" w:bidi="zh-CN"/>
        </w:rPr>
        <w:t>法定代表人（或授权委托人）：</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r>
        <w:rPr>
          <w:rFonts w:hint="default" w:ascii="Times New Roman" w:hAnsi="Times New Roman" w:cs="Times New Roman"/>
          <w:color w:val="auto"/>
          <w:kern w:val="0"/>
          <w:sz w:val="24"/>
          <w:highlight w:val="none"/>
          <w:lang w:val="zh-CN" w:bidi="zh-CN"/>
        </w:rPr>
        <w:t>）</w:t>
      </w:r>
    </w:p>
    <w:p w14:paraId="68846DCE">
      <w:pPr>
        <w:widowControl/>
        <w:wordWrap w:val="0"/>
        <w:spacing w:line="380" w:lineRule="exact"/>
        <w:jc w:val="right"/>
        <w:rPr>
          <w:rFonts w:hint="default" w:ascii="Times New Roman" w:hAnsi="Times New Roman" w:eastAsia="黑体" w:cs="Times New Roman"/>
          <w:b w:val="0"/>
          <w:color w:val="auto"/>
          <w:sz w:val="28"/>
          <w:szCs w:val="28"/>
          <w:highlight w:val="none"/>
        </w:rPr>
      </w:pPr>
      <w:r>
        <w:rPr>
          <w:rFonts w:hint="default" w:ascii="Times New Roman" w:hAnsi="Times New Roman" w:cs="Times New Roman"/>
          <w:color w:val="auto"/>
          <w:kern w:val="0"/>
          <w:sz w:val="24"/>
          <w:highlight w:val="none"/>
          <w:lang w:val="zh-CN" w:bidi="zh-CN"/>
        </w:rPr>
        <w:t>承诺日期：</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年</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月</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日</w:t>
      </w:r>
    </w:p>
    <w:p w14:paraId="6CB4DC58">
      <w:pPr>
        <w:pStyle w:val="2"/>
        <w:pageBreakBefore w:val="0"/>
        <w:kinsoku/>
        <w:wordWrap w:val="0"/>
        <w:overflowPunct/>
        <w:bidi w:val="0"/>
        <w:spacing w:before="0" w:after="0" w:line="380" w:lineRule="atLeast"/>
        <w:jc w:val="center"/>
        <w:outlineLvl w:val="9"/>
        <w:rPr>
          <w:rFonts w:hint="default" w:ascii="Times New Roman" w:hAnsi="Times New Roman" w:cs="Times New Roman"/>
          <w:b w:val="0"/>
          <w:color w:val="auto"/>
          <w:sz w:val="28"/>
          <w:szCs w:val="28"/>
          <w:highlight w:val="none"/>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61ECDAFE">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r>
        <w:rPr>
          <w:rFonts w:hint="eastAsia" w:ascii="Times New Roman" w:hAnsi="Times New Roman" w:eastAsia="黑体" w:cs="Times New Roman"/>
          <w:b w:val="0"/>
          <w:i w:val="0"/>
          <w:iCs/>
          <w:color w:val="auto"/>
          <w:sz w:val="30"/>
          <w:szCs w:val="30"/>
          <w:highlight w:val="none"/>
          <w:lang w:val="en-US" w:eastAsia="zh-CN"/>
        </w:rPr>
        <w:t>十</w:t>
      </w:r>
      <w:r>
        <w:rPr>
          <w:rFonts w:hint="default" w:ascii="Times New Roman" w:hAnsi="Times New Roman" w:eastAsia="黑体" w:cs="Times New Roman"/>
          <w:b w:val="0"/>
          <w:i w:val="0"/>
          <w:iCs/>
          <w:color w:val="auto"/>
          <w:sz w:val="30"/>
          <w:szCs w:val="30"/>
          <w:highlight w:val="none"/>
          <w:lang w:val="en-US" w:eastAsia="zh-CN"/>
        </w:rPr>
        <w:t>、其他</w:t>
      </w:r>
      <w:bookmarkEnd w:id="1709"/>
      <w:r>
        <w:rPr>
          <w:rFonts w:hint="default" w:ascii="Times New Roman" w:hAnsi="Times New Roman" w:eastAsia="黑体" w:cs="Times New Roman"/>
          <w:b w:val="0"/>
          <w:i w:val="0"/>
          <w:iCs/>
          <w:color w:val="auto"/>
          <w:sz w:val="30"/>
          <w:szCs w:val="30"/>
          <w:highlight w:val="none"/>
          <w:lang w:val="en-US" w:eastAsia="zh-CN"/>
        </w:rPr>
        <w:t>资料</w:t>
      </w:r>
      <w:bookmarkEnd w:id="1710"/>
      <w:bookmarkEnd w:id="1711"/>
    </w:p>
    <w:p w14:paraId="2B44E78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3CC4696">
      <w:pPr>
        <w:pStyle w:val="21"/>
        <w:adjustRightInd w:val="0"/>
        <w:snapToGrid w:val="0"/>
        <w:spacing w:line="500" w:lineRule="exact"/>
        <w:jc w:val="center"/>
        <w:rPr>
          <w:rFonts w:hint="eastAsia" w:hAnsi="宋体"/>
          <w:b/>
          <w:sz w:val="28"/>
          <w:szCs w:val="28"/>
          <w:highlight w:val="yellow"/>
        </w:rPr>
      </w:pPr>
      <w:r>
        <w:rPr>
          <w:rFonts w:hint="eastAsia" w:hAnsi="宋体"/>
          <w:b/>
          <w:sz w:val="28"/>
          <w:szCs w:val="28"/>
          <w:highlight w:val="yellow"/>
        </w:rPr>
        <w:t>投标排序优先选择表</w:t>
      </w:r>
    </w:p>
    <w:p w14:paraId="44B40A25">
      <w:pPr>
        <w:pStyle w:val="21"/>
        <w:adjustRightInd w:val="0"/>
        <w:snapToGrid w:val="0"/>
        <w:spacing w:line="500" w:lineRule="exact"/>
        <w:jc w:val="left"/>
        <w:rPr>
          <w:rFonts w:hint="eastAsia" w:hAnsi="宋体"/>
          <w:b/>
          <w:sz w:val="24"/>
          <w:szCs w:val="24"/>
          <w:highlight w:val="yellow"/>
        </w:rPr>
      </w:pPr>
      <w:r>
        <w:rPr>
          <w:rFonts w:hint="eastAsia" w:hAnsi="宋体"/>
          <w:b/>
          <w:sz w:val="24"/>
          <w:szCs w:val="24"/>
          <w:highlight w:val="yellow"/>
        </w:rPr>
        <w:t>工程名称：</w:t>
      </w:r>
    </w:p>
    <w:p w14:paraId="696AACED">
      <w:pPr>
        <w:pStyle w:val="21"/>
        <w:adjustRightInd w:val="0"/>
        <w:snapToGrid w:val="0"/>
        <w:spacing w:line="500" w:lineRule="exact"/>
        <w:rPr>
          <w:rFonts w:hint="eastAsia" w:hAnsi="宋体"/>
          <w:b/>
          <w:sz w:val="24"/>
          <w:szCs w:val="24"/>
          <w:highlight w:val="yellow"/>
        </w:rPr>
      </w:pPr>
      <w:r>
        <w:rPr>
          <w:rFonts w:hint="eastAsia" w:hAnsi="宋体"/>
          <w:b/>
          <w:sz w:val="24"/>
          <w:szCs w:val="24"/>
          <w:highlight w:val="yellow"/>
        </w:rPr>
        <w:t>招标编号：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697"/>
        <w:gridCol w:w="1985"/>
      </w:tblGrid>
      <w:tr w14:paraId="4F30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ign w:val="top"/>
          </w:tcPr>
          <w:p w14:paraId="3342C85A">
            <w:pPr>
              <w:pStyle w:val="21"/>
              <w:adjustRightInd w:val="0"/>
              <w:snapToGrid w:val="0"/>
              <w:spacing w:line="500" w:lineRule="exact"/>
              <w:jc w:val="center"/>
              <w:rPr>
                <w:rFonts w:hAnsi="宋体"/>
                <w:b/>
                <w:sz w:val="24"/>
                <w:szCs w:val="24"/>
                <w:highlight w:val="yellow"/>
              </w:rPr>
            </w:pPr>
            <w:r>
              <w:rPr>
                <w:rFonts w:hint="eastAsia" w:hAnsi="宋体"/>
                <w:b/>
                <w:sz w:val="24"/>
                <w:szCs w:val="24"/>
                <w:highlight w:val="yellow"/>
              </w:rPr>
              <w:t>优选顺序</w:t>
            </w:r>
          </w:p>
        </w:tc>
        <w:tc>
          <w:tcPr>
            <w:tcW w:w="3697" w:type="dxa"/>
            <w:tcBorders>
              <w:top w:val="single" w:color="auto" w:sz="4" w:space="0"/>
              <w:left w:val="single" w:color="auto" w:sz="4" w:space="0"/>
              <w:bottom w:val="single" w:color="auto" w:sz="4" w:space="0"/>
              <w:right w:val="single" w:color="auto" w:sz="4" w:space="0"/>
            </w:tcBorders>
            <w:noWrap/>
            <w:vAlign w:val="top"/>
          </w:tcPr>
          <w:p w14:paraId="23463C09">
            <w:pPr>
              <w:pStyle w:val="21"/>
              <w:adjustRightInd w:val="0"/>
              <w:snapToGrid w:val="0"/>
              <w:spacing w:line="500" w:lineRule="exact"/>
              <w:jc w:val="center"/>
              <w:rPr>
                <w:rFonts w:hAnsi="宋体"/>
                <w:b/>
                <w:sz w:val="24"/>
                <w:szCs w:val="24"/>
                <w:highlight w:val="yellow"/>
              </w:rPr>
            </w:pPr>
            <w:r>
              <w:rPr>
                <w:rFonts w:hint="eastAsia" w:hAnsi="宋体"/>
                <w:b/>
                <w:sz w:val="24"/>
                <w:szCs w:val="24"/>
                <w:highlight w:val="yellow"/>
              </w:rPr>
              <w:t>所选标段</w:t>
            </w:r>
          </w:p>
        </w:tc>
        <w:tc>
          <w:tcPr>
            <w:tcW w:w="1985" w:type="dxa"/>
            <w:tcBorders>
              <w:top w:val="single" w:color="auto" w:sz="4" w:space="0"/>
              <w:left w:val="single" w:color="auto" w:sz="4" w:space="0"/>
              <w:bottom w:val="single" w:color="auto" w:sz="4" w:space="0"/>
              <w:right w:val="single" w:color="auto" w:sz="4" w:space="0"/>
            </w:tcBorders>
            <w:noWrap/>
            <w:vAlign w:val="top"/>
          </w:tcPr>
          <w:p w14:paraId="7D447AB4">
            <w:pPr>
              <w:pStyle w:val="21"/>
              <w:adjustRightInd w:val="0"/>
              <w:snapToGrid w:val="0"/>
              <w:spacing w:line="500" w:lineRule="exact"/>
              <w:jc w:val="center"/>
              <w:rPr>
                <w:rFonts w:hAnsi="宋体"/>
                <w:b/>
                <w:sz w:val="24"/>
                <w:szCs w:val="24"/>
                <w:highlight w:val="yellow"/>
              </w:rPr>
            </w:pPr>
            <w:r>
              <w:rPr>
                <w:rFonts w:hint="eastAsia" w:hAnsi="宋体"/>
                <w:b/>
                <w:sz w:val="24"/>
                <w:szCs w:val="24"/>
                <w:highlight w:val="yellow"/>
              </w:rPr>
              <w:t>备注</w:t>
            </w:r>
          </w:p>
        </w:tc>
      </w:tr>
      <w:tr w14:paraId="164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ign w:val="top"/>
          </w:tcPr>
          <w:p w14:paraId="7882B134">
            <w:pPr>
              <w:pStyle w:val="21"/>
              <w:adjustRightInd w:val="0"/>
              <w:snapToGrid w:val="0"/>
              <w:spacing w:line="500" w:lineRule="exact"/>
              <w:jc w:val="center"/>
              <w:rPr>
                <w:rFonts w:hAnsi="宋体"/>
                <w:b/>
                <w:sz w:val="24"/>
                <w:szCs w:val="24"/>
                <w:highlight w:val="yellow"/>
              </w:rPr>
            </w:pPr>
            <w:r>
              <w:rPr>
                <w:rFonts w:hint="eastAsia" w:hAnsi="宋体"/>
                <w:b/>
                <w:sz w:val="24"/>
                <w:szCs w:val="24"/>
                <w:highlight w:val="yellow"/>
              </w:rPr>
              <w:t>1</w:t>
            </w:r>
          </w:p>
        </w:tc>
        <w:tc>
          <w:tcPr>
            <w:tcW w:w="3697" w:type="dxa"/>
            <w:tcBorders>
              <w:top w:val="single" w:color="auto" w:sz="4" w:space="0"/>
              <w:left w:val="single" w:color="auto" w:sz="4" w:space="0"/>
              <w:bottom w:val="single" w:color="auto" w:sz="4" w:space="0"/>
              <w:right w:val="single" w:color="auto" w:sz="4" w:space="0"/>
            </w:tcBorders>
            <w:noWrap/>
            <w:vAlign w:val="top"/>
          </w:tcPr>
          <w:p w14:paraId="02054DCE">
            <w:pPr>
              <w:pStyle w:val="21"/>
              <w:adjustRightInd w:val="0"/>
              <w:snapToGrid w:val="0"/>
              <w:spacing w:line="500" w:lineRule="exact"/>
              <w:jc w:val="center"/>
              <w:rPr>
                <w:rFonts w:hAnsi="宋体"/>
                <w:b/>
                <w:sz w:val="24"/>
                <w:szCs w:val="24"/>
                <w:highlight w:val="yellow"/>
              </w:rPr>
            </w:pPr>
          </w:p>
        </w:tc>
        <w:tc>
          <w:tcPr>
            <w:tcW w:w="1985" w:type="dxa"/>
            <w:tcBorders>
              <w:top w:val="single" w:color="auto" w:sz="4" w:space="0"/>
              <w:left w:val="single" w:color="auto" w:sz="4" w:space="0"/>
              <w:bottom w:val="single" w:color="auto" w:sz="4" w:space="0"/>
              <w:right w:val="single" w:color="auto" w:sz="4" w:space="0"/>
            </w:tcBorders>
            <w:noWrap/>
            <w:vAlign w:val="top"/>
          </w:tcPr>
          <w:p w14:paraId="5F98891D">
            <w:pPr>
              <w:pStyle w:val="21"/>
              <w:adjustRightInd w:val="0"/>
              <w:snapToGrid w:val="0"/>
              <w:spacing w:line="500" w:lineRule="exact"/>
              <w:jc w:val="center"/>
              <w:rPr>
                <w:rFonts w:hAnsi="宋体"/>
                <w:b/>
                <w:sz w:val="24"/>
                <w:szCs w:val="24"/>
                <w:highlight w:val="yellow"/>
              </w:rPr>
            </w:pPr>
          </w:p>
        </w:tc>
      </w:tr>
      <w:tr w14:paraId="455F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ign w:val="top"/>
          </w:tcPr>
          <w:p w14:paraId="59057917">
            <w:pPr>
              <w:pStyle w:val="21"/>
              <w:adjustRightInd w:val="0"/>
              <w:snapToGrid w:val="0"/>
              <w:spacing w:line="500" w:lineRule="exact"/>
              <w:jc w:val="center"/>
              <w:rPr>
                <w:rFonts w:hAnsi="宋体"/>
                <w:b/>
                <w:sz w:val="24"/>
                <w:szCs w:val="24"/>
                <w:highlight w:val="yellow"/>
              </w:rPr>
            </w:pPr>
            <w:r>
              <w:rPr>
                <w:rFonts w:hint="eastAsia" w:hAnsi="宋体"/>
                <w:b/>
                <w:sz w:val="24"/>
                <w:szCs w:val="24"/>
                <w:highlight w:val="yellow"/>
              </w:rPr>
              <w:t>2</w:t>
            </w:r>
          </w:p>
        </w:tc>
        <w:tc>
          <w:tcPr>
            <w:tcW w:w="3697" w:type="dxa"/>
            <w:tcBorders>
              <w:top w:val="single" w:color="auto" w:sz="4" w:space="0"/>
              <w:left w:val="single" w:color="auto" w:sz="4" w:space="0"/>
              <w:bottom w:val="single" w:color="auto" w:sz="4" w:space="0"/>
              <w:right w:val="single" w:color="auto" w:sz="4" w:space="0"/>
            </w:tcBorders>
            <w:noWrap/>
            <w:vAlign w:val="top"/>
          </w:tcPr>
          <w:p w14:paraId="3CA381C0">
            <w:pPr>
              <w:pStyle w:val="21"/>
              <w:adjustRightInd w:val="0"/>
              <w:snapToGrid w:val="0"/>
              <w:spacing w:line="500" w:lineRule="exact"/>
              <w:jc w:val="center"/>
              <w:rPr>
                <w:rFonts w:hAnsi="宋体"/>
                <w:b/>
                <w:sz w:val="24"/>
                <w:szCs w:val="24"/>
                <w:highlight w:val="yellow"/>
              </w:rPr>
            </w:pPr>
          </w:p>
        </w:tc>
        <w:tc>
          <w:tcPr>
            <w:tcW w:w="1985" w:type="dxa"/>
            <w:tcBorders>
              <w:top w:val="single" w:color="auto" w:sz="4" w:space="0"/>
              <w:left w:val="single" w:color="auto" w:sz="4" w:space="0"/>
              <w:bottom w:val="single" w:color="auto" w:sz="4" w:space="0"/>
              <w:right w:val="single" w:color="auto" w:sz="4" w:space="0"/>
            </w:tcBorders>
            <w:noWrap/>
            <w:vAlign w:val="top"/>
          </w:tcPr>
          <w:p w14:paraId="2EEC2642">
            <w:pPr>
              <w:pStyle w:val="21"/>
              <w:adjustRightInd w:val="0"/>
              <w:snapToGrid w:val="0"/>
              <w:spacing w:line="500" w:lineRule="exact"/>
              <w:jc w:val="center"/>
              <w:rPr>
                <w:rFonts w:hAnsi="宋体"/>
                <w:b/>
                <w:sz w:val="24"/>
                <w:szCs w:val="24"/>
                <w:highlight w:val="yellow"/>
              </w:rPr>
            </w:pPr>
          </w:p>
        </w:tc>
      </w:tr>
    </w:tbl>
    <w:p w14:paraId="0D2EC764">
      <w:pPr>
        <w:pStyle w:val="21"/>
        <w:adjustRightInd w:val="0"/>
        <w:snapToGrid w:val="0"/>
        <w:spacing w:line="500" w:lineRule="exact"/>
        <w:jc w:val="left"/>
        <w:rPr>
          <w:rFonts w:hint="default" w:hAnsi="宋体"/>
          <w:b/>
          <w:sz w:val="22"/>
          <w:szCs w:val="22"/>
          <w:highlight w:val="yellow"/>
        </w:rPr>
      </w:pPr>
      <w:r>
        <w:rPr>
          <w:rFonts w:hint="eastAsia" w:hAnsi="宋体"/>
          <w:b/>
          <w:sz w:val="22"/>
          <w:szCs w:val="22"/>
          <w:highlight w:val="yellow"/>
          <w:lang w:eastAsia="zh-CN"/>
        </w:rPr>
        <w:t>注：</w:t>
      </w:r>
      <w:r>
        <w:rPr>
          <w:rFonts w:hint="default" w:hAnsi="宋体"/>
          <w:b/>
          <w:sz w:val="22"/>
          <w:szCs w:val="22"/>
          <w:highlight w:val="yellow"/>
        </w:rPr>
        <w:t>本项目共划分2个标段，每个投标人允许同时参与2个标段，但每个投标人最多允许中标其中1个标段，投多个标段的投标单位必须递交“投标排序优先选择表”，且各标段投标文件中的排序必须</w:t>
      </w:r>
      <w:r>
        <w:rPr>
          <w:rFonts w:hint="eastAsia" w:hAnsi="宋体"/>
          <w:b/>
          <w:sz w:val="22"/>
          <w:szCs w:val="22"/>
          <w:highlight w:val="yellow"/>
          <w:lang w:eastAsia="zh-CN"/>
        </w:rPr>
        <w:t>一致</w:t>
      </w:r>
      <w:r>
        <w:rPr>
          <w:rFonts w:hint="default" w:hAnsi="宋体"/>
          <w:b/>
          <w:sz w:val="22"/>
          <w:szCs w:val="22"/>
          <w:highlight w:val="yellow"/>
        </w:rPr>
        <w:t>，否则按废标处理。</w:t>
      </w:r>
    </w:p>
    <w:p w14:paraId="04CB3BDB">
      <w:pPr>
        <w:pageBreakBefore w:val="0"/>
        <w:kinsoku/>
        <w:wordWrap w:val="0"/>
        <w:bidi w:val="0"/>
        <w:spacing w:line="440" w:lineRule="exact"/>
        <w:rPr>
          <w:rFonts w:hint="default" w:ascii="Times New Roman" w:hAnsi="Times New Roman" w:eastAsia="黑体" w:cs="Times New Roman"/>
          <w:color w:val="auto"/>
          <w:sz w:val="20"/>
          <w:szCs w:val="20"/>
          <w:highlight w:val="yellow"/>
        </w:rPr>
      </w:pPr>
    </w:p>
    <w:p w14:paraId="1A6CB367">
      <w:pPr>
        <w:pageBreakBefore w:val="0"/>
        <w:kinsoku/>
        <w:wordWrap w:val="0"/>
        <w:bidi w:val="0"/>
        <w:spacing w:line="440" w:lineRule="exact"/>
        <w:rPr>
          <w:rFonts w:hint="default" w:ascii="Times New Roman" w:hAnsi="Times New Roman" w:eastAsia="黑体" w:cs="Times New Roman"/>
          <w:color w:val="auto"/>
          <w:sz w:val="20"/>
          <w:szCs w:val="20"/>
          <w:highlight w:val="yellow"/>
        </w:rPr>
      </w:pPr>
    </w:p>
    <w:p w14:paraId="2E46AC12">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0D2849C1">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2B12B872">
      <w:pPr>
        <w:pStyle w:val="1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黑体" w:cs="Times New Roman"/>
          <w:color w:val="auto"/>
          <w:sz w:val="31"/>
          <w:szCs w:val="31"/>
          <w:highlight w:val="none"/>
          <w:lang w:eastAsia="zh-CN"/>
        </w:rPr>
      </w:pPr>
      <w:r>
        <w:rPr>
          <w:rFonts w:hint="eastAsia" w:ascii="Times New Roman" w:eastAsia="黑体" w:cs="Times New Roman"/>
          <w:color w:val="auto"/>
          <w:sz w:val="31"/>
          <w:szCs w:val="31"/>
          <w:highlight w:val="none"/>
          <w:u w:val="single"/>
          <w:lang w:eastAsia="zh-CN"/>
        </w:rPr>
        <w:t>辽宁省</w:t>
      </w:r>
    </w:p>
    <w:p w14:paraId="47D53593">
      <w:pPr>
        <w:pageBreakBefore w:val="0"/>
        <w:kinsoku/>
        <w:wordWrap w:val="0"/>
        <w:bidi w:val="0"/>
        <w:spacing w:line="440" w:lineRule="exact"/>
        <w:rPr>
          <w:rFonts w:hint="default" w:ascii="Times New Roman" w:hAnsi="Times New Roman" w:eastAsia="黑体" w:cs="Times New Roman"/>
          <w:color w:val="auto"/>
          <w:sz w:val="24"/>
          <w:highlight w:val="none"/>
          <w:lang w:val="en-US" w:eastAsia="zh-CN"/>
        </w:rPr>
      </w:pP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（项目名称）</w:t>
      </w: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w:t>
      </w:r>
      <w:r>
        <w:rPr>
          <w:rFonts w:hint="default" w:ascii="Times New Roman" w:hAnsi="Times New Roman" w:eastAsia="黑体" w:cs="Times New Roman"/>
          <w:b w:val="0"/>
          <w:bCs w:val="0"/>
          <w:color w:val="auto"/>
          <w:sz w:val="31"/>
          <w:szCs w:val="31"/>
          <w:highlight w:val="none"/>
          <w:lang w:val="en-US" w:eastAsia="zh-CN"/>
        </w:rPr>
        <w:t>标段</w:t>
      </w:r>
      <w:r>
        <w:rPr>
          <w:rFonts w:hint="default" w:ascii="Times New Roman" w:hAnsi="Times New Roman" w:eastAsia="黑体" w:cs="Times New Roman"/>
          <w:b w:val="0"/>
          <w:bCs w:val="0"/>
          <w:color w:val="auto"/>
          <w:sz w:val="31"/>
          <w:szCs w:val="31"/>
          <w:highlight w:val="none"/>
        </w:rPr>
        <w:t>名称）</w:t>
      </w:r>
      <w:r>
        <w:rPr>
          <w:rFonts w:hint="default" w:ascii="Times New Roman" w:hAnsi="Times New Roman" w:eastAsia="黑体" w:cs="Times New Roman"/>
          <w:b w:val="0"/>
          <w:bCs w:val="0"/>
          <w:color w:val="auto"/>
          <w:sz w:val="31"/>
          <w:szCs w:val="31"/>
          <w:highlight w:val="none"/>
          <w:lang w:val="en-US" w:eastAsia="zh-CN"/>
        </w:rPr>
        <w:t>施工招标</w:t>
      </w:r>
    </w:p>
    <w:p w14:paraId="7D7857D5">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p w14:paraId="1B8423D4">
      <w:pPr>
        <w:pageBreakBefore w:val="0"/>
        <w:kinsoku/>
        <w:wordWrap w:val="0"/>
        <w:bidi w:val="0"/>
        <w:spacing w:line="440" w:lineRule="exact"/>
        <w:rPr>
          <w:rFonts w:hint="default" w:ascii="Times New Roman" w:hAnsi="Times New Roman" w:eastAsia="黑体" w:cs="Times New Roman"/>
          <w:color w:val="auto"/>
          <w:sz w:val="40"/>
          <w:szCs w:val="40"/>
          <w:highlight w:val="none"/>
        </w:rPr>
      </w:pPr>
    </w:p>
    <w:p w14:paraId="600ED52A">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0D2ECE2C">
      <w:pPr>
        <w:pStyle w:val="17"/>
        <w:rPr>
          <w:rFonts w:hint="default" w:ascii="Times New Roman" w:hAnsi="Times New Roman" w:eastAsia="黑体" w:cs="Times New Roman"/>
          <w:color w:val="auto"/>
          <w:sz w:val="40"/>
          <w:szCs w:val="40"/>
          <w:highlight w:val="none"/>
        </w:rPr>
      </w:pPr>
    </w:p>
    <w:p w14:paraId="5BC75F62">
      <w:pPr>
        <w:pStyle w:val="17"/>
        <w:rPr>
          <w:rFonts w:hint="default" w:ascii="Times New Roman" w:hAnsi="Times New Roman" w:eastAsia="黑体" w:cs="Times New Roman"/>
          <w:color w:val="auto"/>
          <w:sz w:val="40"/>
          <w:szCs w:val="40"/>
          <w:highlight w:val="none"/>
        </w:rPr>
      </w:pPr>
    </w:p>
    <w:p w14:paraId="4F562A40">
      <w:pPr>
        <w:pStyle w:val="17"/>
        <w:rPr>
          <w:rFonts w:hint="default" w:ascii="Times New Roman" w:hAnsi="Times New Roman" w:eastAsia="黑体" w:cs="Times New Roman"/>
          <w:color w:val="auto"/>
          <w:sz w:val="40"/>
          <w:szCs w:val="40"/>
          <w:highlight w:val="none"/>
        </w:rPr>
      </w:pPr>
    </w:p>
    <w:p w14:paraId="31030679">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0FDE6541">
      <w:pPr>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黑体" w:cs="Times New Roman"/>
          <w:b w:val="0"/>
          <w:color w:val="auto"/>
          <w:sz w:val="72"/>
          <w:szCs w:val="72"/>
          <w:highlight w:val="none"/>
        </w:rPr>
      </w:pPr>
      <w:bookmarkStart w:id="1712" w:name="_Toc11826"/>
      <w:bookmarkStart w:id="1713" w:name="_Toc9419"/>
      <w:bookmarkStart w:id="1714" w:name="_Toc25715"/>
      <w:r>
        <w:rPr>
          <w:rFonts w:hint="default" w:ascii="Times New Roman" w:hAnsi="Times New Roman" w:eastAsia="黑体" w:cs="Times New Roman"/>
          <w:b w:val="0"/>
          <w:color w:val="auto"/>
          <w:sz w:val="72"/>
          <w:szCs w:val="72"/>
          <w:highlight w:val="none"/>
        </w:rPr>
        <w:t>投  标  文  件</w:t>
      </w:r>
      <w:bookmarkEnd w:id="1712"/>
      <w:bookmarkEnd w:id="1713"/>
      <w:bookmarkEnd w:id="1714"/>
    </w:p>
    <w:p w14:paraId="6032928A">
      <w:pPr>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黑体" w:cs="Times New Roman"/>
          <w:b w:val="0"/>
          <w:color w:val="auto"/>
          <w:sz w:val="30"/>
          <w:szCs w:val="30"/>
          <w:highlight w:val="none"/>
        </w:rPr>
      </w:pPr>
      <w:bookmarkStart w:id="1715" w:name="_Toc16866"/>
      <w:bookmarkStart w:id="1716" w:name="_Toc7412"/>
      <w:bookmarkStart w:id="1717" w:name="_Toc5781"/>
      <w:bookmarkStart w:id="1718" w:name="_Toc17899"/>
      <w:r>
        <w:rPr>
          <w:rFonts w:hint="default" w:ascii="Times New Roman" w:hAnsi="Times New Roman" w:eastAsia="黑体" w:cs="Times New Roman"/>
          <w:b w:val="0"/>
          <w:color w:val="auto"/>
          <w:sz w:val="32"/>
          <w:szCs w:val="32"/>
          <w:highlight w:val="none"/>
        </w:rPr>
        <w:t>（</w:t>
      </w:r>
      <w:r>
        <w:rPr>
          <w:rFonts w:hint="default" w:ascii="Times New Roman" w:hAnsi="Times New Roman" w:eastAsia="黑体" w:cs="Times New Roman"/>
          <w:b w:val="0"/>
          <w:color w:val="auto"/>
          <w:sz w:val="32"/>
          <w:szCs w:val="32"/>
          <w:highlight w:val="none"/>
          <w:lang w:val="en-US" w:eastAsia="zh-CN"/>
        </w:rPr>
        <w:t>第二个信封</w:t>
      </w:r>
      <w:r>
        <w:rPr>
          <w:rFonts w:hint="default" w:ascii="Times New Roman" w:hAnsi="Times New Roman" w:cs="Times New Roman"/>
          <w:b w:val="0"/>
          <w:color w:val="auto"/>
          <w:sz w:val="32"/>
          <w:szCs w:val="32"/>
          <w:highlight w:val="none"/>
          <w:lang w:val="en-US" w:eastAsia="zh-CN"/>
        </w:rPr>
        <w:t xml:space="preserve"> </w:t>
      </w:r>
      <w:r>
        <w:rPr>
          <w:rFonts w:hint="default" w:ascii="Times New Roman" w:hAnsi="Times New Roman" w:eastAsia="黑体" w:cs="Times New Roman"/>
          <w:b w:val="0"/>
          <w:color w:val="auto"/>
          <w:sz w:val="32"/>
          <w:szCs w:val="32"/>
          <w:highlight w:val="none"/>
        </w:rPr>
        <w:t>报价文件）</w:t>
      </w:r>
      <w:bookmarkEnd w:id="1715"/>
      <w:bookmarkEnd w:id="1716"/>
      <w:bookmarkEnd w:id="1717"/>
      <w:bookmarkEnd w:id="1718"/>
    </w:p>
    <w:p w14:paraId="097DD9D8">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2B817389">
      <w:pPr>
        <w:pageBreakBefore w:val="0"/>
        <w:kinsoku/>
        <w:wordWrap w:val="0"/>
        <w:bidi w:val="0"/>
        <w:spacing w:line="440" w:lineRule="exact"/>
        <w:jc w:val="center"/>
        <w:rPr>
          <w:rFonts w:hint="default" w:ascii="Times New Roman" w:hAnsi="Times New Roman" w:eastAsia="黑体" w:cs="Times New Roman"/>
          <w:color w:val="auto"/>
          <w:sz w:val="36"/>
          <w:szCs w:val="36"/>
          <w:highlight w:val="none"/>
        </w:rPr>
      </w:pPr>
    </w:p>
    <w:p w14:paraId="1395442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2B3B85F">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60C942C">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38864E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591059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2E920C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AF72E17">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151A7C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CA0FD60">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投标人：</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eastAsia="zh-CN"/>
        </w:rPr>
        <w:t>盖单位电子印章</w:t>
      </w:r>
      <w:r>
        <w:rPr>
          <w:rFonts w:hint="default" w:ascii="Times New Roman" w:hAnsi="Times New Roman" w:eastAsia="黑体" w:cs="Times New Roman"/>
          <w:color w:val="auto"/>
          <w:sz w:val="28"/>
          <w:szCs w:val="28"/>
          <w:highlight w:val="none"/>
        </w:rPr>
        <w:t>）</w:t>
      </w:r>
    </w:p>
    <w:p w14:paraId="4EAD2FD9">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5A7015B7">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p>
    <w:p w14:paraId="79EBB00F">
      <w:pPr>
        <w:pageBreakBefore w:val="0"/>
        <w:kinsoku/>
        <w:wordWrap w:val="0"/>
        <w:bidi w:val="0"/>
        <w:spacing w:line="440" w:lineRule="exact"/>
        <w:ind w:firstLine="140" w:firstLineChars="5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br w:type="page"/>
      </w:r>
    </w:p>
    <w:p w14:paraId="3C62150A">
      <w:pPr>
        <w:pageBreakBefore w:val="0"/>
        <w:kinsoku/>
        <w:wordWrap w:val="0"/>
        <w:bidi w:val="0"/>
        <w:spacing w:line="440" w:lineRule="exact"/>
        <w:ind w:firstLine="151" w:firstLineChars="50"/>
        <w:jc w:val="center"/>
        <w:rPr>
          <w:rFonts w:hint="default" w:ascii="Times New Roman" w:hAnsi="Times New Roman" w:eastAsia="黑体" w:cs="Times New Roman"/>
          <w:b/>
          <w:color w:val="auto"/>
          <w:sz w:val="30"/>
          <w:szCs w:val="30"/>
          <w:highlight w:val="none"/>
        </w:rPr>
      </w:pPr>
      <w:r>
        <w:rPr>
          <w:rFonts w:hint="default" w:ascii="Times New Roman" w:hAnsi="Times New Roman" w:eastAsia="黑体" w:cs="Times New Roman"/>
          <w:b/>
          <w:color w:val="auto"/>
          <w:sz w:val="30"/>
          <w:szCs w:val="30"/>
          <w:highlight w:val="none"/>
        </w:rPr>
        <w:t>目     录</w:t>
      </w:r>
    </w:p>
    <w:p w14:paraId="00A3BBB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FE6B48E">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一、投标函</w:t>
      </w:r>
    </w:p>
    <w:p w14:paraId="1BD1203D">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二、已标价工程量清单</w:t>
      </w:r>
    </w:p>
    <w:p w14:paraId="0BB267B4">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三、合同用款估算表</w:t>
      </w:r>
    </w:p>
    <w:p w14:paraId="556EE978">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p>
    <w:p w14:paraId="30EF80FE">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pPr>
    </w:p>
    <w:p w14:paraId="74AD206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2BD1DB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7B0FD10">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F60BAB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6AA6AC7">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1211FA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0A25FFD2">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446043F">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298824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3853A2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EA42C5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B86632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AB9FDEB">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119E5AA2">
      <w:pPr>
        <w:pStyle w:val="7"/>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bookmarkStart w:id="1719" w:name="_Toc13802"/>
      <w:bookmarkStart w:id="1720" w:name="_Toc29275"/>
      <w:r>
        <w:rPr>
          <w:rFonts w:hint="default" w:ascii="Times New Roman" w:hAnsi="Times New Roman" w:eastAsia="黑体" w:cs="Times New Roman"/>
          <w:b w:val="0"/>
          <w:i w:val="0"/>
          <w:iCs/>
          <w:color w:val="auto"/>
          <w:sz w:val="30"/>
          <w:szCs w:val="30"/>
          <w:highlight w:val="none"/>
          <w:lang w:val="en-US" w:eastAsia="zh-CN"/>
        </w:rPr>
        <w:t>一、投标函</w:t>
      </w:r>
      <w:bookmarkEnd w:id="1719"/>
      <w:bookmarkEnd w:id="1720"/>
    </w:p>
    <w:p w14:paraId="771C97C9">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color w:val="auto"/>
          <w:sz w:val="28"/>
          <w:szCs w:val="28"/>
          <w:highlight w:val="none"/>
        </w:rPr>
      </w:pPr>
    </w:p>
    <w:p w14:paraId="61401791">
      <w:pPr>
        <w:pageBreakBefore w:val="0"/>
        <w:kinsoku/>
        <w:wordWrap w:val="0"/>
        <w:bidi w:val="0"/>
        <w:spacing w:before="240" w:beforeLines="100" w:after="120" w:afterLines="50"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14:paraId="128A8AF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1．我方已仔细研究</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标段名称</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施工招标文件的全部内容（含补遗书第___号至第___号），在考察工程现场后，愿意以人民币（大写）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）的投标总报价（或根据招标文件规定修正核实后确定的另一金额，其中，增值税税率为</w:t>
      </w:r>
      <w:r>
        <w:rPr>
          <w:rFonts w:hint="default" w:ascii="Times New Roman" w:hAnsi="Times New Roman" w:eastAsia="黑体" w:cs="Times New Roman"/>
          <w:color w:val="auto"/>
          <w:sz w:val="24"/>
          <w:highlight w:val="none"/>
          <w:u w:val="single"/>
        </w:rPr>
        <w:t xml:space="preserve">         </w:t>
      </w:r>
      <w:r>
        <w:rPr>
          <w:rFonts w:hint="default" w:ascii="Times New Roman" w:hAnsi="Times New Roman" w:cs="Times New Roman"/>
          <w:color w:val="auto"/>
          <w:sz w:val="24"/>
          <w:highlight w:val="none"/>
        </w:rPr>
        <w:t>），按合同约定实施和完成承包工程，修补工程中的任何缺陷。</w:t>
      </w:r>
    </w:p>
    <w:p w14:paraId="33658B7E">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2．在合同协议书正式签署生效之前，本投标函连同你方的中标通知书将构成我们双方之间共同遵守的文件，对双方具有约束力。</w:t>
      </w:r>
    </w:p>
    <w:p w14:paraId="46762920">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（其他补充说明）。</w:t>
      </w:r>
    </w:p>
    <w:p w14:paraId="6C124E34">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p>
    <w:p w14:paraId="7664129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 标 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w:t>
      </w:r>
      <w:r>
        <w:rPr>
          <w:rFonts w:hint="default" w:ascii="Times New Roman" w:hAnsi="Times New Roman" w:cs="Times New Roman"/>
          <w:color w:val="auto"/>
          <w:sz w:val="24"/>
          <w:highlight w:val="none"/>
          <w:lang w:val="en-US" w:eastAsia="zh-CN"/>
        </w:rPr>
        <w:t>电子印</w:t>
      </w:r>
      <w:r>
        <w:rPr>
          <w:rFonts w:hint="default" w:ascii="Times New Roman" w:hAnsi="Times New Roman" w:cs="Times New Roman"/>
          <w:color w:val="auto"/>
          <w:sz w:val="24"/>
          <w:highlight w:val="none"/>
        </w:rPr>
        <w:t>章）</w:t>
      </w:r>
    </w:p>
    <w:p w14:paraId="5E1EE1A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5B50E215">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95F6DB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    址：</w:t>
      </w:r>
      <w:r>
        <w:rPr>
          <w:rFonts w:hint="default" w:ascii="Times New Roman" w:hAnsi="Times New Roman" w:cs="Times New Roman"/>
          <w:color w:val="auto"/>
          <w:sz w:val="24"/>
          <w:highlight w:val="none"/>
          <w:u w:val="single"/>
        </w:rPr>
        <w:t xml:space="preserve">                                     </w:t>
      </w:r>
    </w:p>
    <w:p w14:paraId="447D01E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AC492D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3B91F3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p>
    <w:p w14:paraId="5FE9300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p>
    <w:p w14:paraId="075FDBE0">
      <w:pPr>
        <w:pageBreakBefore w:val="0"/>
        <w:kinsoku/>
        <w:wordWrap w:val="0"/>
        <w:bidi w:val="0"/>
        <w:spacing w:line="400" w:lineRule="atLeas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rPr>
        <w:br w:type="page"/>
      </w:r>
    </w:p>
    <w:p w14:paraId="742C64CD">
      <w:pPr>
        <w:pStyle w:val="7"/>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bookmarkStart w:id="1721" w:name="_Toc27163"/>
      <w:bookmarkStart w:id="1722" w:name="_Toc234833263"/>
      <w:bookmarkStart w:id="1723" w:name="_Toc14806"/>
      <w:r>
        <w:rPr>
          <w:rFonts w:hint="default" w:ascii="Times New Roman" w:hAnsi="Times New Roman" w:eastAsia="黑体" w:cs="Times New Roman"/>
          <w:b w:val="0"/>
          <w:i w:val="0"/>
          <w:iCs/>
          <w:color w:val="auto"/>
          <w:sz w:val="30"/>
          <w:szCs w:val="30"/>
          <w:highlight w:val="none"/>
          <w:lang w:val="en-US" w:eastAsia="zh-CN"/>
        </w:rPr>
        <w:t>二、已标价工程量清单</w:t>
      </w:r>
      <w:bookmarkEnd w:id="1721"/>
      <w:bookmarkEnd w:id="1722"/>
      <w:bookmarkEnd w:id="1723"/>
    </w:p>
    <w:p w14:paraId="68DC620E">
      <w:pPr>
        <w:pageBreakBefore w:val="0"/>
        <w:kinsoku/>
        <w:wordWrap w:val="0"/>
        <w:bidi w:val="0"/>
        <w:spacing w:line="440" w:lineRule="exact"/>
        <w:rPr>
          <w:rFonts w:hint="default" w:ascii="Times New Roman" w:hAnsi="Times New Roman" w:eastAsia="黑体" w:cs="Times New Roman"/>
          <w:color w:val="auto"/>
          <w:sz w:val="24"/>
          <w:highlight w:val="none"/>
        </w:rPr>
      </w:pPr>
    </w:p>
    <w:p w14:paraId="17B6CB31">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投标人应按照第五章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工程量清单</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的要求逐项填报工程量清单，包括工程量清单说明、投标报价说明、计日工说明、其他说明及工程量清单各项表格（工程量清单表5.1～表5.5）。</w:t>
      </w:r>
    </w:p>
    <w:p w14:paraId="65627B0A">
      <w:pPr>
        <w:pStyle w:val="7"/>
        <w:pageBreakBefore w:val="0"/>
        <w:kinsoku/>
        <w:wordWrap w:val="0"/>
        <w:bidi w:val="0"/>
        <w:spacing w:before="0" w:after="0" w:line="400" w:lineRule="atLeast"/>
        <w:jc w:val="center"/>
        <w:outlineLvl w:val="3"/>
        <w:rPr>
          <w:rFonts w:hint="default" w:ascii="Times New Roman" w:hAnsi="Times New Roman" w:eastAsia="黑体" w:cs="Times New Roman"/>
          <w:b w:val="0"/>
          <w:color w:val="auto"/>
          <w:sz w:val="28"/>
          <w:szCs w:val="28"/>
          <w:highlight w:val="none"/>
        </w:rPr>
      </w:pPr>
      <w:r>
        <w:rPr>
          <w:rFonts w:hint="default" w:ascii="Times New Roman" w:hAnsi="Times New Roman" w:eastAsia="黑体" w:cs="Times New Roman"/>
          <w:color w:val="auto"/>
          <w:sz w:val="24"/>
          <w:highlight w:val="none"/>
        </w:rPr>
        <w:br w:type="page"/>
      </w:r>
      <w:bookmarkStart w:id="1724" w:name="_Toc234833274"/>
      <w:bookmarkStart w:id="1725" w:name="_Toc6563"/>
      <w:bookmarkStart w:id="1726" w:name="_Toc933"/>
      <w:r>
        <w:rPr>
          <w:rFonts w:hint="default" w:ascii="Times New Roman" w:hAnsi="Times New Roman" w:eastAsia="黑体" w:cs="Times New Roman"/>
          <w:b w:val="0"/>
          <w:i w:val="0"/>
          <w:iCs/>
          <w:color w:val="auto"/>
          <w:sz w:val="30"/>
          <w:szCs w:val="30"/>
          <w:highlight w:val="none"/>
          <w:lang w:val="en-US" w:eastAsia="zh-CN"/>
        </w:rPr>
        <w:t>三、合同用款估算表</w:t>
      </w:r>
      <w:bookmarkEnd w:id="1724"/>
      <w:bookmarkEnd w:id="1725"/>
      <w:bookmarkEnd w:id="1726"/>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681E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6AE6014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从开工月算起的时间</w:t>
            </w:r>
          </w:p>
          <w:p w14:paraId="3F9D4C6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（月）</w:t>
            </w:r>
          </w:p>
        </w:tc>
        <w:tc>
          <w:tcPr>
            <w:tcW w:w="6191" w:type="dxa"/>
            <w:gridSpan w:val="4"/>
            <w:tcBorders>
              <w:left w:val="single" w:color="auto" w:sz="6" w:space="0"/>
            </w:tcBorders>
            <w:noWrap w:val="0"/>
            <w:vAlign w:val="center"/>
          </w:tcPr>
          <w:p w14:paraId="3B18F62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投标人的估算</w:t>
            </w:r>
          </w:p>
        </w:tc>
      </w:tr>
      <w:tr w14:paraId="2B9E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285554E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7E5AA6A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     期</w:t>
            </w:r>
          </w:p>
        </w:tc>
        <w:tc>
          <w:tcPr>
            <w:tcW w:w="3096" w:type="dxa"/>
            <w:gridSpan w:val="2"/>
            <w:tcBorders>
              <w:left w:val="single" w:color="auto" w:sz="6" w:space="0"/>
            </w:tcBorders>
            <w:noWrap w:val="0"/>
            <w:vAlign w:val="center"/>
          </w:tcPr>
          <w:p w14:paraId="1D6340D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累     计</w:t>
            </w:r>
          </w:p>
        </w:tc>
      </w:tr>
      <w:tr w14:paraId="5A211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4A3CBC1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7" w:type="dxa"/>
            <w:tcBorders>
              <w:top w:val="single" w:color="auto" w:sz="6" w:space="0"/>
              <w:left w:val="single" w:color="auto" w:sz="6" w:space="0"/>
            </w:tcBorders>
            <w:noWrap w:val="0"/>
            <w:vAlign w:val="center"/>
          </w:tcPr>
          <w:p w14:paraId="46A34D7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金额（元）</w:t>
            </w:r>
          </w:p>
        </w:tc>
        <w:tc>
          <w:tcPr>
            <w:tcW w:w="1548" w:type="dxa"/>
            <w:tcBorders>
              <w:top w:val="single" w:color="auto" w:sz="6" w:space="0"/>
            </w:tcBorders>
            <w:noWrap w:val="0"/>
            <w:vAlign w:val="center"/>
          </w:tcPr>
          <w:p w14:paraId="127746F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548" w:type="dxa"/>
            <w:noWrap w:val="0"/>
            <w:vAlign w:val="center"/>
          </w:tcPr>
          <w:p w14:paraId="236ACDC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金额（元）</w:t>
            </w:r>
          </w:p>
        </w:tc>
        <w:tc>
          <w:tcPr>
            <w:tcW w:w="1548" w:type="dxa"/>
            <w:noWrap w:val="0"/>
            <w:vAlign w:val="center"/>
          </w:tcPr>
          <w:p w14:paraId="35DB3DA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5560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93698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第一次开工预付款</w:t>
            </w:r>
          </w:p>
        </w:tc>
        <w:tc>
          <w:tcPr>
            <w:tcW w:w="1547" w:type="dxa"/>
            <w:noWrap w:val="0"/>
            <w:vAlign w:val="center"/>
          </w:tcPr>
          <w:p w14:paraId="46E76C0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62AED2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4925E72">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1ADB34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16EE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3F6907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 3</w:t>
            </w:r>
          </w:p>
        </w:tc>
        <w:tc>
          <w:tcPr>
            <w:tcW w:w="1547" w:type="dxa"/>
            <w:noWrap w:val="0"/>
            <w:vAlign w:val="center"/>
          </w:tcPr>
          <w:p w14:paraId="30739B4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23583E9">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A9B46A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7045E702">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6FCD2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56AE5D8D">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 6</w:t>
            </w:r>
          </w:p>
        </w:tc>
        <w:tc>
          <w:tcPr>
            <w:tcW w:w="1547" w:type="dxa"/>
            <w:noWrap w:val="0"/>
            <w:vAlign w:val="center"/>
          </w:tcPr>
          <w:p w14:paraId="6E9D7B5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27273C9">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6A5012B">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10B22DF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3B9A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7F11246">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 ~ 9</w:t>
            </w:r>
          </w:p>
        </w:tc>
        <w:tc>
          <w:tcPr>
            <w:tcW w:w="1547" w:type="dxa"/>
            <w:noWrap w:val="0"/>
            <w:vAlign w:val="center"/>
          </w:tcPr>
          <w:p w14:paraId="6D6DAE8B">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42686F9">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A37BB9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190E73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4C1DE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66A2CC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 ~ 12</w:t>
            </w:r>
          </w:p>
        </w:tc>
        <w:tc>
          <w:tcPr>
            <w:tcW w:w="1547" w:type="dxa"/>
            <w:noWrap w:val="0"/>
            <w:vAlign w:val="center"/>
          </w:tcPr>
          <w:p w14:paraId="2EFC47A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1BD25E6">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5FE05E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1633EC3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3AFB8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709408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 ~ 15</w:t>
            </w:r>
          </w:p>
        </w:tc>
        <w:tc>
          <w:tcPr>
            <w:tcW w:w="1547" w:type="dxa"/>
            <w:noWrap w:val="0"/>
            <w:vAlign w:val="center"/>
          </w:tcPr>
          <w:p w14:paraId="50E2F30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A867FCB">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0484D6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C121E1D">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2079E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7B3839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547" w:type="dxa"/>
            <w:noWrap w:val="0"/>
            <w:vAlign w:val="center"/>
          </w:tcPr>
          <w:p w14:paraId="043B159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61DD94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DF4141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19D5C8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0D62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36FE7C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547" w:type="dxa"/>
            <w:noWrap w:val="0"/>
            <w:vAlign w:val="center"/>
          </w:tcPr>
          <w:p w14:paraId="49D093B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A3F7AA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F494CF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90156C2">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34D5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763E9D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7" w:type="dxa"/>
            <w:noWrap w:val="0"/>
            <w:vAlign w:val="center"/>
          </w:tcPr>
          <w:p w14:paraId="508F830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B0E6AF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05BE90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078C82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12A5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5A6046E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缺陷责任期</w:t>
            </w:r>
          </w:p>
        </w:tc>
        <w:tc>
          <w:tcPr>
            <w:tcW w:w="1547" w:type="dxa"/>
            <w:noWrap w:val="0"/>
            <w:vAlign w:val="center"/>
          </w:tcPr>
          <w:p w14:paraId="3A853F3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60CEE8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EC728C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15144A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1E02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94F05B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      计</w:t>
            </w:r>
          </w:p>
        </w:tc>
        <w:tc>
          <w:tcPr>
            <w:tcW w:w="1547" w:type="dxa"/>
            <w:noWrap w:val="0"/>
            <w:vAlign w:val="center"/>
          </w:tcPr>
          <w:p w14:paraId="5806435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545B836">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100.00</w:t>
            </w:r>
          </w:p>
        </w:tc>
        <w:tc>
          <w:tcPr>
            <w:tcW w:w="1548" w:type="dxa"/>
            <w:noWrap w:val="0"/>
            <w:vAlign w:val="center"/>
          </w:tcPr>
          <w:p w14:paraId="1BAEDCD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761CC93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46D7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5A1EE5CF">
            <w:pPr>
              <w:pStyle w:val="27"/>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投标价：</w:t>
            </w:r>
          </w:p>
        </w:tc>
      </w:tr>
      <w:tr w14:paraId="2351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7206FEE7">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w:t>
            </w:r>
          </w:p>
          <w:p w14:paraId="4B8C6A6B">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5CC778FE">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1D1CD059">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1BFD0E30">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明</w:t>
            </w:r>
          </w:p>
        </w:tc>
        <w:tc>
          <w:tcPr>
            <w:tcW w:w="8216" w:type="dxa"/>
            <w:gridSpan w:val="5"/>
            <w:noWrap w:val="0"/>
            <w:vAlign w:val="center"/>
          </w:tcPr>
          <w:p w14:paraId="11190B4C">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409475BA">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4A506443">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tc>
      </w:tr>
    </w:tbl>
    <w:p w14:paraId="01BA134E">
      <w:pPr>
        <w:pStyle w:val="81"/>
        <w:pageBreakBefore w:val="0"/>
        <w:kinsoku/>
        <w:wordWrap w:val="0"/>
        <w:bidi w:val="0"/>
        <w:snapToGrid w:val="0"/>
        <w:spacing w:before="0" w:after="0" w:line="400" w:lineRule="atLeast"/>
        <w:jc w:val="center"/>
        <w:rPr>
          <w:rFonts w:hint="default" w:ascii="Times New Roman" w:hAnsi="Times New Roman" w:cs="Times New Roman"/>
          <w:b w:val="0"/>
          <w:color w:val="auto"/>
          <w:highlight w:val="none"/>
        </w:rPr>
      </w:pPr>
    </w:p>
    <w:p w14:paraId="62D94483">
      <w:pPr>
        <w:pageBreakBefore w:val="0"/>
        <w:kinsoku/>
        <w:wordWrap w:val="0"/>
        <w:bidi w:val="0"/>
        <w:snapToGrid w:val="0"/>
        <w:spacing w:line="340" w:lineRule="atLeast"/>
        <w:ind w:left="894" w:leftChars="100" w:hanging="684" w:hangingChars="32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注：1.投标人可按工程进度估算并填写本表。</w:t>
      </w:r>
    </w:p>
    <w:p w14:paraId="69862944">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color w:val="auto"/>
          <w:szCs w:val="21"/>
          <w:highlight w:val="none"/>
        </w:rPr>
      </w:pPr>
      <w:r>
        <w:rPr>
          <w:rFonts w:hint="default" w:ascii="Times New Roman" w:hAnsi="Times New Roman" w:cs="Times New Roman"/>
          <w:color w:val="auto"/>
          <w:szCs w:val="21"/>
          <w:highlight w:val="none"/>
        </w:rPr>
        <w:t>2.用款额按所报单价和总额价估算，不包括价格调整和暂列金额、暂估价，但应考虑开工预付款的扣回以及签发付款证书后到实际支付的时间间隔。</w:t>
      </w:r>
    </w:p>
    <w:p w14:paraId="74ED0CFC">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5373263-68D1-4896-AC1D-30BC0B81A651}"/>
  </w:font>
  <w:font w:name="黑体">
    <w:panose1 w:val="02010609060101010101"/>
    <w:charset w:val="86"/>
    <w:family w:val="auto"/>
    <w:pitch w:val="default"/>
    <w:sig w:usb0="800002BF" w:usb1="38CF7CFA" w:usb2="00000016" w:usb3="00000000" w:csb0="00040001" w:csb1="00000000"/>
    <w:embedRegular r:id="rId2" w:fontKey="{83D82021-71EF-43DA-926A-D23540A7FF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45D07476-2FB5-4B4A-9CA1-E9EE4FB65575}"/>
  </w:font>
  <w:font w:name="Calibri">
    <w:panose1 w:val="020F0502020204030204"/>
    <w:charset w:val="00"/>
    <w:family w:val="swiss"/>
    <w:pitch w:val="default"/>
    <w:sig w:usb0="E10002FF" w:usb1="4000ACFF" w:usb2="00000009" w:usb3="00000000" w:csb0="2000019F" w:csb1="00000000"/>
    <w:embedRegular r:id="rId4" w:fontKey="{31C1C1CF-6898-49B4-AA49-65EC5AFD776F}"/>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6E0F2BE8-2F1F-4A18-B0D5-A6D085AA25D5}"/>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6" w:fontKey="{EB935972-1240-4A05-8A15-7A6CBBF619BB}"/>
  </w:font>
  <w:font w:name="MS Gothic">
    <w:panose1 w:val="020B0609070205080204"/>
    <w:charset w:val="80"/>
    <w:family w:val="modern"/>
    <w:pitch w:val="default"/>
    <w:sig w:usb0="E00002FF" w:usb1="6AC7FDFB" w:usb2="00000012" w:usb3="00000000" w:csb0="4002009F" w:csb1="DFD70000"/>
    <w:embedRegular r:id="rId7" w:fontKey="{564573AA-AFD9-4C0A-9332-E916A9297725}"/>
  </w:font>
  <w:font w:name="宋体-18030">
    <w:altName w:val="宋体"/>
    <w:panose1 w:val="00000000000000000000"/>
    <w:charset w:val="86"/>
    <w:family w:val="modern"/>
    <w:pitch w:val="default"/>
    <w:sig w:usb0="00000000" w:usb1="00000000" w:usb2="000A005E" w:usb3="00000000" w:csb0="00040001" w:csb1="00000000"/>
    <w:embedRegular r:id="rId8" w:fontKey="{81D609F9-9935-487B-ACED-F7CD525A4BD6}"/>
  </w:font>
  <w:font w:name="隶书">
    <w:panose1 w:val="02010509060101010101"/>
    <w:charset w:val="86"/>
    <w:family w:val="modern"/>
    <w:pitch w:val="default"/>
    <w:sig w:usb0="00000001" w:usb1="080E0000" w:usb2="00000000" w:usb3="00000000" w:csb0="00040000" w:csb1="00000000"/>
    <w:embedRegular r:id="rId9" w:fontKey="{867161C6-7F4C-498E-BDDA-271C5E3FD81C}"/>
  </w:font>
  <w:font w:name="华文隶书">
    <w:panose1 w:val="02010800040101010101"/>
    <w:charset w:val="86"/>
    <w:family w:val="auto"/>
    <w:pitch w:val="default"/>
    <w:sig w:usb0="00000001" w:usb1="080F0000" w:usb2="00000000" w:usb3="00000000" w:csb0="00040000" w:csb1="00000000"/>
    <w:embedRegular r:id="rId10" w:fontKey="{0F293B34-D632-4EA1-9BE3-2E5003D5D8E9}"/>
  </w:font>
  <w:font w:name="宋体 ，Arial">
    <w:altName w:val="宋体"/>
    <w:panose1 w:val="00000000000000000000"/>
    <w:charset w:val="86"/>
    <w:family w:val="roman"/>
    <w:pitch w:val="default"/>
    <w:sig w:usb0="00000000" w:usb1="00000000" w:usb2="00000010" w:usb3="00000000" w:csb0="00040000" w:csb1="00000000"/>
    <w:embedRegular r:id="rId11" w:fontKey="{3A144F71-EC83-4125-B3BD-0DBE4CE752BD}"/>
  </w:font>
  <w:font w:name="Roman">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embedRegular r:id="rId12" w:fontKey="{1B30026E-60A4-4B96-B3B7-A5D295C6394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PSEMBED10">
    <w:panose1 w:val="05020102010507070707"/>
    <w:charset w:val="00"/>
    <w:family w:val="auto"/>
    <w:pitch w:val="default"/>
    <w:sig w:usb0="00000000" w:usb1="00000000" w:usb2="00000000" w:usb3="00000000" w:csb0="80000000" w:csb1="00000000"/>
  </w:font>
  <w:font w:name="WPSEMBED7">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 w:name="WPSEMBED8">
    <w:panose1 w:val="02010509060101010101"/>
    <w:charset w:val="86"/>
    <w:family w:val="auto"/>
    <w:pitch w:val="default"/>
    <w:sig w:usb0="00000001" w:usb1="080E0000" w:usb2="00000000" w:usb3="00000000" w:csb0="00040000" w:csb1="00000000"/>
  </w:font>
  <w:font w:name="WPSEMBED9">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FBF9">
    <w:pPr>
      <w:pStyle w:val="27"/>
      <w:spacing w:line="240" w:lineRule="exact"/>
      <w:ind w:right="360" w:firstLine="360"/>
      <w:rPr>
        <w:rFonts w:hint="eastAsia" w:eastAsia="黑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9338">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15ED6">
                          <w:pPr>
                            <w:pStyle w:val="2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C15ED6">
                    <w:pPr>
                      <w:pStyle w:val="2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CBA98">
    <w:pPr>
      <w:pStyle w:val="27"/>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E9468">
                          <w:pPr>
                            <w:pStyle w:val="2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E4E9468">
                    <w:pPr>
                      <w:pStyle w:val="2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118D">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4BD28">
                          <w:pPr>
                            <w:pStyle w:val="2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64BD28">
                    <w:pPr>
                      <w:pStyle w:val="2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07AD">
    <w:pPr>
      <w:pStyle w:val="27"/>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B4DAB">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AB4DAB">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6318">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F07D2">
                          <w:pPr>
                            <w:pStyle w:val="2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FF07D2">
                    <w:pPr>
                      <w:pStyle w:val="2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8F6A">
    <w:pPr>
      <w:pStyle w:val="2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D8067">
                          <w:pPr>
                            <w:pStyle w:val="27"/>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9BD8067">
                    <w:pPr>
                      <w:pStyle w:val="27"/>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9672">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D8D01">
                          <w:pPr>
                            <w:pStyle w:val="2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D8D01">
                    <w:pPr>
                      <w:pStyle w:val="2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9212">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36A48">
                          <w:pPr>
                            <w:pStyle w:val="27"/>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3E36A48">
                    <w:pPr>
                      <w:pStyle w:val="27"/>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B78D">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AC9C8">
                          <w:pPr>
                            <w:pStyle w:val="27"/>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45AC9C8">
                    <w:pPr>
                      <w:pStyle w:val="27"/>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1572">
    <w:pPr>
      <w:pStyle w:val="27"/>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267A2">
                          <w:pPr>
                            <w:pStyle w:val="27"/>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13267A2">
                    <w:pPr>
                      <w:pStyle w:val="27"/>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90BB">
    <w:pPr>
      <w:pStyle w:val="27"/>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75E2">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72D60">
                          <w:pPr>
                            <w:pStyle w:val="27"/>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0572D60">
                    <w:pPr>
                      <w:pStyle w:val="27"/>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B96A">
    <w:pPr>
      <w:pStyle w:val="27"/>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78E79">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D078E79">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FB24">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C9E0E">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3C9E0E">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AA99">
    <w:pPr>
      <w:pStyle w:val="2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51484">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B851484">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1736">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F459C">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4F459C">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716B">
    <w:pPr>
      <w:pStyle w:val="2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04D18">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7D04D18">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C96B">
    <w:pPr>
      <w:pStyle w:val="27"/>
      <w:rPr>
        <w:rStyle w:val="4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1E243">
                          <w:pPr>
                            <w:pStyle w:val="2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B1E243">
                    <w:pPr>
                      <w:pStyle w:val="27"/>
                    </w:pPr>
                    <w:r>
                      <w:fldChar w:fldCharType="begin"/>
                    </w:r>
                    <w:r>
                      <w:instrText xml:space="preserve"> PAGE  \* MERGEFORMAT </w:instrText>
                    </w:r>
                    <w:r>
                      <w:fldChar w:fldCharType="separate"/>
                    </w:r>
                    <w:r>
                      <w:t>8</w:t>
                    </w:r>
                    <w:r>
                      <w:fldChar w:fldCharType="end"/>
                    </w:r>
                  </w:p>
                </w:txbxContent>
              </v:textbox>
            </v:shape>
          </w:pict>
        </mc:Fallback>
      </mc:AlternateContent>
    </w:r>
  </w:p>
  <w:p w14:paraId="0C974E7F">
    <w:pPr>
      <w:pStyle w:val="27"/>
      <w:spacing w:line="240" w:lineRule="exact"/>
      <w:ind w:right="360" w:firstLine="360"/>
      <w:jc w:val="center"/>
      <w:rPr>
        <w:rFonts w:hint="eastAsia" w:eastAsia="黑体"/>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A72B">
    <w:pPr>
      <w:pStyle w:val="27"/>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9538E">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BD9538E">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4">
    <w:p>
      <w:r>
        <w:separator/>
      </w:r>
    </w:p>
  </w:footnote>
  <w:footnote w:type="continuationSeparator" w:id="115">
    <w:p>
      <w:r>
        <w:continuationSeparator/>
      </w:r>
    </w:p>
  </w:footnote>
  <w:footnote w:id="0">
    <w:p w14:paraId="4E7EA012">
      <w:pPr>
        <w:pStyle w:val="31"/>
        <w:spacing w:line="280" w:lineRule="atLeast"/>
        <w:ind w:left="180" w:hanging="180" w:hangingChars="100"/>
        <w:rPr>
          <w:rFonts w:hint="eastAsia"/>
          <w:szCs w:val="18"/>
        </w:rPr>
      </w:pPr>
      <w:r>
        <w:rPr>
          <w:rStyle w:val="48"/>
          <w:szCs w:val="18"/>
        </w:rPr>
        <w:footnoteRef/>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49BB5295">
      <w:pPr>
        <w:pStyle w:val="31"/>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1">
    <w:p w14:paraId="19C8DCE5">
      <w:pPr>
        <w:pStyle w:val="31"/>
        <w:spacing w:line="280" w:lineRule="atLeast"/>
        <w:ind w:left="180" w:hanging="180" w:hangingChars="100"/>
        <w:rPr>
          <w:szCs w:val="18"/>
        </w:rPr>
      </w:pPr>
      <w:r>
        <w:rPr>
          <w:rStyle w:val="48"/>
          <w:szCs w:val="18"/>
        </w:rPr>
        <w:footnoteRef/>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2">
    <w:p w14:paraId="528E6346">
      <w:pPr>
        <w:pStyle w:val="31"/>
        <w:spacing w:line="280" w:lineRule="atLeast"/>
        <w:ind w:left="180" w:hanging="180" w:hangingChars="100"/>
        <w:rPr>
          <w:rFonts w:hint="eastAsia"/>
          <w:szCs w:val="18"/>
        </w:rPr>
      </w:pPr>
      <w:r>
        <w:rPr>
          <w:rStyle w:val="48"/>
          <w:szCs w:val="18"/>
        </w:rPr>
        <w:footnoteRef/>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3">
    <w:p w14:paraId="2E0AB82E">
      <w:pPr>
        <w:pStyle w:val="31"/>
        <w:spacing w:line="320" w:lineRule="atLeast"/>
        <w:ind w:left="180" w:hanging="210" w:hangingChars="100"/>
        <w:rPr>
          <w:rFonts w:hint="eastAsia"/>
          <w:szCs w:val="18"/>
        </w:rPr>
      </w:pPr>
      <w:r>
        <w:rPr>
          <w:rStyle w:val="48"/>
          <w:kern w:val="2"/>
          <w:sz w:val="21"/>
          <w:szCs w:val="18"/>
        </w:rPr>
        <w:footnoteRef/>
      </w:r>
      <w:r>
        <w:rPr>
          <w:rFonts w:hint="eastAsia"/>
          <w:szCs w:val="18"/>
        </w:rPr>
        <w:t>存在多个同一类型专业工程和同等资格条件要求标段的，应当采用随机分配投标标段方式。</w:t>
      </w:r>
    </w:p>
  </w:footnote>
  <w:footnote w:id="4">
    <w:p w14:paraId="38012840">
      <w:pPr>
        <w:pStyle w:val="31"/>
        <w:spacing w:line="320" w:lineRule="atLeast"/>
        <w:ind w:left="180" w:hanging="180" w:hangingChars="100"/>
        <w:rPr>
          <w:rFonts w:hint="eastAsia"/>
          <w:szCs w:val="18"/>
        </w:rPr>
      </w:pPr>
      <w:r>
        <w:rPr>
          <w:rStyle w:val="48"/>
          <w:szCs w:val="18"/>
        </w:rPr>
        <w:footnoteRef/>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5">
    <w:p w14:paraId="03848B5D">
      <w:pPr>
        <w:pStyle w:val="31"/>
        <w:snapToGrid/>
        <w:spacing w:line="320" w:lineRule="atLeast"/>
        <w:ind w:left="180" w:hanging="180" w:hangingChars="100"/>
        <w:rPr>
          <w:rFonts w:hint="eastAsia" w:eastAsia="宋体"/>
          <w:szCs w:val="18"/>
          <w:lang w:val="en-US" w:eastAsia="zh-CN"/>
        </w:rPr>
      </w:pPr>
      <w:r>
        <w:rPr>
          <w:rStyle w:val="48"/>
          <w:rFonts w:hint="eastAsia"/>
          <w:szCs w:val="18"/>
        </w:rPr>
        <w:footnoteRef/>
      </w:r>
      <w:r>
        <w:rPr>
          <w:rFonts w:hint="eastAsia"/>
          <w:szCs w:val="18"/>
          <w:lang w:val="en-US" w:eastAsia="zh-CN"/>
        </w:rPr>
        <w:t>根据《国务院办公厅关于创新完善体制机制推动招标投标市场规范健康发展的意见》（国办发〔2024〕21号）规定，招标人应结合项目特点和需求，明确定标规则。</w:t>
      </w:r>
    </w:p>
  </w:footnote>
  <w:footnote w:id="6">
    <w:p w14:paraId="16715B85">
      <w:pPr>
        <w:pStyle w:val="31"/>
        <w:spacing w:line="320" w:lineRule="atLeast"/>
        <w:ind w:left="180" w:right="-229" w:rightChars="-109" w:hanging="180" w:hangingChars="100"/>
        <w:rPr>
          <w:szCs w:val="18"/>
        </w:rPr>
      </w:pPr>
      <w:r>
        <w:rPr>
          <w:rStyle w:val="48"/>
          <w:szCs w:val="18"/>
        </w:rPr>
        <w:footnoteRef/>
      </w:r>
      <w:r>
        <w:rPr>
          <w:rFonts w:hint="eastAsia"/>
        </w:rPr>
        <w:t>招标人不得强制限定履约保证金必须采用现金或支票方式缴纳，</w:t>
      </w:r>
      <w:r>
        <w:t>不得拒绝银行保函形式的</w:t>
      </w:r>
      <w:r>
        <w:rPr>
          <w:rFonts w:hint="eastAsia"/>
        </w:rPr>
        <w:t>履约保证金。</w:t>
      </w:r>
    </w:p>
  </w:footnote>
  <w:footnote w:id="7">
    <w:p w14:paraId="0E393B44">
      <w:pPr>
        <w:pStyle w:val="31"/>
        <w:spacing w:line="320" w:lineRule="atLeast"/>
        <w:ind w:left="180" w:right="-229" w:rightChars="-109" w:hanging="210" w:hangingChars="100"/>
        <w:rPr>
          <w:szCs w:val="18"/>
        </w:rPr>
      </w:pPr>
      <w:r>
        <w:rPr>
          <w:rStyle w:val="48"/>
          <w:kern w:val="2"/>
          <w:sz w:val="21"/>
          <w:szCs w:val="18"/>
        </w:rPr>
        <w:footnoteRef/>
      </w:r>
      <w:r>
        <w:rPr>
          <w:rFonts w:hint="eastAsia"/>
        </w:rPr>
        <w:t>招标人应当按照国家有关规定，在招标文件中明确履约保证金收取比例，对于</w:t>
      </w:r>
      <w:r>
        <w:rPr>
          <w:rFonts w:hint="eastAsia"/>
          <w:lang w:eastAsia="zh-CN"/>
        </w:rPr>
        <w:t>最近年度</w:t>
      </w:r>
      <w:r>
        <w:rPr>
          <w:rFonts w:hint="eastAsia"/>
        </w:rPr>
        <w:t>信用等级为AA的中标人，可给予减少履约保证金。</w:t>
      </w:r>
    </w:p>
  </w:footnote>
  <w:footnote w:id="8">
    <w:p w14:paraId="31F71302">
      <w:pPr>
        <w:pStyle w:val="31"/>
        <w:snapToGrid w:val="0"/>
        <w:rPr>
          <w:rFonts w:hint="eastAsia" w:eastAsia="宋体"/>
          <w:lang w:eastAsia="zh-CN"/>
        </w:rPr>
      </w:pPr>
      <w:r>
        <w:rPr>
          <w:rStyle w:val="48"/>
        </w:rPr>
        <w:footnoteRef/>
      </w:r>
      <w:r>
        <w:rPr>
          <w:rFonts w:hint="eastAsia"/>
          <w:lang w:val="en-US" w:eastAsia="zh-CN"/>
        </w:rPr>
        <w:t>仅适用于采用</w:t>
      </w:r>
      <w:r>
        <w:rPr>
          <w:rFonts w:hint="eastAsia"/>
        </w:rPr>
        <w:t>技术评分最低标价法、技术评分合理低价法和综合评分法</w:t>
      </w:r>
      <w:r>
        <w:rPr>
          <w:rFonts w:hint="eastAsia"/>
          <w:lang w:val="en-US" w:eastAsia="zh-CN"/>
        </w:rPr>
        <w:t>的项目</w:t>
      </w:r>
      <w:r>
        <w:rPr>
          <w:rFonts w:hint="eastAsia"/>
          <w:lang w:eastAsia="zh-CN"/>
        </w:rPr>
        <w:t>。</w:t>
      </w:r>
    </w:p>
  </w:footnote>
  <w:footnote w:id="9">
    <w:p w14:paraId="4E2204A8">
      <w:pPr>
        <w:pStyle w:val="2"/>
        <w:keepNext w:val="0"/>
        <w:keepLines w:val="0"/>
        <w:widowControl/>
        <w:pBdr>
          <w:top w:val="none" w:color="auto" w:sz="0" w:space="0"/>
          <w:left w:val="none" w:color="auto" w:sz="0" w:space="0"/>
          <w:bottom w:val="none" w:color="auto" w:sz="0" w:space="0"/>
          <w:right w:val="none" w:color="auto" w:sz="0" w:space="0"/>
        </w:pBdr>
        <w:shd w:val="clear" w:fill="FFFFFF"/>
        <w:adjustRightInd w:val="0"/>
        <w:snapToGrid w:val="0"/>
        <w:spacing w:before="141" w:after="141" w:line="7" w:lineRule="atLeast"/>
        <w:ind w:left="0" w:hanging="168" w:hangingChars="80"/>
        <w:jc w:val="left"/>
        <w:textAlignment w:val="baseline"/>
        <w:rPr>
          <w:rFonts w:hint="eastAsia"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bCs w:val="0"/>
          <w:kern w:val="0"/>
          <w:sz w:val="18"/>
          <w:szCs w:val="20"/>
          <w:lang w:val="en-US" w:eastAsia="zh-CN" w:bidi="ar-SA"/>
        </w:rPr>
        <w:t>以工</w:t>
      </w:r>
      <w:r>
        <w:rPr>
          <w:rFonts w:hint="eastAsia" w:ascii="Times New Roman" w:hAnsi="Times New Roman" w:eastAsia="宋体" w:cs="Times New Roman"/>
          <w:kern w:val="0"/>
          <w:sz w:val="18"/>
          <w:szCs w:val="20"/>
          <w:lang w:val="en-US" w:eastAsia="zh-CN" w:bidi="ar-SA"/>
        </w:rPr>
        <w:t>代赈相关要求应符合《</w:t>
      </w:r>
      <w:r>
        <w:rPr>
          <w:rFonts w:hint="eastAsia" w:ascii="Times New Roman" w:hAnsi="Times New Roman" w:eastAsia="宋体" w:cs="Times New Roman"/>
          <w:b w:val="0"/>
          <w:bCs w:val="0"/>
          <w:i w:val="0"/>
          <w:iCs w:val="0"/>
          <w:caps w:val="0"/>
          <w:color w:val="2D66A5"/>
          <w:spacing w:val="0"/>
          <w:kern w:val="0"/>
          <w:sz w:val="18"/>
          <w:szCs w:val="20"/>
          <w:shd w:val="clear" w:fill="FFFFFF"/>
        </w:rPr>
        <w:t>交通运输部办公厅关于做好交通运输基础设施建设和管护领域推广以工代赈工作的通知</w:t>
      </w:r>
      <w:r>
        <w:rPr>
          <w:rFonts w:hint="eastAsia" w:ascii="Times New Roman" w:hAnsi="Times New Roman" w:eastAsia="宋体" w:cs="Times New Roman"/>
          <w:kern w:val="0"/>
          <w:sz w:val="18"/>
          <w:szCs w:val="20"/>
          <w:lang w:val="en-US" w:eastAsia="zh-CN" w:bidi="ar-SA"/>
        </w:rPr>
        <w:t>》</w:t>
      </w:r>
      <w:r>
        <w:rPr>
          <w:rFonts w:hint="eastAsia" w:eastAsia="宋体" w:cs="Times New Roman"/>
          <w:bCs w:val="0"/>
          <w:kern w:val="0"/>
          <w:sz w:val="18"/>
          <w:szCs w:val="20"/>
          <w:lang w:val="en-US" w:eastAsia="zh-CN" w:bidi="ar-SA"/>
        </w:rPr>
        <w:t>（交办公路〔2022〕35号）规定</w:t>
      </w:r>
      <w:r>
        <w:rPr>
          <w:rFonts w:hint="eastAsia" w:ascii="Times New Roman" w:hAnsi="Times New Roman" w:eastAsia="宋体" w:cs="Times New Roman"/>
          <w:kern w:val="0"/>
          <w:sz w:val="18"/>
          <w:szCs w:val="20"/>
          <w:lang w:val="en-US" w:eastAsia="zh-CN" w:bidi="ar-SA"/>
        </w:rPr>
        <w:t>。</w:t>
      </w:r>
    </w:p>
  </w:footnote>
  <w:footnote w:id="10">
    <w:p w14:paraId="470B11AB">
      <w:pPr>
        <w:pStyle w:val="31"/>
        <w:ind w:left="210" w:hanging="210"/>
        <w:rPr>
          <w:rFonts w:hint="eastAsia"/>
          <w:szCs w:val="18"/>
        </w:rPr>
      </w:pPr>
      <w:r>
        <w:rPr>
          <w:rStyle w:val="48"/>
          <w:szCs w:val="18"/>
        </w:rPr>
        <w:footnoteRef/>
      </w:r>
      <w:r>
        <w:rPr>
          <w:rFonts w:hint="eastAsia"/>
          <w:szCs w:val="18"/>
        </w:rPr>
        <w:t>具体资质要求由招标人在满足国家相关法律法规前提下，根据招标项目具体特点和实际情况确定。</w:t>
      </w:r>
    </w:p>
  </w:footnote>
  <w:footnote w:id="11">
    <w:p w14:paraId="16DFA409">
      <w:pPr>
        <w:pStyle w:val="31"/>
        <w:snapToGrid w:val="0"/>
        <w:ind w:firstLine="0"/>
      </w:pPr>
      <w:r>
        <w:rPr>
          <w:rStyle w:val="48"/>
          <w:kern w:val="2"/>
          <w:sz w:val="21"/>
          <w:szCs w:val="24"/>
        </w:rPr>
        <w:footnoteRef/>
      </w:r>
      <w:r>
        <w:rPr>
          <w:rFonts w:hint="eastAsia"/>
          <w:lang w:val="en-US" w:eastAsia="zh-CN"/>
        </w:rPr>
        <w:t>企业资质等级</w:t>
      </w:r>
      <w:r>
        <w:rPr>
          <w:rFonts w:hint="eastAsia"/>
        </w:rPr>
        <w:t>应当严格按照从业资质管理相关规定，提出与招标项目相适应的资质最低条件，不得提高资质等级要求。</w:t>
      </w:r>
    </w:p>
  </w:footnote>
  <w:footnote w:id="12">
    <w:p w14:paraId="22A50FA7">
      <w:pPr>
        <w:pStyle w:val="31"/>
        <w:spacing w:line="240" w:lineRule="auto"/>
        <w:ind w:left="180" w:hanging="180" w:hangingChars="100"/>
        <w:rPr>
          <w:rFonts w:hint="eastAsia"/>
          <w:szCs w:val="18"/>
        </w:rPr>
      </w:pPr>
      <w:r>
        <w:rPr>
          <w:rStyle w:val="48"/>
          <w:szCs w:val="18"/>
        </w:rPr>
        <w:footnoteRef/>
      </w:r>
      <w:r>
        <w:rPr>
          <w:rFonts w:hint="eastAsia"/>
          <w:szCs w:val="18"/>
        </w:rPr>
        <w:t>具体财务要求由招标人在满足国家相关法律法规前提下，根据招标项目具体特点和实际情况确定。</w:t>
      </w:r>
    </w:p>
  </w:footnote>
  <w:footnote w:id="13">
    <w:p w14:paraId="44B7512A">
      <w:pPr>
        <w:pStyle w:val="31"/>
        <w:spacing w:line="300" w:lineRule="atLeast"/>
        <w:ind w:left="180" w:hanging="180" w:hangingChars="100"/>
        <w:rPr>
          <w:rFonts w:hint="eastAsia"/>
          <w:szCs w:val="18"/>
        </w:rPr>
      </w:pPr>
      <w:r>
        <w:rPr>
          <w:rStyle w:val="48"/>
          <w:szCs w:val="18"/>
        </w:rPr>
        <w:footnoteRef/>
      </w:r>
      <w:r>
        <w:rPr>
          <w:rFonts w:hint="eastAsia"/>
          <w:szCs w:val="18"/>
        </w:rPr>
        <w:t>具体业绩要求由招标人在满足国家相关法律法规前提下，根据招标项目具体特点和实际情况确定，但不得设置过高的业绩资格条件。</w:t>
      </w:r>
    </w:p>
  </w:footnote>
  <w:footnote w:id="14">
    <w:p w14:paraId="65FA4A97">
      <w:pPr>
        <w:pStyle w:val="31"/>
        <w:snapToGrid w:val="0"/>
        <w:ind w:firstLine="0"/>
        <w:rPr>
          <w:rFonts w:hint="default"/>
          <w:highlight w:val="yellow"/>
          <w:lang w:val="en-US" w:eastAsia="zh-CN"/>
        </w:rPr>
      </w:pPr>
      <w:r>
        <w:rPr>
          <w:rStyle w:val="48"/>
          <w:kern w:val="2"/>
          <w:sz w:val="21"/>
          <w:szCs w:val="24"/>
        </w:rPr>
        <w:footnoteRef/>
      </w:r>
      <w:r>
        <w:rPr>
          <w:rFonts w:hint="eastAsia"/>
          <w:lang w:val="en-US" w:eastAsia="zh-CN"/>
        </w:rPr>
        <w:t>业绩量化指标不得超过项目标的规模。</w:t>
      </w:r>
    </w:p>
  </w:footnote>
  <w:footnote w:id="15">
    <w:p w14:paraId="5D7E8F18">
      <w:pPr>
        <w:pStyle w:val="31"/>
        <w:ind w:left="210" w:hanging="210"/>
        <w:rPr>
          <w:rFonts w:hint="eastAsia"/>
          <w:szCs w:val="18"/>
        </w:rPr>
      </w:pPr>
      <w:r>
        <w:rPr>
          <w:rStyle w:val="48"/>
          <w:szCs w:val="18"/>
        </w:rPr>
        <w:footnoteRef/>
      </w:r>
      <w:r>
        <w:rPr>
          <w:rFonts w:hint="eastAsia"/>
        </w:rPr>
        <w:t>具体信誉要求由招标人在满足国家相关法律法规前提下，根据招标项目具体特点和实际情况确定</w:t>
      </w:r>
      <w:r>
        <w:rPr>
          <w:lang w:eastAsia="zh-CN"/>
        </w:rPr>
        <w:t>。</w:t>
      </w:r>
    </w:p>
  </w:footnote>
  <w:footnote w:id="16">
    <w:p w14:paraId="123FEA7C">
      <w:pPr>
        <w:pStyle w:val="31"/>
        <w:spacing w:line="360" w:lineRule="atLeast"/>
        <w:ind w:left="180" w:hanging="180" w:hangingChars="100"/>
        <w:rPr>
          <w:rFonts w:hint="eastAsia"/>
          <w:szCs w:val="18"/>
        </w:rPr>
      </w:pPr>
      <w:r>
        <w:rPr>
          <w:rStyle w:val="48"/>
          <w:szCs w:val="18"/>
        </w:rPr>
        <w:footnoteRef/>
      </w:r>
      <w:r>
        <w:rPr>
          <w:rFonts w:hint="eastAsia"/>
          <w:szCs w:val="18"/>
        </w:rPr>
        <w:t>对项目经理和项目总工的具体资格要求由招标人在满足国家相关法律法规前提下，根据招标项目具体特点和实际情况确定，但不得设置过高的资格条件。</w:t>
      </w:r>
    </w:p>
  </w:footnote>
  <w:footnote w:id="17">
    <w:p w14:paraId="504F231F">
      <w:pPr>
        <w:pStyle w:val="31"/>
        <w:snapToGrid w:val="0"/>
        <w:ind w:firstLine="0"/>
      </w:pPr>
      <w:r>
        <w:rPr>
          <w:rStyle w:val="48"/>
        </w:rPr>
        <w:footnoteRef/>
      </w:r>
      <w:r>
        <w:rPr>
          <w:rFonts w:hint="eastAsia"/>
        </w:rPr>
        <w:t>项目经理应当具有注册建造师证书，其专业和等级按照相关规定根据项目实际设置，招标人不得再另行设置相应等级技术职称要求</w:t>
      </w:r>
      <w:r>
        <w:rPr>
          <w:rFonts w:hint="eastAsia"/>
          <w:lang w:eastAsia="zh-CN"/>
        </w:rPr>
        <w:t>；</w:t>
      </w:r>
      <w:r>
        <w:rPr>
          <w:rFonts w:hint="eastAsia"/>
        </w:rPr>
        <w:t>项目经理应当具有相应安全生产考核合格证书。项目总工程师一般应当设置技术职称要求。主要人员业绩量化指标不得超过项目标的规模。</w:t>
      </w:r>
    </w:p>
  </w:footnote>
  <w:footnote w:id="18">
    <w:p w14:paraId="2DE2915F">
      <w:pPr>
        <w:pStyle w:val="31"/>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9">
    <w:p w14:paraId="06907887">
      <w:pPr>
        <w:pStyle w:val="31"/>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20">
    <w:p w14:paraId="3BC179B9">
      <w:pPr>
        <w:spacing w:line="320" w:lineRule="atLeast"/>
        <w:ind w:left="180" w:hanging="180" w:hangingChars="100"/>
        <w:rPr>
          <w:rFonts w:ascii="Times New Roman" w:hAnsi="Times New Roman" w:eastAsia="宋体" w:cs="Times New Roman"/>
          <w:szCs w:val="18"/>
        </w:rPr>
      </w:pPr>
      <w:r>
        <w:rPr>
          <w:rStyle w:val="48"/>
          <w:rFonts w:ascii="Times New Roman" w:hAnsi="Times New Roman" w:eastAsia="宋体" w:cs="Times New Roman"/>
          <w:bCs/>
          <w:kern w:val="0"/>
          <w:sz w:val="18"/>
          <w:szCs w:val="20"/>
        </w:rPr>
        <w:footnoteRef/>
      </w:r>
      <w:r>
        <w:rPr>
          <w:rFonts w:hint="eastAsia" w:ascii="Times New Roman" w:hAnsi="Times New Roman" w:eastAsia="宋体" w:cs="Times New Roman"/>
          <w:kern w:val="0"/>
          <w:sz w:val="18"/>
          <w:szCs w:val="18"/>
        </w:rPr>
        <w:t>本</w:t>
      </w:r>
      <w:r>
        <w:rPr>
          <w:rFonts w:hint="eastAsia" w:cs="Times New Roman"/>
          <w:kern w:val="0"/>
          <w:sz w:val="18"/>
          <w:szCs w:val="18"/>
          <w:lang w:val="en-US" w:eastAsia="zh-CN"/>
        </w:rPr>
        <w:t>项</w:t>
      </w:r>
      <w:r>
        <w:rPr>
          <w:rFonts w:hint="eastAsia" w:ascii="Times New Roman" w:hAnsi="Times New Roman" w:eastAsia="宋体" w:cs="Times New Roman"/>
          <w:kern w:val="0"/>
          <w:sz w:val="18"/>
          <w:szCs w:val="18"/>
        </w:rPr>
        <w:t>规定仅适用于根据《关于发布公路工程从业企业资质名录的通知》（厅公路字〔</w:t>
      </w:r>
      <w:r>
        <w:rPr>
          <w:rFonts w:ascii="Times New Roman" w:hAnsi="Times New Roman" w:eastAsia="宋体" w:cs="Times New Roman"/>
          <w:kern w:val="0"/>
          <w:sz w:val="18"/>
          <w:szCs w:val="18"/>
        </w:rPr>
        <w:t>2011</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114</w:t>
      </w:r>
      <w:r>
        <w:rPr>
          <w:rFonts w:hint="eastAsia" w:ascii="Times New Roman" w:hAnsi="Times New Roman" w:eastAsia="宋体" w:cs="Times New Roman"/>
          <w:kern w:val="0"/>
          <w:sz w:val="18"/>
          <w:szCs w:val="18"/>
        </w:rPr>
        <w:t>号）要求，招标人应通过名录对投标人资质条件进行审核的公路施工企业；如前款文件中规定的资质已由省级相关部门负责审核、审批，则不做要求。</w:t>
      </w:r>
    </w:p>
  </w:footnote>
  <w:footnote w:id="21">
    <w:p w14:paraId="3B8EAA4D">
      <w:pPr>
        <w:spacing w:line="320" w:lineRule="atLeast"/>
        <w:ind w:left="180" w:hanging="180" w:hangingChars="100"/>
        <w:rPr>
          <w:rFonts w:ascii="Times New Roman" w:hAnsi="Times New Roman" w:eastAsia="宋体" w:cs="Times New Roman"/>
          <w:szCs w:val="18"/>
        </w:rPr>
      </w:pPr>
      <w:r>
        <w:rPr>
          <w:rStyle w:val="48"/>
          <w:rFonts w:ascii="Times New Roman" w:hAnsi="Times New Roman" w:eastAsia="宋体" w:cs="Times New Roman"/>
          <w:bCs/>
          <w:kern w:val="0"/>
          <w:sz w:val="18"/>
          <w:szCs w:val="20"/>
        </w:rPr>
        <w:footnoteRef/>
      </w:r>
      <w:r>
        <w:rPr>
          <w:rFonts w:hint="eastAsia" w:ascii="Times New Roman" w:hAnsi="Times New Roman" w:eastAsia="宋体" w:cs="Times New Roman"/>
          <w:kern w:val="0"/>
          <w:sz w:val="18"/>
          <w:szCs w:val="18"/>
        </w:rPr>
        <w:t>本</w:t>
      </w:r>
      <w:r>
        <w:rPr>
          <w:rFonts w:hint="eastAsia" w:cs="Times New Roman"/>
          <w:kern w:val="0"/>
          <w:sz w:val="18"/>
          <w:szCs w:val="18"/>
          <w:lang w:val="en-US" w:eastAsia="zh-CN"/>
        </w:rPr>
        <w:t>项</w:t>
      </w:r>
      <w:r>
        <w:rPr>
          <w:rFonts w:hint="eastAsia" w:ascii="Times New Roman" w:hAnsi="Times New Roman" w:eastAsia="宋体" w:cs="Times New Roman"/>
          <w:kern w:val="0"/>
          <w:sz w:val="18"/>
          <w:szCs w:val="18"/>
        </w:rPr>
        <w:t>规定仅适用于根据《关于发布公路工程从业企业资质名录的通知》（厅公路字〔</w:t>
      </w:r>
      <w:r>
        <w:rPr>
          <w:rFonts w:ascii="Times New Roman" w:hAnsi="Times New Roman" w:eastAsia="宋体" w:cs="Times New Roman"/>
          <w:kern w:val="0"/>
          <w:sz w:val="18"/>
          <w:szCs w:val="18"/>
        </w:rPr>
        <w:t>2011</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114</w:t>
      </w:r>
      <w:r>
        <w:rPr>
          <w:rFonts w:hint="eastAsia" w:ascii="Times New Roman" w:hAnsi="Times New Roman" w:eastAsia="宋体" w:cs="Times New Roman"/>
          <w:kern w:val="0"/>
          <w:sz w:val="18"/>
          <w:szCs w:val="18"/>
        </w:rPr>
        <w:t>号）要求，招标人应通过名录对投标人资质条件进行审核</w:t>
      </w:r>
      <w:r>
        <w:rPr>
          <w:rFonts w:hint="eastAsia" w:ascii="Times New Roman" w:hAnsi="Times New Roman" w:eastAsia="宋体" w:cs="Times New Roman"/>
          <w:kern w:val="0"/>
          <w:sz w:val="18"/>
          <w:szCs w:val="18"/>
          <w:highlight w:val="none"/>
        </w:rPr>
        <w:t>的公路施工企</w:t>
      </w:r>
      <w:r>
        <w:rPr>
          <w:rFonts w:hint="eastAsia" w:ascii="Times New Roman" w:hAnsi="Times New Roman" w:eastAsia="宋体" w:cs="Times New Roman"/>
          <w:kern w:val="0"/>
          <w:sz w:val="18"/>
          <w:szCs w:val="18"/>
        </w:rPr>
        <w:t>业</w:t>
      </w:r>
      <w:r>
        <w:rPr>
          <w:rFonts w:hint="eastAsia" w:cs="Times New Roman"/>
          <w:kern w:val="0"/>
          <w:sz w:val="18"/>
          <w:szCs w:val="18"/>
          <w:lang w:eastAsia="zh-CN"/>
        </w:rPr>
        <w:t>；</w:t>
      </w:r>
      <w:r>
        <w:rPr>
          <w:rFonts w:hint="eastAsia" w:cs="Times New Roman"/>
          <w:kern w:val="0"/>
          <w:sz w:val="18"/>
          <w:szCs w:val="18"/>
          <w:lang w:val="en-US" w:eastAsia="zh-CN"/>
        </w:rPr>
        <w:t>如前款文件中规定的资质已由省级相关部门负责审核、审批，则投标人无需提供相应资质的网页截图</w:t>
      </w:r>
      <w:r>
        <w:rPr>
          <w:rFonts w:hint="eastAsia" w:ascii="Times New Roman" w:hAnsi="Times New Roman" w:eastAsia="宋体" w:cs="Times New Roman"/>
          <w:kern w:val="0"/>
          <w:sz w:val="18"/>
          <w:szCs w:val="18"/>
        </w:rPr>
        <w:t>。</w:t>
      </w:r>
    </w:p>
  </w:footnote>
  <w:footnote w:id="22">
    <w:p w14:paraId="697AAEE1">
      <w:pPr>
        <w:pStyle w:val="31"/>
        <w:snapToGrid w:val="0"/>
        <w:rPr>
          <w:rFonts w:hint="default" w:eastAsia="宋体"/>
          <w:lang w:val="en-US" w:eastAsia="zh-CN"/>
        </w:rPr>
      </w:pPr>
      <w:r>
        <w:rPr>
          <w:rStyle w:val="48"/>
        </w:rPr>
        <w:footnoteRef/>
      </w:r>
      <w:r>
        <w:rPr>
          <w:rFonts w:hint="eastAsia"/>
          <w:lang w:val="en-US" w:eastAsia="zh-CN"/>
        </w:rPr>
        <w:t>G值详见评标办法。</w:t>
      </w:r>
    </w:p>
  </w:footnote>
  <w:footnote w:id="23">
    <w:p w14:paraId="306CDECF">
      <w:pPr>
        <w:pStyle w:val="31"/>
        <w:tabs>
          <w:tab w:val="left" w:pos="3780"/>
        </w:tabs>
        <w:spacing w:line="320" w:lineRule="atLeast"/>
        <w:ind w:left="180" w:hanging="180" w:hangingChars="100"/>
        <w:rPr>
          <w:rFonts w:hint="eastAsia"/>
          <w:szCs w:val="18"/>
        </w:rPr>
      </w:pPr>
      <w:r>
        <w:rPr>
          <w:rStyle w:val="48"/>
          <w:szCs w:val="18"/>
        </w:rPr>
        <w:footnoteRef/>
      </w:r>
      <w:r>
        <w:rPr>
          <w:rFonts w:hint="eastAsia"/>
          <w:szCs w:val="18"/>
        </w:rPr>
        <w:t>招标人可根据</w:t>
      </w:r>
      <w:r>
        <w:rPr>
          <w:rFonts w:hint="eastAsia"/>
          <w:szCs w:val="18"/>
          <w:lang w:eastAsia="zh-CN"/>
        </w:rPr>
        <w:t>实际</w:t>
      </w:r>
      <w:r>
        <w:rPr>
          <w:rFonts w:hint="eastAsia"/>
          <w:szCs w:val="18"/>
        </w:rPr>
        <w:t>需要进行修改。</w:t>
      </w:r>
    </w:p>
  </w:footnote>
  <w:footnote w:id="24">
    <w:p w14:paraId="5F2380CC">
      <w:pPr>
        <w:pStyle w:val="31"/>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投标人仅须在投标文件的澄清或说明上加盖CA数字证书中的单位章，或由法定代表人或其委托代理人的个人电子印章或电子签名</w:t>
      </w:r>
      <w:r>
        <w:rPr>
          <w:rFonts w:hint="eastAsia" w:hAnsi="宋体"/>
          <w:szCs w:val="18"/>
        </w:rPr>
        <w:t>。</w:t>
      </w:r>
    </w:p>
  </w:footnote>
  <w:footnote w:id="25">
    <w:p w14:paraId="15DCF42D">
      <w:pPr>
        <w:pStyle w:val="31"/>
        <w:spacing w:line="320" w:lineRule="atLeast"/>
        <w:ind w:left="180" w:hanging="180" w:hangingChars="100"/>
        <w:jc w:val="both"/>
        <w:rPr>
          <w:rFonts w:hint="eastAsia"/>
          <w:szCs w:val="18"/>
        </w:rPr>
      </w:pPr>
      <w:r>
        <w:rPr>
          <w:rStyle w:val="48"/>
          <w:szCs w:val="18"/>
        </w:rPr>
        <w:footnoteRef/>
      </w:r>
      <w:r>
        <w:rPr>
          <w:rFonts w:hint="eastAsia"/>
          <w:szCs w:val="18"/>
        </w:rPr>
        <w:t>“合理低价法”是综合评估法的评分因素中评标价得分为100分、其他评分因素分值为0分的特例。“合理低价法”中，第一个信封（商务及技术文件）的评审应采用合格制。</w:t>
      </w:r>
    </w:p>
  </w:footnote>
  <w:footnote w:id="26">
    <w:p w14:paraId="6891B6E4">
      <w:pPr>
        <w:pStyle w:val="31"/>
        <w:spacing w:line="320" w:lineRule="atLeast"/>
        <w:ind w:left="180" w:hanging="180" w:hangingChars="100"/>
        <w:jc w:val="both"/>
        <w:rPr>
          <w:rFonts w:hint="eastAsia"/>
          <w:szCs w:val="18"/>
        </w:rPr>
      </w:pPr>
      <w:r>
        <w:rPr>
          <w:rStyle w:val="48"/>
          <w:szCs w:val="18"/>
        </w:rPr>
        <w:footnoteRef/>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7">
    <w:p w14:paraId="2978CE7D">
      <w:pPr>
        <w:pStyle w:val="31"/>
        <w:spacing w:line="320" w:lineRule="atLeast"/>
        <w:ind w:left="180" w:hanging="180" w:hangingChars="100"/>
        <w:rPr>
          <w:rFonts w:hint="eastAsia"/>
          <w:szCs w:val="18"/>
        </w:rPr>
      </w:pPr>
      <w:r>
        <w:rPr>
          <w:rStyle w:val="48"/>
          <w:szCs w:val="18"/>
        </w:rPr>
        <w:footnoteRef/>
      </w:r>
      <w:r>
        <w:rPr>
          <w:rFonts w:hint="eastAsia" w:ascii="宋体" w:hAnsi="宋体"/>
          <w:szCs w:val="18"/>
        </w:rPr>
        <w:t>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8">
    <w:p w14:paraId="467E3D0F">
      <w:pPr>
        <w:pStyle w:val="31"/>
        <w:spacing w:line="320" w:lineRule="atLeast"/>
        <w:ind w:left="180" w:hanging="180" w:hangingChars="100"/>
        <w:rPr>
          <w:rFonts w:hint="eastAsia"/>
        </w:rPr>
      </w:pPr>
      <w:r>
        <w:rPr>
          <w:rStyle w:val="48"/>
        </w:rPr>
        <w:footnoteRef/>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9">
    <w:p w14:paraId="2464E6E6">
      <w:pPr>
        <w:pStyle w:val="31"/>
        <w:spacing w:line="320" w:lineRule="atLeast"/>
        <w:ind w:left="180" w:hanging="180" w:hangingChars="100"/>
        <w:rPr>
          <w:rStyle w:val="48"/>
          <w:szCs w:val="18"/>
        </w:rPr>
      </w:pPr>
      <w:r>
        <w:rPr>
          <w:rStyle w:val="48"/>
          <w:szCs w:val="18"/>
        </w:rPr>
        <w:footnoteRef/>
      </w:r>
      <w:r>
        <w:rPr>
          <w:rFonts w:hint="eastAsia"/>
          <w:szCs w:val="18"/>
        </w:rPr>
        <w:t>如</w:t>
      </w:r>
      <w:r>
        <w:rPr>
          <w:rStyle w:val="48"/>
          <w:szCs w:val="18"/>
          <w:vertAlign w:val="baseline"/>
        </w:rPr>
        <w:t>本项目招标</w:t>
      </w:r>
      <w:r>
        <w:rPr>
          <w:rStyle w:val="48"/>
          <w:rFonts w:hint="eastAsia"/>
          <w:szCs w:val="18"/>
          <w:vertAlign w:val="baseline"/>
          <w:lang w:eastAsia="zh-CN"/>
        </w:rPr>
        <w:t>由</w:t>
      </w:r>
      <w:r>
        <w:rPr>
          <w:rFonts w:hint="eastAsia"/>
          <w:szCs w:val="18"/>
        </w:rPr>
        <w:t>投标人按照招标人提供的</w:t>
      </w:r>
      <w:r>
        <w:rPr>
          <w:szCs w:val="18"/>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30">
    <w:p w14:paraId="18DFE744">
      <w:pPr>
        <w:pStyle w:val="31"/>
        <w:snapToGrid w:val="0"/>
      </w:pPr>
      <w:r>
        <w:rPr>
          <w:rStyle w:val="48"/>
        </w:rPr>
        <w:footnoteRef/>
      </w:r>
      <w:r>
        <w:rPr>
          <w:rFonts w:hint="eastAsia"/>
          <w:lang w:val="en-US" w:eastAsia="zh-CN"/>
        </w:rPr>
        <w:t>本合同仅</w:t>
      </w:r>
      <w:r>
        <w:rPr>
          <w:rFonts w:hint="eastAsia"/>
        </w:rPr>
        <w:t>适用</w:t>
      </w:r>
      <w:r>
        <w:rPr>
          <w:rFonts w:hint="eastAsia"/>
          <w:lang w:val="en-US" w:eastAsia="zh-CN"/>
        </w:rPr>
        <w:t>于</w:t>
      </w:r>
      <w:r>
        <w:rPr>
          <w:rFonts w:hint="eastAsia"/>
        </w:rPr>
        <w:t>建设项目，养护工程项目</w:t>
      </w:r>
      <w:r>
        <w:rPr>
          <w:rFonts w:hint="eastAsia"/>
          <w:lang w:eastAsia="zh-CN"/>
        </w:rPr>
        <w:t>的</w:t>
      </w:r>
      <w:r>
        <w:rPr>
          <w:rFonts w:hint="eastAsia"/>
          <w:lang w:val="en-US" w:eastAsia="zh-CN"/>
        </w:rPr>
        <w:t>合同可</w:t>
      </w:r>
      <w:r>
        <w:rPr>
          <w:rFonts w:hint="eastAsia"/>
        </w:rPr>
        <w:t>参照</w:t>
      </w:r>
      <w:r>
        <w:rPr>
          <w:rFonts w:hint="eastAsia"/>
          <w:lang w:val="en-US" w:eastAsia="zh-CN"/>
        </w:rPr>
        <w:t>执行。</w:t>
      </w:r>
    </w:p>
  </w:footnote>
  <w:footnote w:id="31">
    <w:p w14:paraId="0A9B8031">
      <w:pPr>
        <w:pStyle w:val="31"/>
        <w:rPr>
          <w:rFonts w:hint="eastAsia"/>
          <w:lang w:eastAsia="zh-CN"/>
        </w:rPr>
      </w:pPr>
      <w:r>
        <w:rPr>
          <w:rStyle w:val="48"/>
        </w:rPr>
        <w:footnoteRef/>
      </w:r>
      <w:r>
        <w:rPr>
          <w:rFonts w:hint="eastAsia"/>
          <w:lang w:eastAsia="zh-CN"/>
        </w:rPr>
        <w:t>本部分不加修改地引用了国家九部委《标准施工招标文件》（2007年版）相关内容。</w:t>
      </w:r>
    </w:p>
  </w:footnote>
  <w:footnote w:id="32">
    <w:p w14:paraId="47560969">
      <w:pPr>
        <w:pStyle w:val="31"/>
        <w:spacing w:line="320" w:lineRule="atLeast"/>
        <w:ind w:left="180" w:hanging="180" w:hangingChars="100"/>
        <w:rPr>
          <w:rFonts w:hint="eastAsia"/>
          <w:lang w:eastAsia="zh-CN"/>
        </w:rPr>
      </w:pPr>
      <w:r>
        <w:rPr>
          <w:rStyle w:val="48"/>
        </w:rPr>
        <w:footnoteRef/>
      </w:r>
      <w:r>
        <w:t>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33">
    <w:p w14:paraId="59B30A6B">
      <w:pPr>
        <w:pStyle w:val="31"/>
        <w:spacing w:line="300" w:lineRule="atLeast"/>
        <w:ind w:left="210" w:hanging="210"/>
        <w:rPr>
          <w:rFonts w:hint="eastAsia"/>
          <w:szCs w:val="18"/>
        </w:rPr>
      </w:pPr>
      <w:r>
        <w:rPr>
          <w:rStyle w:val="48"/>
          <w:szCs w:val="18"/>
        </w:rPr>
        <w:footnoteRef/>
      </w:r>
      <w:r>
        <w:rPr>
          <w:rFonts w:hint="eastAsia" w:hAnsi="Roman"/>
          <w:szCs w:val="18"/>
        </w:rPr>
        <w:t>缺陷责任期一般为自实际交工日期起计算</w:t>
      </w:r>
      <w:r>
        <w:rPr>
          <w:rFonts w:hint="eastAsia" w:hAnsi="Roman"/>
          <w:szCs w:val="18"/>
          <w:lang w:eastAsia="zh-CN"/>
        </w:rPr>
        <w:t>1</w:t>
      </w:r>
      <w:r>
        <w:rPr>
          <w:rFonts w:hint="eastAsia" w:hAnsi="Roman"/>
          <w:szCs w:val="18"/>
        </w:rPr>
        <w:t>年</w:t>
      </w:r>
      <w:r>
        <w:rPr>
          <w:rFonts w:hint="eastAsia" w:hAnsi="Roman"/>
          <w:szCs w:val="18"/>
          <w:lang w:eastAsia="zh-CN"/>
        </w:rPr>
        <w:t>，</w:t>
      </w:r>
      <w:r>
        <w:rPr>
          <w:rFonts w:hint="eastAsia" w:hAnsi="Roman"/>
          <w:szCs w:val="18"/>
        </w:rPr>
        <w:t>最长不超过</w:t>
      </w:r>
      <w:r>
        <w:rPr>
          <w:rFonts w:hint="eastAsia" w:hAnsi="Roman"/>
          <w:szCs w:val="18"/>
          <w:lang w:eastAsia="zh-CN"/>
        </w:rPr>
        <w:t>2年</w:t>
      </w:r>
      <w:r>
        <w:rPr>
          <w:rFonts w:hint="eastAsia" w:hAnsi="Roman"/>
          <w:szCs w:val="18"/>
        </w:rPr>
        <w:t>。</w:t>
      </w:r>
    </w:p>
  </w:footnote>
  <w:footnote w:id="34">
    <w:p w14:paraId="3D01E3A6">
      <w:pPr>
        <w:pStyle w:val="31"/>
        <w:spacing w:line="300" w:lineRule="atLeast"/>
        <w:ind w:left="210" w:hanging="210"/>
        <w:rPr>
          <w:rFonts w:hint="eastAsia"/>
          <w:szCs w:val="18"/>
        </w:rPr>
      </w:pPr>
      <w:r>
        <w:rPr>
          <w:rStyle w:val="48"/>
          <w:szCs w:val="18"/>
        </w:rPr>
        <w:footnoteRef/>
      </w:r>
      <w:r>
        <w:rPr>
          <w:rFonts w:hAnsi="Roman"/>
          <w:szCs w:val="18"/>
        </w:rPr>
        <w:t>逾期交工违约金限额</w:t>
      </w:r>
      <w:r>
        <w:rPr>
          <w:rFonts w:hint="eastAsia" w:hAnsi="Roman"/>
          <w:szCs w:val="18"/>
        </w:rPr>
        <w:t>一般应为10</w:t>
      </w:r>
      <w:r>
        <w:rPr>
          <w:rFonts w:hAnsi="Roman"/>
          <w:szCs w:val="18"/>
        </w:rPr>
        <w:t>%签约合同价</w:t>
      </w:r>
      <w:r>
        <w:rPr>
          <w:rFonts w:hint="eastAsia" w:hAnsi="Roman"/>
          <w:szCs w:val="18"/>
        </w:rPr>
        <w:t>。</w:t>
      </w:r>
    </w:p>
  </w:footnote>
  <w:footnote w:id="35">
    <w:p w14:paraId="5BAFE167">
      <w:pPr>
        <w:pStyle w:val="31"/>
        <w:spacing w:line="280" w:lineRule="atLeast"/>
        <w:ind w:left="210" w:hanging="210"/>
        <w:rPr>
          <w:rFonts w:hint="eastAsia"/>
          <w:szCs w:val="18"/>
        </w:rPr>
      </w:pPr>
      <w:r>
        <w:rPr>
          <w:rStyle w:val="48"/>
          <w:szCs w:val="18"/>
        </w:rPr>
        <w:footnoteRef/>
      </w:r>
      <w:r>
        <w:rPr>
          <w:rFonts w:hint="eastAsia" w:hAnsi="Roman"/>
          <w:szCs w:val="18"/>
        </w:rPr>
        <w:t>对于工程规模不大、工期较短的工程（例如工期不超过12个月的），可以不进行调价。</w:t>
      </w:r>
    </w:p>
  </w:footnote>
  <w:footnote w:id="36">
    <w:p w14:paraId="31455935">
      <w:pPr>
        <w:pStyle w:val="31"/>
        <w:spacing w:line="280" w:lineRule="atLeast"/>
        <w:ind w:left="210" w:hanging="210"/>
        <w:rPr>
          <w:rFonts w:hint="eastAsia"/>
          <w:szCs w:val="18"/>
        </w:rPr>
      </w:pPr>
      <w:r>
        <w:rPr>
          <w:rStyle w:val="48"/>
          <w:szCs w:val="18"/>
        </w:rPr>
        <w:footnoteRef/>
      </w:r>
      <w:r>
        <w:rPr>
          <w:rFonts w:hint="eastAsia" w:hAnsi="Roman"/>
          <w:szCs w:val="18"/>
        </w:rPr>
        <w:t>开工预付款金额一般应为10％签约合同价。</w:t>
      </w:r>
    </w:p>
  </w:footnote>
  <w:footnote w:id="37">
    <w:p w14:paraId="47E88392">
      <w:pPr>
        <w:pStyle w:val="31"/>
        <w:spacing w:line="280" w:lineRule="atLeast"/>
        <w:ind w:left="210" w:hanging="210"/>
        <w:rPr>
          <w:rFonts w:hint="eastAsia"/>
          <w:szCs w:val="18"/>
        </w:rPr>
      </w:pPr>
      <w:r>
        <w:rPr>
          <w:rStyle w:val="48"/>
          <w:szCs w:val="18"/>
        </w:rPr>
        <w:footnoteRef/>
      </w:r>
      <w:r>
        <w:rPr>
          <w:rFonts w:hint="eastAsia" w:hAnsi="Roman"/>
          <w:szCs w:val="18"/>
        </w:rPr>
        <w:t>指主要材料，一般应为70%～75%，最低不少于60%。</w:t>
      </w:r>
    </w:p>
  </w:footnote>
  <w:footnote w:id="38">
    <w:p w14:paraId="22E1FC5A">
      <w:pPr>
        <w:pStyle w:val="31"/>
        <w:spacing w:line="280" w:lineRule="atLeast"/>
        <w:ind w:left="210" w:hanging="210"/>
        <w:rPr>
          <w:rFonts w:hint="eastAsia"/>
          <w:szCs w:val="18"/>
        </w:rPr>
      </w:pPr>
      <w:r>
        <w:rPr>
          <w:rStyle w:val="48"/>
          <w:szCs w:val="18"/>
        </w:rPr>
        <w:footnoteRef/>
      </w:r>
      <w:r>
        <w:rPr>
          <w:rFonts w:hint="eastAsia" w:hAnsi="Roman"/>
          <w:szCs w:val="18"/>
        </w:rPr>
        <w:t xml:space="preserve">  国际上一般按月平均支付额的0.3</w:t>
      </w:r>
      <w:r>
        <w:rPr>
          <w:rFonts w:hint="eastAsia" w:hAnsi="Roman"/>
          <w:szCs w:val="18"/>
        </w:rPr>
        <w:sym w:font="Symbol" w:char="F07E"/>
      </w:r>
      <w:r>
        <w:rPr>
          <w:rFonts w:hint="eastAsia" w:hAnsi="Roman"/>
          <w:szCs w:val="18"/>
        </w:rPr>
        <w:t>0.5倍计算，我国可按0.2</w:t>
      </w:r>
      <w:r>
        <w:rPr>
          <w:rFonts w:hint="eastAsia" w:hAnsi="Roman"/>
          <w:szCs w:val="18"/>
        </w:rPr>
        <w:sym w:font="Symbol" w:char="F07E"/>
      </w:r>
      <w:r>
        <w:rPr>
          <w:rFonts w:hAnsi="Roman"/>
          <w:szCs w:val="18"/>
        </w:rPr>
        <w:t>0.3倍</w:t>
      </w:r>
      <w:r>
        <w:rPr>
          <w:rFonts w:hint="eastAsia" w:hAnsi="Roman"/>
          <w:szCs w:val="18"/>
        </w:rPr>
        <w:t>计</w:t>
      </w:r>
      <w:r>
        <w:rPr>
          <w:rFonts w:hint="eastAsia" w:hAnsi="Roman"/>
          <w:szCs w:val="18"/>
          <w:lang w:eastAsia="zh-CN"/>
        </w:rPr>
        <w:t>，</w:t>
      </w:r>
      <w:r>
        <w:rPr>
          <w:rFonts w:hint="eastAsia" w:hAnsi="Roman"/>
          <w:szCs w:val="18"/>
        </w:rPr>
        <w:t>以利承包人资金周转。</w:t>
      </w:r>
    </w:p>
  </w:footnote>
  <w:footnote w:id="39">
    <w:p w14:paraId="57B9479C">
      <w:pPr>
        <w:pStyle w:val="31"/>
        <w:spacing w:line="280" w:lineRule="atLeast"/>
        <w:ind w:left="210" w:hanging="210"/>
        <w:rPr>
          <w:rFonts w:hint="eastAsia"/>
          <w:szCs w:val="18"/>
        </w:rPr>
      </w:pPr>
      <w:r>
        <w:rPr>
          <w:rStyle w:val="48"/>
          <w:szCs w:val="18"/>
        </w:rPr>
        <w:footnoteRef/>
      </w:r>
      <w:r>
        <w:rPr>
          <w:rFonts w:hint="eastAsia" w:hAnsi="Roman"/>
          <w:szCs w:val="18"/>
        </w:rPr>
        <w:t xml:space="preserve">  相当于中国人民银行短期贷款利率加手续费。招标人不能自行取消本项内容或降低利率。</w:t>
      </w:r>
    </w:p>
  </w:footnote>
  <w:footnote w:id="40">
    <w:p w14:paraId="49BAD4BA">
      <w:pPr>
        <w:pStyle w:val="31"/>
        <w:snapToGrid w:val="0"/>
        <w:ind w:firstLine="0"/>
      </w:pPr>
      <w:r>
        <w:rPr>
          <w:rStyle w:val="48"/>
        </w:rPr>
        <w:footnoteRef/>
      </w:r>
      <w:r>
        <w:rPr>
          <w:rFonts w:hint="eastAsia"/>
        </w:rPr>
        <w:t>招标人可结合</w:t>
      </w:r>
      <w:r>
        <w:rPr>
          <w:rFonts w:hint="eastAsia"/>
          <w:lang w:val="en-US" w:eastAsia="zh-CN"/>
        </w:rPr>
        <w:t>辽宁</w:t>
      </w:r>
      <w:r>
        <w:rPr>
          <w:rFonts w:hint="eastAsia"/>
        </w:rPr>
        <w:t>省公路建设领域管理政策文件</w:t>
      </w:r>
      <w:r>
        <w:rPr>
          <w:rFonts w:hint="eastAsia"/>
          <w:lang w:eastAsia="zh-CN"/>
        </w:rPr>
        <w:t>、招标项目具体特点和实际需要</w:t>
      </w:r>
      <w:r>
        <w:rPr>
          <w:rFonts w:hint="eastAsia"/>
        </w:rPr>
        <w:t>对项目专用合同条款进行补充、细化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41">
    <w:p w14:paraId="7AA3231E">
      <w:pPr>
        <w:pStyle w:val="31"/>
        <w:spacing w:line="300" w:lineRule="atLeast"/>
        <w:ind w:left="360" w:hanging="360" w:hangingChars="200"/>
        <w:jc w:val="both"/>
        <w:rPr>
          <w:szCs w:val="18"/>
        </w:rPr>
      </w:pPr>
      <w:r>
        <w:rPr>
          <w:rStyle w:val="48"/>
          <w:rFonts w:ascii="宋体" w:hAnsi="宋体"/>
          <w:szCs w:val="18"/>
        </w:rPr>
        <w:footnoteRef/>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68D58D99">
      <w:pPr>
        <w:pStyle w:val="31"/>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42">
    <w:p w14:paraId="7F449AE8">
      <w:pPr>
        <w:pStyle w:val="31"/>
        <w:spacing w:line="300" w:lineRule="atLeast"/>
        <w:ind w:left="360" w:hanging="360" w:hangingChars="200"/>
        <w:rPr>
          <w:szCs w:val="18"/>
        </w:rPr>
      </w:pPr>
      <w:r>
        <w:rPr>
          <w:rStyle w:val="48"/>
          <w:szCs w:val="18"/>
        </w:rPr>
        <w:footnoteRef/>
      </w:r>
      <w:r>
        <w:rPr>
          <w:szCs w:val="18"/>
        </w:rPr>
        <w:t>a.</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093AA926">
      <w:pPr>
        <w:pStyle w:val="31"/>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621D0745">
      <w:pPr>
        <w:pStyle w:val="31"/>
        <w:ind w:left="210" w:hanging="210"/>
        <w:rPr>
          <w:rFonts w:hint="eastAsia"/>
          <w:sz w:val="21"/>
          <w:szCs w:val="21"/>
        </w:rPr>
      </w:pPr>
    </w:p>
  </w:footnote>
  <w:footnote w:id="43">
    <w:p w14:paraId="7F3CA187">
      <w:pPr>
        <w:pStyle w:val="31"/>
        <w:tabs>
          <w:tab w:val="left" w:pos="3780"/>
        </w:tabs>
        <w:spacing w:line="340" w:lineRule="atLeast"/>
        <w:ind w:left="210" w:hanging="210"/>
        <w:rPr>
          <w:rFonts w:hint="eastAsia"/>
        </w:rPr>
      </w:pPr>
      <w:r>
        <w:rPr>
          <w:rStyle w:val="48"/>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44">
    <w:p w14:paraId="4A7CFD37">
      <w:pPr>
        <w:pStyle w:val="31"/>
        <w:snapToGrid w:val="0"/>
      </w:pPr>
      <w:r>
        <w:rPr>
          <w:rStyle w:val="48"/>
          <w:kern w:val="2"/>
          <w:sz w:val="21"/>
          <w:szCs w:val="24"/>
        </w:rPr>
        <w:footnoteRef/>
      </w:r>
      <w:r>
        <w:rPr>
          <w:rFonts w:hint="eastAsia"/>
          <w:lang w:val="en-US" w:eastAsia="zh-CN"/>
        </w:rPr>
        <w:t>本工程量清单仅</w:t>
      </w:r>
      <w:r>
        <w:rPr>
          <w:rFonts w:hint="eastAsia"/>
        </w:rPr>
        <w:t>适用</w:t>
      </w:r>
      <w:r>
        <w:rPr>
          <w:rFonts w:hint="eastAsia"/>
          <w:lang w:val="en-US" w:eastAsia="zh-CN"/>
        </w:rPr>
        <w:t>于</w:t>
      </w:r>
      <w:r>
        <w:rPr>
          <w:rFonts w:hint="eastAsia"/>
        </w:rPr>
        <w:t>建设项目，养护工程项目</w:t>
      </w:r>
      <w:r>
        <w:rPr>
          <w:rFonts w:hint="eastAsia"/>
          <w:lang w:eastAsia="zh-CN"/>
        </w:rPr>
        <w:t>的</w:t>
      </w:r>
      <w:r>
        <w:rPr>
          <w:rFonts w:hint="eastAsia"/>
          <w:lang w:val="en-US" w:eastAsia="zh-CN"/>
        </w:rPr>
        <w:t>工程量清单应</w:t>
      </w:r>
      <w:r>
        <w:rPr>
          <w:rFonts w:hint="eastAsia"/>
        </w:rPr>
        <w:t>参照</w:t>
      </w:r>
      <w:r>
        <w:rPr>
          <w:rFonts w:hint="eastAsia"/>
          <w:lang w:val="en-US" w:eastAsia="zh-CN"/>
        </w:rPr>
        <w:t>执行</w:t>
      </w:r>
    </w:p>
  </w:footnote>
  <w:footnote w:id="45">
    <w:p w14:paraId="6633A2D5">
      <w:pPr>
        <w:widowControl w:val="0"/>
        <w:adjustRightInd w:val="0"/>
        <w:snapToGrid w:val="0"/>
        <w:spacing w:line="240" w:lineRule="auto"/>
        <w:ind w:left="126" w:hanging="147" w:hangingChars="70"/>
        <w:jc w:val="both"/>
        <w:textAlignment w:val="baseline"/>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详见《公路工程标准施工招标文件》（2018年版第</w:t>
      </w:r>
      <w:r>
        <w:rPr>
          <w:rFonts w:hint="eastAsia" w:cs="Times New Roman"/>
          <w:kern w:val="0"/>
          <w:sz w:val="18"/>
          <w:szCs w:val="20"/>
          <w:lang w:val="en-US" w:eastAsia="zh-CN" w:bidi="ar-SA"/>
        </w:rPr>
        <w:t>二</w:t>
      </w:r>
      <w:r>
        <w:rPr>
          <w:rFonts w:hint="eastAsia" w:ascii="Times New Roman" w:hAnsi="Times New Roman" w:eastAsia="宋体" w:cs="Times New Roman"/>
          <w:kern w:val="0"/>
          <w:sz w:val="18"/>
          <w:szCs w:val="20"/>
          <w:lang w:val="en-US" w:eastAsia="zh-CN" w:bidi="ar-SA"/>
        </w:rPr>
        <w:t>册），</w:t>
      </w:r>
      <w:r>
        <w:rPr>
          <w:rFonts w:ascii="Times New Roman" w:hAnsi="Times New Roman" w:eastAsia="宋体" w:cs="Times New Roman"/>
          <w:kern w:val="0"/>
          <w:sz w:val="18"/>
          <w:szCs w:val="20"/>
          <w:lang w:val="en-US" w:eastAsia="zh-CN" w:bidi="ar-SA"/>
        </w:rPr>
        <w:t>招标人或</w:t>
      </w:r>
      <w:r>
        <w:rPr>
          <w:rFonts w:hint="eastAsia" w:ascii="Times New Roman" w:hAnsi="Times New Roman" w:eastAsia="宋体" w:cs="Times New Roman"/>
          <w:kern w:val="0"/>
          <w:sz w:val="18"/>
          <w:szCs w:val="20"/>
          <w:lang w:val="en-US" w:eastAsia="zh-CN" w:bidi="ar-SA"/>
        </w:rPr>
        <w:t>招标人</w:t>
      </w:r>
      <w:r>
        <w:rPr>
          <w:rFonts w:ascii="Times New Roman" w:hAnsi="Times New Roman" w:eastAsia="宋体" w:cs="Times New Roman"/>
          <w:kern w:val="0"/>
          <w:sz w:val="18"/>
          <w:szCs w:val="20"/>
          <w:lang w:val="en-US" w:eastAsia="zh-CN" w:bidi="ar-SA"/>
        </w:rPr>
        <w:t>委托的</w:t>
      </w:r>
      <w:r>
        <w:rPr>
          <w:rFonts w:hint="eastAsia" w:ascii="Times New Roman" w:hAnsi="Times New Roman" w:eastAsia="宋体" w:cs="Times New Roman"/>
          <w:kern w:val="0"/>
          <w:sz w:val="18"/>
          <w:szCs w:val="20"/>
          <w:lang w:val="en-US" w:eastAsia="zh-CN" w:bidi="ar-SA"/>
        </w:rPr>
        <w:t>咨询</w:t>
      </w:r>
      <w:r>
        <w:rPr>
          <w:rFonts w:ascii="Times New Roman" w:hAnsi="Times New Roman" w:eastAsia="宋体" w:cs="Times New Roman"/>
          <w:kern w:val="0"/>
          <w:sz w:val="18"/>
          <w:szCs w:val="20"/>
          <w:lang w:val="en-US" w:eastAsia="zh-CN" w:bidi="ar-SA"/>
        </w:rPr>
        <w:t>单位</w:t>
      </w:r>
      <w:r>
        <w:rPr>
          <w:rFonts w:hint="eastAsia" w:ascii="Times New Roman" w:hAnsi="Times New Roman" w:eastAsia="宋体" w:cs="Times New Roman"/>
          <w:kern w:val="0"/>
          <w:sz w:val="18"/>
          <w:szCs w:val="20"/>
          <w:lang w:val="en-US" w:eastAsia="zh-CN" w:bidi="ar-SA"/>
        </w:rPr>
        <w:t>可</w:t>
      </w:r>
      <w:r>
        <w:rPr>
          <w:rFonts w:ascii="Times New Roman" w:hAnsi="Times New Roman" w:eastAsia="宋体" w:cs="Times New Roman"/>
          <w:kern w:val="0"/>
          <w:sz w:val="18"/>
          <w:szCs w:val="20"/>
          <w:lang w:val="en-US" w:eastAsia="zh-CN" w:bidi="ar-SA"/>
        </w:rPr>
        <w:t>依据招标图纸文件，按照交通运输部《公路工程标准施工招标文件》“第七章技术规范”、“第八章工程量清单计量规则”中相关规定，根据项目特点和实际情况进行编制，向投标人免费提供下载。</w:t>
      </w:r>
    </w:p>
  </w:footnote>
  <w:footnote w:id="46">
    <w:p w14:paraId="10BF0FCB">
      <w:pPr>
        <w:widowControl w:val="0"/>
        <w:adjustRightInd w:val="0"/>
        <w:snapToGrid w:val="0"/>
        <w:spacing w:line="240" w:lineRule="auto"/>
        <w:ind w:left="126" w:hanging="147" w:hangingChars="70"/>
        <w:jc w:val="both"/>
        <w:textAlignment w:val="baseline"/>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详见《公路工程标准施工招标文件》（2018年版第三册），</w:t>
      </w:r>
      <w:r>
        <w:rPr>
          <w:rFonts w:ascii="Times New Roman" w:hAnsi="Times New Roman" w:eastAsia="宋体" w:cs="Times New Roman"/>
          <w:kern w:val="0"/>
          <w:sz w:val="18"/>
          <w:szCs w:val="20"/>
          <w:lang w:val="en-US" w:eastAsia="zh-CN" w:bidi="ar-SA"/>
        </w:rPr>
        <w:t>招标人或</w:t>
      </w:r>
      <w:r>
        <w:rPr>
          <w:rFonts w:hint="eastAsia" w:ascii="Times New Roman" w:hAnsi="Times New Roman" w:eastAsia="宋体" w:cs="Times New Roman"/>
          <w:kern w:val="0"/>
          <w:sz w:val="18"/>
          <w:szCs w:val="20"/>
          <w:lang w:val="en-US" w:eastAsia="zh-CN" w:bidi="ar-SA"/>
        </w:rPr>
        <w:t>招标人</w:t>
      </w:r>
      <w:r>
        <w:rPr>
          <w:rFonts w:ascii="Times New Roman" w:hAnsi="Times New Roman" w:eastAsia="宋体" w:cs="Times New Roman"/>
          <w:kern w:val="0"/>
          <w:sz w:val="18"/>
          <w:szCs w:val="20"/>
          <w:lang w:val="en-US" w:eastAsia="zh-CN" w:bidi="ar-SA"/>
        </w:rPr>
        <w:t>委托的</w:t>
      </w:r>
      <w:r>
        <w:rPr>
          <w:rFonts w:hint="eastAsia" w:ascii="Times New Roman" w:hAnsi="Times New Roman" w:eastAsia="宋体" w:cs="Times New Roman"/>
          <w:kern w:val="0"/>
          <w:sz w:val="18"/>
          <w:szCs w:val="20"/>
          <w:lang w:val="en-US" w:eastAsia="zh-CN" w:bidi="ar-SA"/>
        </w:rPr>
        <w:t>咨询</w:t>
      </w:r>
      <w:r>
        <w:rPr>
          <w:rFonts w:ascii="Times New Roman" w:hAnsi="Times New Roman" w:eastAsia="宋体" w:cs="Times New Roman"/>
          <w:kern w:val="0"/>
          <w:sz w:val="18"/>
          <w:szCs w:val="20"/>
          <w:lang w:val="en-US" w:eastAsia="zh-CN" w:bidi="ar-SA"/>
        </w:rPr>
        <w:t>单位</w:t>
      </w:r>
      <w:r>
        <w:rPr>
          <w:rFonts w:hint="eastAsia" w:ascii="Times New Roman" w:hAnsi="Times New Roman" w:eastAsia="宋体" w:cs="Times New Roman"/>
          <w:kern w:val="0"/>
          <w:sz w:val="18"/>
          <w:szCs w:val="20"/>
          <w:lang w:val="en-US" w:eastAsia="zh-CN" w:bidi="ar-SA"/>
        </w:rPr>
        <w:t>可</w:t>
      </w:r>
      <w:r>
        <w:rPr>
          <w:rFonts w:ascii="Times New Roman" w:hAnsi="Times New Roman" w:eastAsia="宋体" w:cs="Times New Roman"/>
          <w:kern w:val="0"/>
          <w:sz w:val="18"/>
          <w:szCs w:val="20"/>
          <w:lang w:val="en-US" w:eastAsia="zh-CN" w:bidi="ar-SA"/>
        </w:rPr>
        <w:t>依据招标图纸文件，按照交通运输部《公路工程标准施工招标文件》“第七章技术规范”、“第八章工程量清单计量规则”中相关规定，根据项目特点和实际情况进行编制，向投标人免费提供下载。</w:t>
      </w:r>
    </w:p>
  </w:footnote>
  <w:footnote w:id="47">
    <w:p w14:paraId="5D52AF59">
      <w:pPr>
        <w:pStyle w:val="31"/>
        <w:ind w:left="210" w:hanging="210"/>
        <w:rPr>
          <w:rFonts w:hint="eastAsia"/>
          <w:szCs w:val="18"/>
        </w:rPr>
      </w:pPr>
      <w:r>
        <w:rPr>
          <w:rStyle w:val="48"/>
          <w:szCs w:val="18"/>
        </w:rPr>
        <w:footnoteRef/>
      </w:r>
      <w:r>
        <w:rPr>
          <w:rFonts w:hint="eastAsia"/>
          <w:szCs w:val="18"/>
        </w:rPr>
        <w:t>招标人可结合招标项目具体特点和实际需要，对本章内容进行补充、细化。</w:t>
      </w:r>
    </w:p>
  </w:footnote>
  <w:footnote w:id="48">
    <w:p w14:paraId="10A26383">
      <w:pPr>
        <w:pStyle w:val="31"/>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49">
    <w:p w14:paraId="5DF9C02F">
      <w:pPr>
        <w:pStyle w:val="31"/>
        <w:spacing w:line="300" w:lineRule="atLeast"/>
        <w:ind w:left="180" w:hanging="210" w:hangingChars="100"/>
        <w:rPr>
          <w:szCs w:val="18"/>
        </w:rPr>
      </w:pPr>
      <w:r>
        <w:rPr>
          <w:rStyle w:val="48"/>
          <w:kern w:val="2"/>
          <w:sz w:val="21"/>
          <w:szCs w:val="18"/>
        </w:rPr>
        <w:footnoteRef/>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50">
    <w:p w14:paraId="26A90EE9">
      <w:pPr>
        <w:pStyle w:val="31"/>
        <w:snapToGrid w:val="0"/>
        <w:ind w:firstLine="0"/>
        <w:rPr>
          <w:rFonts w:hint="default" w:eastAsia="宋体"/>
          <w:lang w:val="en-US" w:eastAsia="zh-CN"/>
        </w:rPr>
      </w:pPr>
      <w:r>
        <w:rPr>
          <w:rStyle w:val="48"/>
        </w:rPr>
        <w:footnoteRef/>
      </w:r>
      <w:r>
        <w:t xml:space="preserve"> </w:t>
      </w:r>
      <w:r>
        <w:rPr>
          <w:rFonts w:hint="eastAsia"/>
          <w:lang w:val="en-US" w:eastAsia="zh-CN"/>
        </w:rPr>
        <w:t>牵头人承担施工的份额不得低于联合体其他成员。</w:t>
      </w:r>
    </w:p>
  </w:footnote>
  <w:footnote w:id="51">
    <w:p w14:paraId="75988817">
      <w:pPr>
        <w:pStyle w:val="31"/>
        <w:spacing w:line="300" w:lineRule="atLeast"/>
        <w:ind w:left="180" w:hanging="180" w:hangingChars="100"/>
        <w:rPr>
          <w:rFonts w:hint="eastAsia" w:ascii="宋体-18030" w:hAnsi="宋体-18030" w:eastAsia="宋体-18030" w:cs="宋体-18030"/>
          <w:szCs w:val="18"/>
        </w:rPr>
      </w:pPr>
      <w:r>
        <w:rPr>
          <w:rStyle w:val="48"/>
          <w:rFonts w:ascii="宋体-18030" w:hAnsi="宋体-18030" w:eastAsia="宋体-18030" w:cs="宋体-18030"/>
          <w:szCs w:val="18"/>
        </w:rPr>
        <w:footnoteRef/>
      </w:r>
      <w:r>
        <w:rPr>
          <w:rFonts w:hint="eastAsia"/>
          <w:szCs w:val="18"/>
        </w:rPr>
        <w:t>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52">
    <w:p w14:paraId="7B05DDBF">
      <w:pPr>
        <w:pStyle w:val="31"/>
        <w:ind w:firstLine="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仅适用于特别复杂的特大桥梁和特长隧道项目主体工程以及其他有特殊要求的工程。</w:t>
      </w:r>
    </w:p>
  </w:footnote>
  <w:footnote w:id="53">
    <w:p w14:paraId="0EB27F2C">
      <w:pPr>
        <w:pStyle w:val="31"/>
        <w:ind w:firstLine="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仅适用于特别复杂的特大桥梁和特长隧道项目主体工程以及其他有特殊要求的工程。</w:t>
      </w:r>
    </w:p>
  </w:footnote>
  <w:footnote w:id="54">
    <w:p w14:paraId="584722E4">
      <w:pPr>
        <w:pStyle w:val="31"/>
        <w:ind w:firstLine="0"/>
        <w:jc w:val="both"/>
        <w:rPr>
          <w:rFonts w:hint="eastAsia" w:ascii="宋体" w:hAnsi="宋体"/>
          <w:sz w:val="21"/>
          <w:szCs w:val="21"/>
        </w:rPr>
      </w:pPr>
      <w:r>
        <w:rPr>
          <w:rStyle w:val="48"/>
          <w:rFonts w:ascii="宋体" w:hAnsi="宋体"/>
        </w:rPr>
        <w:footnoteRef/>
      </w:r>
      <w:r>
        <w:rPr>
          <w:rFonts w:hint="eastAsia" w:ascii="宋体" w:hAnsi="宋体"/>
          <w:szCs w:val="18"/>
        </w:rPr>
        <w:t>本表仅适用于特别复杂的特大桥梁和特长隧道项目主体工程以及其他有特殊要求的工程。</w:t>
      </w:r>
    </w:p>
  </w:footnote>
  <w:footnote w:id="55">
    <w:p w14:paraId="1D02DD29">
      <w:pPr>
        <w:pStyle w:val="31"/>
        <w:ind w:firstLine="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仅适用于特别复杂的特大桥梁和特长隧道项目主体工程以及其他有特殊要求的工程。</w:t>
      </w:r>
    </w:p>
  </w:footnote>
  <w:footnote w:id="56">
    <w:p w14:paraId="164982FA">
      <w:pPr>
        <w:widowControl w:val="0"/>
        <w:adjustRightInd w:val="0"/>
        <w:snapToGrid w:val="0"/>
        <w:spacing w:line="420" w:lineRule="atLeast"/>
        <w:ind w:firstLine="454"/>
        <w:jc w:val="left"/>
        <w:textAlignment w:val="baseline"/>
        <w:rPr>
          <w:rFonts w:hint="default"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若本次招标接受联合体投标，以联合体形式参与投标的投标人，联合体各成员应分别填写信息。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3D8A">
    <w:pPr>
      <w:pStyle w:val="28"/>
      <w:pBdr>
        <w:bottom w:val="none" w:color="auto" w:sz="0" w:space="0"/>
      </w:pBdr>
      <w:tabs>
        <w:tab w:val="left" w:pos="464"/>
        <w:tab w:val="center" w:pos="4397"/>
        <w:tab w:val="right" w:pos="8675"/>
        <w:tab w:val="clear" w:pos="8306"/>
      </w:tabs>
      <w:jc w:val="left"/>
      <w:rPr>
        <w:u w:val="single"/>
      </w:rPr>
    </w:pPr>
    <w:r>
      <w:rPr>
        <w:rFonts w:hint="eastAsia" w:eastAsia="黑体" w:cs="Times New Roman"/>
        <w:sz w:val="20"/>
        <w:szCs w:val="21"/>
        <w:u w:val="single"/>
        <w:lang w:eastAsia="zh-CN"/>
      </w:rPr>
      <w:t>辽宁省公路工程标准施工电子招标文件（2025年版）</w:t>
    </w:r>
    <w:r>
      <w:rPr>
        <w:rFonts w:hint="eastAsia" w:eastAsia="黑体" w:cs="Times New Roman"/>
        <w:sz w:val="20"/>
        <w:szCs w:val="21"/>
        <w:u w:val="single"/>
        <w:lang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72F1">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28B51BF8">
    <w:pPr>
      <w:pStyle w:val="28"/>
    </w:pPr>
  </w:p>
  <w:p w14:paraId="4C11D0E5">
    <w:pPr>
      <w:pStyle w:val="28"/>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A5F0">
    <w:pPr>
      <w:pStyle w:val="28"/>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A163">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76672"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76672;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R9XGUQ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lWPF3ZAAAADAEAAA8AAAAAAAAA&#10;AQAgAAAAIgAAAGRycy9kb3ducmV2LnhtbFBLAQIUABQAAAAIAIdO4kD0fVxlEAIAAHsEAAAOAAAA&#10;AAAAAAEAIAAAACgBAABkcnMvZTJvRG9jLnhtbFBLBQYAAAAABgAGAFkBAACqBQ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6F34">
    <w:pPr>
      <w:pStyle w:val="28"/>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6ADA">
    <w:pPr>
      <w:pStyle w:val="28"/>
      <w:pBdr>
        <w:bottom w:val="single" w:color="auto" w:sz="4" w:space="0"/>
      </w:pBdr>
      <w:jc w:val="left"/>
      <w:rPr>
        <w:szCs w:val="17"/>
      </w:rPr>
    </w:pPr>
    <w:r>
      <w:rPr>
        <w:rFonts w:hint="eastAsia" w:eastAsia="黑体" w:cs="Times New Roman"/>
        <w:sz w:val="20"/>
        <w:szCs w:val="21"/>
        <w:lang w:eastAsia="zh-CN"/>
      </w:rPr>
      <w:t>辽宁省公路工程标准施工电子招标文件（2025年版）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30F5">
    <w:pPr>
      <w:pStyle w:val="28"/>
      <w:pBdr>
        <w:bottom w:val="single" w:color="auto" w:sz="4" w:space="0"/>
      </w:pBdr>
      <w:jc w:val="left"/>
      <w:rPr>
        <w:szCs w:val="17"/>
      </w:rPr>
    </w:pPr>
    <w:r>
      <w:rPr>
        <w:rFonts w:hint="eastAsia" w:eastAsia="黑体" w:cs="Times New Roman"/>
        <w:sz w:val="20"/>
        <w:szCs w:val="21"/>
        <w:lang w:eastAsia="zh-CN"/>
      </w:rPr>
      <w:t>辽宁省公路工程标准施工电子招标文件（2025年版）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5153">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7BDF4D8F">
    <w:pPr>
      <w:pStyle w:val="28"/>
      <w:rPr>
        <w:szCs w:val="17"/>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8BA2">
    <w:pPr>
      <w:pStyle w:val="28"/>
      <w:wordWrap w:val="0"/>
      <w:jc w:val="right"/>
      <w:rPr>
        <w:sz w:val="17"/>
        <w:szCs w:val="17"/>
      </w:rPr>
    </w:pPr>
    <w:r>
      <w:rPr>
        <w:sz w:val="19"/>
        <w:szCs w:val="19"/>
      </w:rPr>
      <mc:AlternateContent>
        <mc:Choice Requires="wps">
          <w:drawing>
            <wp:anchor distT="0" distB="0" distL="114300" distR="114300" simplePos="0" relativeHeight="251672576"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72576;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A680">
    <w:pPr>
      <w:pStyle w:val="28"/>
      <w:pBdr>
        <w:bottom w:val="single" w:color="auto" w:sz="4" w:space="0"/>
      </w:pBdr>
      <w:wordWrap/>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C647">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48ABCB19">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4EF9">
    <w:pPr>
      <w:pStyle w:val="28"/>
      <w:wordWrap w:val="0"/>
      <w:ind w:right="315"/>
      <w:jc w:val="right"/>
      <w:rPr>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BFE2">
    <w:pPr>
      <w:pStyle w:val="28"/>
      <w:pBdr>
        <w:bottom w:val="single" w:color="auto" w:sz="4" w:space="0"/>
      </w:pBdr>
      <w:jc w:val="left"/>
      <w:rPr>
        <w:rFonts w:hint="eastAsia" w:ascii="Times New Roman" w:hAnsi="Times New Roman" w:eastAsia="黑体" w:cs="Times New Roman"/>
        <w:sz w:val="20"/>
        <w:szCs w:val="21"/>
        <w:lang w:eastAsia="zh-CN"/>
      </w:rPr>
    </w:pPr>
    <w:r>
      <w:rPr>
        <w:rFonts w:hint="eastAsia" w:eastAsia="黑体" w:cs="Times New Roman"/>
        <w:sz w:val="20"/>
        <w:szCs w:val="21"/>
        <w:lang w:eastAsia="zh-CN"/>
      </w:rPr>
      <w:t>辽宁省公路工程标准施工电子招标文件（2025年版）</w:t>
    </w:r>
  </w:p>
  <w:p w14:paraId="5B99211C">
    <w:pPr>
      <w:pStyle w:val="28"/>
    </w:pPr>
  </w:p>
  <w:p w14:paraId="0BE5D19F">
    <w:pPr>
      <w:pStyle w:val="28"/>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5EC2">
    <w:pPr>
      <w:pBdr>
        <w:bottom w:val="single" w:color="auto" w:sz="4" w:space="1"/>
      </w:pBdr>
      <w:topLinePunct/>
      <w:spacing w:line="240" w:lineRule="atLeast"/>
      <w:ind w:right="190"/>
      <w:jc w:val="left"/>
      <w:rPr>
        <w:rFonts w:hint="eastAsia" w:eastAsia="黑体"/>
        <w:sz w:val="17"/>
        <w:szCs w:val="17"/>
        <w:lang w:val="en-US" w:eastAsia="zh-CN"/>
      </w:rPr>
    </w:pPr>
    <w:r>
      <w:rPr>
        <w:rStyle w:val="53"/>
        <w:rFonts w:hint="eastAsia" w:eastAsia="黑体"/>
        <w:b w:val="0"/>
        <w:bCs w:val="0"/>
        <w:kern w:val="10"/>
        <w:sz w:val="22"/>
        <w:szCs w:val="22"/>
        <w:lang w:eastAsia="zh-CN"/>
      </w:rPr>
      <w:t>辽宁省公路工程标准施工电子招标文件（2025年版）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4EA9">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6D45BB87">
    <w:pPr>
      <w:pStyle w:val="28"/>
    </w:pPr>
  </w:p>
  <w:p w14:paraId="4F940A40">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13E4">
    <w:pPr>
      <w:pStyle w:val="28"/>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6FBA3">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3C958F20">
    <w:pPr>
      <w:pStyle w:val="2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12C2">
    <w:pPr>
      <w:pStyle w:val="28"/>
      <w:jc w:val="left"/>
      <w:rPr>
        <w:rFonts w:hint="eastAsia" w:eastAsia="宋体"/>
        <w:u w:val="single"/>
        <w:lang w:eastAsia="zh-CN"/>
      </w:rPr>
    </w:pPr>
    <w:r>
      <w:rPr>
        <w:rFonts w:hint="eastAsia" w:eastAsia="黑体" w:cs="Times New Roman"/>
        <w:sz w:val="20"/>
        <w:szCs w:val="21"/>
        <w:u w:val="single"/>
        <w:lang w:eastAsia="zh-CN"/>
      </w:rPr>
      <w:t>辽宁省公路工程标准施工电子招标文件（2025年版）</w:t>
    </w:r>
  </w:p>
  <w:p w14:paraId="63835BE4">
    <w:pPr>
      <w:pStyle w:val="28"/>
      <w:rPr>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114"/>
    <w:footnote w:id="11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ZTQ4Y2Y2NGEzY2MxZDQyNGU0OThlOWNkMmVjZTM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19"/>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5FE"/>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CBB"/>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14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9B5D33"/>
    <w:rsid w:val="01CF0D89"/>
    <w:rsid w:val="01DB6127"/>
    <w:rsid w:val="020D657A"/>
    <w:rsid w:val="0223236F"/>
    <w:rsid w:val="022624E7"/>
    <w:rsid w:val="02287C7B"/>
    <w:rsid w:val="02952C5E"/>
    <w:rsid w:val="02BC242F"/>
    <w:rsid w:val="02E465FD"/>
    <w:rsid w:val="02FB5F01"/>
    <w:rsid w:val="03215A7A"/>
    <w:rsid w:val="03AC38D7"/>
    <w:rsid w:val="03AF33C1"/>
    <w:rsid w:val="03C5064A"/>
    <w:rsid w:val="03CA0201"/>
    <w:rsid w:val="03FD520D"/>
    <w:rsid w:val="04250D9C"/>
    <w:rsid w:val="04324399"/>
    <w:rsid w:val="046E5030"/>
    <w:rsid w:val="047C774D"/>
    <w:rsid w:val="049B596F"/>
    <w:rsid w:val="04CC1D57"/>
    <w:rsid w:val="04E83035"/>
    <w:rsid w:val="05105453"/>
    <w:rsid w:val="053A2227"/>
    <w:rsid w:val="056F47F6"/>
    <w:rsid w:val="058246A6"/>
    <w:rsid w:val="059A5C98"/>
    <w:rsid w:val="05E41A1D"/>
    <w:rsid w:val="05FE5DE3"/>
    <w:rsid w:val="060D3F99"/>
    <w:rsid w:val="065B4DA2"/>
    <w:rsid w:val="06636FB2"/>
    <w:rsid w:val="06A64F55"/>
    <w:rsid w:val="06B55198"/>
    <w:rsid w:val="06C66471"/>
    <w:rsid w:val="07041C7C"/>
    <w:rsid w:val="07222102"/>
    <w:rsid w:val="073B6441"/>
    <w:rsid w:val="07D97889"/>
    <w:rsid w:val="07E30E61"/>
    <w:rsid w:val="07F461D2"/>
    <w:rsid w:val="080B666F"/>
    <w:rsid w:val="083B16CD"/>
    <w:rsid w:val="085207C5"/>
    <w:rsid w:val="089B2A84"/>
    <w:rsid w:val="08AB319A"/>
    <w:rsid w:val="092142EF"/>
    <w:rsid w:val="09525099"/>
    <w:rsid w:val="09774987"/>
    <w:rsid w:val="09B8437B"/>
    <w:rsid w:val="09E15FA8"/>
    <w:rsid w:val="0A00361B"/>
    <w:rsid w:val="0A1C5118"/>
    <w:rsid w:val="0A294445"/>
    <w:rsid w:val="0A456833"/>
    <w:rsid w:val="0A785EBE"/>
    <w:rsid w:val="0AA753AB"/>
    <w:rsid w:val="0AC54D37"/>
    <w:rsid w:val="0ACB4F8A"/>
    <w:rsid w:val="0B544A8F"/>
    <w:rsid w:val="0B5A4560"/>
    <w:rsid w:val="0B952081"/>
    <w:rsid w:val="0B960351"/>
    <w:rsid w:val="0B9E1294"/>
    <w:rsid w:val="0BDD7D11"/>
    <w:rsid w:val="0C746EAB"/>
    <w:rsid w:val="0C8A49D1"/>
    <w:rsid w:val="0CB8497B"/>
    <w:rsid w:val="0CF555B7"/>
    <w:rsid w:val="0CF57E91"/>
    <w:rsid w:val="0D06116E"/>
    <w:rsid w:val="0D305579"/>
    <w:rsid w:val="0D4C1C87"/>
    <w:rsid w:val="0D5867A2"/>
    <w:rsid w:val="0D5B47C8"/>
    <w:rsid w:val="0DA252ED"/>
    <w:rsid w:val="0DB25FD8"/>
    <w:rsid w:val="0E7A1107"/>
    <w:rsid w:val="0ECD60CB"/>
    <w:rsid w:val="0ED57398"/>
    <w:rsid w:val="0ED87C76"/>
    <w:rsid w:val="0EE53CAA"/>
    <w:rsid w:val="0EEC3721"/>
    <w:rsid w:val="0F342827"/>
    <w:rsid w:val="0F4B48EC"/>
    <w:rsid w:val="0F630EB1"/>
    <w:rsid w:val="0F6A1754"/>
    <w:rsid w:val="0F6B6962"/>
    <w:rsid w:val="0FBE2456"/>
    <w:rsid w:val="0FBF030D"/>
    <w:rsid w:val="0FCF7A0F"/>
    <w:rsid w:val="0FD3668F"/>
    <w:rsid w:val="0FE443F8"/>
    <w:rsid w:val="0FE53F92"/>
    <w:rsid w:val="0FED5C57"/>
    <w:rsid w:val="10075607"/>
    <w:rsid w:val="101501AD"/>
    <w:rsid w:val="106F0518"/>
    <w:rsid w:val="10807302"/>
    <w:rsid w:val="1083627A"/>
    <w:rsid w:val="108B13C2"/>
    <w:rsid w:val="10A92DD3"/>
    <w:rsid w:val="113349F9"/>
    <w:rsid w:val="116515C8"/>
    <w:rsid w:val="1175349A"/>
    <w:rsid w:val="11EE5EEA"/>
    <w:rsid w:val="11FC1ECD"/>
    <w:rsid w:val="12284C92"/>
    <w:rsid w:val="124A3F3F"/>
    <w:rsid w:val="127C4DBC"/>
    <w:rsid w:val="129E4D82"/>
    <w:rsid w:val="12AC31BF"/>
    <w:rsid w:val="12D84F2E"/>
    <w:rsid w:val="12D940DE"/>
    <w:rsid w:val="12E14C45"/>
    <w:rsid w:val="12F6691D"/>
    <w:rsid w:val="1303121D"/>
    <w:rsid w:val="132C25A9"/>
    <w:rsid w:val="13516249"/>
    <w:rsid w:val="13555C66"/>
    <w:rsid w:val="135A334F"/>
    <w:rsid w:val="1379754E"/>
    <w:rsid w:val="137E6702"/>
    <w:rsid w:val="13855EF2"/>
    <w:rsid w:val="139A42D3"/>
    <w:rsid w:val="139B3968"/>
    <w:rsid w:val="13AA0314"/>
    <w:rsid w:val="13BF31B2"/>
    <w:rsid w:val="13BF47FD"/>
    <w:rsid w:val="13D12EE6"/>
    <w:rsid w:val="13F758F1"/>
    <w:rsid w:val="13FA2E27"/>
    <w:rsid w:val="14382F65"/>
    <w:rsid w:val="14732CC4"/>
    <w:rsid w:val="14787805"/>
    <w:rsid w:val="1486741F"/>
    <w:rsid w:val="14A012B1"/>
    <w:rsid w:val="14C57CDA"/>
    <w:rsid w:val="14D40EDF"/>
    <w:rsid w:val="14E13D7A"/>
    <w:rsid w:val="14E60FC5"/>
    <w:rsid w:val="14F94DE7"/>
    <w:rsid w:val="15320708"/>
    <w:rsid w:val="15320AA9"/>
    <w:rsid w:val="154B447A"/>
    <w:rsid w:val="15D46D50"/>
    <w:rsid w:val="15F34711"/>
    <w:rsid w:val="15F90702"/>
    <w:rsid w:val="16077093"/>
    <w:rsid w:val="160F7CF5"/>
    <w:rsid w:val="162166CB"/>
    <w:rsid w:val="16375ECF"/>
    <w:rsid w:val="16B40898"/>
    <w:rsid w:val="16C968FB"/>
    <w:rsid w:val="16DA6555"/>
    <w:rsid w:val="16E80C72"/>
    <w:rsid w:val="1705493D"/>
    <w:rsid w:val="17215DB7"/>
    <w:rsid w:val="1736653A"/>
    <w:rsid w:val="174C7453"/>
    <w:rsid w:val="177A699D"/>
    <w:rsid w:val="17B46CFB"/>
    <w:rsid w:val="17D8243D"/>
    <w:rsid w:val="18367024"/>
    <w:rsid w:val="18381BC6"/>
    <w:rsid w:val="185F0EA1"/>
    <w:rsid w:val="18624A54"/>
    <w:rsid w:val="186938B7"/>
    <w:rsid w:val="18851D55"/>
    <w:rsid w:val="18C13618"/>
    <w:rsid w:val="18F460C2"/>
    <w:rsid w:val="19051B6A"/>
    <w:rsid w:val="19150E7F"/>
    <w:rsid w:val="191E097B"/>
    <w:rsid w:val="19206410"/>
    <w:rsid w:val="193E287A"/>
    <w:rsid w:val="195720DF"/>
    <w:rsid w:val="19622356"/>
    <w:rsid w:val="19802244"/>
    <w:rsid w:val="198028E2"/>
    <w:rsid w:val="19930475"/>
    <w:rsid w:val="19A12CBE"/>
    <w:rsid w:val="19E1230A"/>
    <w:rsid w:val="19E962F6"/>
    <w:rsid w:val="1A225F12"/>
    <w:rsid w:val="1A2F6BB8"/>
    <w:rsid w:val="1A352354"/>
    <w:rsid w:val="1A47372A"/>
    <w:rsid w:val="1A556EF5"/>
    <w:rsid w:val="1A7D03A7"/>
    <w:rsid w:val="1A877ED4"/>
    <w:rsid w:val="1B3452EB"/>
    <w:rsid w:val="1B8013F7"/>
    <w:rsid w:val="1B8E049C"/>
    <w:rsid w:val="1B9B0E19"/>
    <w:rsid w:val="1BB13295"/>
    <w:rsid w:val="1BB9498B"/>
    <w:rsid w:val="1BCC1DC6"/>
    <w:rsid w:val="1BDC4942"/>
    <w:rsid w:val="1BF80445"/>
    <w:rsid w:val="1BF92425"/>
    <w:rsid w:val="1C2E32EC"/>
    <w:rsid w:val="1C6E39C8"/>
    <w:rsid w:val="1C8F12C8"/>
    <w:rsid w:val="1C9A707C"/>
    <w:rsid w:val="1CF55E97"/>
    <w:rsid w:val="1CF63BC0"/>
    <w:rsid w:val="1D72244E"/>
    <w:rsid w:val="1D8A5E16"/>
    <w:rsid w:val="1D9F3C04"/>
    <w:rsid w:val="1DB91B5D"/>
    <w:rsid w:val="1DC9230F"/>
    <w:rsid w:val="1DFC3698"/>
    <w:rsid w:val="1E0345E3"/>
    <w:rsid w:val="1E0647C5"/>
    <w:rsid w:val="1E3608F3"/>
    <w:rsid w:val="1EBF46A7"/>
    <w:rsid w:val="1EDF2369"/>
    <w:rsid w:val="1F040613"/>
    <w:rsid w:val="1F200154"/>
    <w:rsid w:val="1F417171"/>
    <w:rsid w:val="1F4B4494"/>
    <w:rsid w:val="1F582468"/>
    <w:rsid w:val="1F8C2A73"/>
    <w:rsid w:val="1F8C3809"/>
    <w:rsid w:val="1F8D6BFE"/>
    <w:rsid w:val="1FCD2AA2"/>
    <w:rsid w:val="200B7C2C"/>
    <w:rsid w:val="204C4276"/>
    <w:rsid w:val="20567506"/>
    <w:rsid w:val="205A2A93"/>
    <w:rsid w:val="20914128"/>
    <w:rsid w:val="213B5E42"/>
    <w:rsid w:val="214178FD"/>
    <w:rsid w:val="2191285E"/>
    <w:rsid w:val="21EF7359"/>
    <w:rsid w:val="21F0363B"/>
    <w:rsid w:val="21F94D1F"/>
    <w:rsid w:val="22206454"/>
    <w:rsid w:val="22241AE3"/>
    <w:rsid w:val="22360C22"/>
    <w:rsid w:val="22397D58"/>
    <w:rsid w:val="223E448F"/>
    <w:rsid w:val="225B3EBB"/>
    <w:rsid w:val="22832D4C"/>
    <w:rsid w:val="228C4BA7"/>
    <w:rsid w:val="22920A1B"/>
    <w:rsid w:val="22CB660A"/>
    <w:rsid w:val="22DB0789"/>
    <w:rsid w:val="2307194D"/>
    <w:rsid w:val="231F117D"/>
    <w:rsid w:val="234500A6"/>
    <w:rsid w:val="23640EA6"/>
    <w:rsid w:val="23662313"/>
    <w:rsid w:val="237F37C8"/>
    <w:rsid w:val="238547DE"/>
    <w:rsid w:val="23CA2319"/>
    <w:rsid w:val="23E4668C"/>
    <w:rsid w:val="23F24EDE"/>
    <w:rsid w:val="24352EBB"/>
    <w:rsid w:val="2456729E"/>
    <w:rsid w:val="247C0254"/>
    <w:rsid w:val="24A3267C"/>
    <w:rsid w:val="24E85830"/>
    <w:rsid w:val="2500391B"/>
    <w:rsid w:val="25043B62"/>
    <w:rsid w:val="25295B12"/>
    <w:rsid w:val="252A328F"/>
    <w:rsid w:val="25425D52"/>
    <w:rsid w:val="25503253"/>
    <w:rsid w:val="25787F96"/>
    <w:rsid w:val="25CF3ED6"/>
    <w:rsid w:val="25D725DE"/>
    <w:rsid w:val="25DA20CE"/>
    <w:rsid w:val="261F3F85"/>
    <w:rsid w:val="26341C2C"/>
    <w:rsid w:val="263961BD"/>
    <w:rsid w:val="2666008D"/>
    <w:rsid w:val="26A52B1C"/>
    <w:rsid w:val="26E21CEE"/>
    <w:rsid w:val="272938E6"/>
    <w:rsid w:val="273713E4"/>
    <w:rsid w:val="274769D1"/>
    <w:rsid w:val="2778394C"/>
    <w:rsid w:val="27BD3A55"/>
    <w:rsid w:val="27D329D2"/>
    <w:rsid w:val="27E47572"/>
    <w:rsid w:val="28056DA0"/>
    <w:rsid w:val="282E0A77"/>
    <w:rsid w:val="283261F1"/>
    <w:rsid w:val="287C121A"/>
    <w:rsid w:val="28987C75"/>
    <w:rsid w:val="28D00AD7"/>
    <w:rsid w:val="2908745E"/>
    <w:rsid w:val="29485C35"/>
    <w:rsid w:val="294F0E2A"/>
    <w:rsid w:val="29A749BD"/>
    <w:rsid w:val="29B570DA"/>
    <w:rsid w:val="29D84B76"/>
    <w:rsid w:val="29F83574"/>
    <w:rsid w:val="2A0B5E22"/>
    <w:rsid w:val="2A1262DA"/>
    <w:rsid w:val="2A1C3B9F"/>
    <w:rsid w:val="2A367F13"/>
    <w:rsid w:val="2A4E7AC9"/>
    <w:rsid w:val="2A6571D9"/>
    <w:rsid w:val="2A7C19A5"/>
    <w:rsid w:val="2AA077A9"/>
    <w:rsid w:val="2AA1765E"/>
    <w:rsid w:val="2AF459E0"/>
    <w:rsid w:val="2B623335"/>
    <w:rsid w:val="2B6F71A6"/>
    <w:rsid w:val="2B9F589A"/>
    <w:rsid w:val="2BBE286E"/>
    <w:rsid w:val="2BFD78DC"/>
    <w:rsid w:val="2C752714"/>
    <w:rsid w:val="2C7B1E59"/>
    <w:rsid w:val="2C7F52AD"/>
    <w:rsid w:val="2CE4003B"/>
    <w:rsid w:val="2D0363AE"/>
    <w:rsid w:val="2D142369"/>
    <w:rsid w:val="2D311100"/>
    <w:rsid w:val="2D5B7F98"/>
    <w:rsid w:val="2D8868B3"/>
    <w:rsid w:val="2D957CF5"/>
    <w:rsid w:val="2DDD37EA"/>
    <w:rsid w:val="2DEF2F2B"/>
    <w:rsid w:val="2DF13843"/>
    <w:rsid w:val="2E0B6942"/>
    <w:rsid w:val="2E13617D"/>
    <w:rsid w:val="2ECA43EE"/>
    <w:rsid w:val="2EF0181A"/>
    <w:rsid w:val="2EFE144D"/>
    <w:rsid w:val="2F0106CB"/>
    <w:rsid w:val="2F1D3524"/>
    <w:rsid w:val="2F3A1EFF"/>
    <w:rsid w:val="2FD72080"/>
    <w:rsid w:val="2FEA2E83"/>
    <w:rsid w:val="300B5864"/>
    <w:rsid w:val="300D151A"/>
    <w:rsid w:val="301E35DD"/>
    <w:rsid w:val="306E7FE2"/>
    <w:rsid w:val="30AA4E20"/>
    <w:rsid w:val="30B5232B"/>
    <w:rsid w:val="30F5600E"/>
    <w:rsid w:val="314F1BC2"/>
    <w:rsid w:val="31666628"/>
    <w:rsid w:val="316D218A"/>
    <w:rsid w:val="316D3DD0"/>
    <w:rsid w:val="3172765E"/>
    <w:rsid w:val="31E30425"/>
    <w:rsid w:val="32031062"/>
    <w:rsid w:val="32563F2B"/>
    <w:rsid w:val="32DF0D23"/>
    <w:rsid w:val="33010C9A"/>
    <w:rsid w:val="33254432"/>
    <w:rsid w:val="335A2AA0"/>
    <w:rsid w:val="33613FFE"/>
    <w:rsid w:val="336143E6"/>
    <w:rsid w:val="3364747B"/>
    <w:rsid w:val="337445BC"/>
    <w:rsid w:val="34346E4D"/>
    <w:rsid w:val="34692E8B"/>
    <w:rsid w:val="347A0E47"/>
    <w:rsid w:val="34886BFB"/>
    <w:rsid w:val="348C6C89"/>
    <w:rsid w:val="34957CEA"/>
    <w:rsid w:val="34EF4842"/>
    <w:rsid w:val="34F66FC6"/>
    <w:rsid w:val="352670DE"/>
    <w:rsid w:val="35305866"/>
    <w:rsid w:val="3537548D"/>
    <w:rsid w:val="35414F6E"/>
    <w:rsid w:val="354B6D7F"/>
    <w:rsid w:val="3576279B"/>
    <w:rsid w:val="357A2DF7"/>
    <w:rsid w:val="359327CA"/>
    <w:rsid w:val="35A41BC7"/>
    <w:rsid w:val="35C70A00"/>
    <w:rsid w:val="35E37C57"/>
    <w:rsid w:val="36003B87"/>
    <w:rsid w:val="36320DCE"/>
    <w:rsid w:val="36940077"/>
    <w:rsid w:val="36993E75"/>
    <w:rsid w:val="36D3445E"/>
    <w:rsid w:val="37075C97"/>
    <w:rsid w:val="374B13F0"/>
    <w:rsid w:val="374B61CE"/>
    <w:rsid w:val="3756191A"/>
    <w:rsid w:val="37671737"/>
    <w:rsid w:val="37B704C1"/>
    <w:rsid w:val="37D75647"/>
    <w:rsid w:val="37DB681C"/>
    <w:rsid w:val="381310BB"/>
    <w:rsid w:val="38141101"/>
    <w:rsid w:val="38262F51"/>
    <w:rsid w:val="384C15E7"/>
    <w:rsid w:val="3862042D"/>
    <w:rsid w:val="3862667F"/>
    <w:rsid w:val="38904AB2"/>
    <w:rsid w:val="38A071A7"/>
    <w:rsid w:val="38A772D5"/>
    <w:rsid w:val="38C01602"/>
    <w:rsid w:val="39197C9B"/>
    <w:rsid w:val="39243B3D"/>
    <w:rsid w:val="396B3311"/>
    <w:rsid w:val="3975553A"/>
    <w:rsid w:val="397D3863"/>
    <w:rsid w:val="39A14223"/>
    <w:rsid w:val="39A828A4"/>
    <w:rsid w:val="39E24842"/>
    <w:rsid w:val="39E7368D"/>
    <w:rsid w:val="3A0E1EEE"/>
    <w:rsid w:val="3A2E618F"/>
    <w:rsid w:val="3A346490"/>
    <w:rsid w:val="3A8B1791"/>
    <w:rsid w:val="3AC56C4A"/>
    <w:rsid w:val="3AD0485E"/>
    <w:rsid w:val="3AE73B09"/>
    <w:rsid w:val="3B011BDC"/>
    <w:rsid w:val="3B217D32"/>
    <w:rsid w:val="3B6B584A"/>
    <w:rsid w:val="3BC574B5"/>
    <w:rsid w:val="3BFA7031"/>
    <w:rsid w:val="3C0D6901"/>
    <w:rsid w:val="3C6D55F2"/>
    <w:rsid w:val="3CC2593E"/>
    <w:rsid w:val="3D1433A2"/>
    <w:rsid w:val="3D29758D"/>
    <w:rsid w:val="3D3D4FC4"/>
    <w:rsid w:val="3D93125D"/>
    <w:rsid w:val="3D9C2ADA"/>
    <w:rsid w:val="3DB8289D"/>
    <w:rsid w:val="3DC93E69"/>
    <w:rsid w:val="3E2724E7"/>
    <w:rsid w:val="3E27676D"/>
    <w:rsid w:val="3E795988"/>
    <w:rsid w:val="3E8804C1"/>
    <w:rsid w:val="3E907376"/>
    <w:rsid w:val="3ECB4852"/>
    <w:rsid w:val="3EDE3CCE"/>
    <w:rsid w:val="3F177A97"/>
    <w:rsid w:val="3F213F04"/>
    <w:rsid w:val="3F421D64"/>
    <w:rsid w:val="3F951D52"/>
    <w:rsid w:val="3FC901E2"/>
    <w:rsid w:val="40363F4D"/>
    <w:rsid w:val="40477F08"/>
    <w:rsid w:val="40AF00F4"/>
    <w:rsid w:val="40C1415E"/>
    <w:rsid w:val="40C41559"/>
    <w:rsid w:val="410D3D4D"/>
    <w:rsid w:val="41112B20"/>
    <w:rsid w:val="41377EA7"/>
    <w:rsid w:val="413F78B7"/>
    <w:rsid w:val="415914C1"/>
    <w:rsid w:val="41766CF7"/>
    <w:rsid w:val="418677AA"/>
    <w:rsid w:val="41B25855"/>
    <w:rsid w:val="41B62AEC"/>
    <w:rsid w:val="41BC374E"/>
    <w:rsid w:val="41C90103"/>
    <w:rsid w:val="42597C94"/>
    <w:rsid w:val="427D0B61"/>
    <w:rsid w:val="429B3FD5"/>
    <w:rsid w:val="42C65A5C"/>
    <w:rsid w:val="42C822A4"/>
    <w:rsid w:val="42EB101F"/>
    <w:rsid w:val="43140575"/>
    <w:rsid w:val="434846C3"/>
    <w:rsid w:val="434B078A"/>
    <w:rsid w:val="438870AF"/>
    <w:rsid w:val="43A126F0"/>
    <w:rsid w:val="43BA2B9E"/>
    <w:rsid w:val="43E80323"/>
    <w:rsid w:val="43EA6644"/>
    <w:rsid w:val="43FA5FE2"/>
    <w:rsid w:val="44322D4A"/>
    <w:rsid w:val="444A6219"/>
    <w:rsid w:val="44A26055"/>
    <w:rsid w:val="44F77F05"/>
    <w:rsid w:val="45065628"/>
    <w:rsid w:val="458B6612"/>
    <w:rsid w:val="45D03A9B"/>
    <w:rsid w:val="45D8555E"/>
    <w:rsid w:val="45F770E7"/>
    <w:rsid w:val="4618414C"/>
    <w:rsid w:val="46197037"/>
    <w:rsid w:val="463351B6"/>
    <w:rsid w:val="469D4D26"/>
    <w:rsid w:val="46AB6703"/>
    <w:rsid w:val="46BC589A"/>
    <w:rsid w:val="4736312B"/>
    <w:rsid w:val="47412E3C"/>
    <w:rsid w:val="475E0317"/>
    <w:rsid w:val="476602F6"/>
    <w:rsid w:val="478F0B12"/>
    <w:rsid w:val="4791079B"/>
    <w:rsid w:val="479B3792"/>
    <w:rsid w:val="47A02B50"/>
    <w:rsid w:val="47A869D1"/>
    <w:rsid w:val="47AC1243"/>
    <w:rsid w:val="47AD2D46"/>
    <w:rsid w:val="47C02B27"/>
    <w:rsid w:val="47C031D6"/>
    <w:rsid w:val="47FF5F01"/>
    <w:rsid w:val="481B23A3"/>
    <w:rsid w:val="485B2011"/>
    <w:rsid w:val="4880045B"/>
    <w:rsid w:val="48966751"/>
    <w:rsid w:val="489F24E0"/>
    <w:rsid w:val="48A94357"/>
    <w:rsid w:val="48AC1C02"/>
    <w:rsid w:val="48B872A7"/>
    <w:rsid w:val="48BE60EA"/>
    <w:rsid w:val="4948005A"/>
    <w:rsid w:val="498E6BA8"/>
    <w:rsid w:val="49AE1FB3"/>
    <w:rsid w:val="49D74501"/>
    <w:rsid w:val="4A3634C7"/>
    <w:rsid w:val="4A3B4A5C"/>
    <w:rsid w:val="4AAB53E3"/>
    <w:rsid w:val="4AD44DC9"/>
    <w:rsid w:val="4AEC75EE"/>
    <w:rsid w:val="4AEF36A5"/>
    <w:rsid w:val="4AF306B5"/>
    <w:rsid w:val="4B0522CA"/>
    <w:rsid w:val="4B447D1C"/>
    <w:rsid w:val="4B5C0D0B"/>
    <w:rsid w:val="4C8B5BC6"/>
    <w:rsid w:val="4D081D6E"/>
    <w:rsid w:val="4D153050"/>
    <w:rsid w:val="4D1A2C2C"/>
    <w:rsid w:val="4D3B0DF4"/>
    <w:rsid w:val="4D4C3002"/>
    <w:rsid w:val="4D5214EF"/>
    <w:rsid w:val="4D79052A"/>
    <w:rsid w:val="4D7E0E31"/>
    <w:rsid w:val="4D8F77C9"/>
    <w:rsid w:val="4D987FF5"/>
    <w:rsid w:val="4DCF7BA8"/>
    <w:rsid w:val="4DD82969"/>
    <w:rsid w:val="4E025A20"/>
    <w:rsid w:val="4E355844"/>
    <w:rsid w:val="4E3B5B69"/>
    <w:rsid w:val="4E4C43BA"/>
    <w:rsid w:val="4E7B0D91"/>
    <w:rsid w:val="4E997359"/>
    <w:rsid w:val="4ED92F65"/>
    <w:rsid w:val="4EDD4E60"/>
    <w:rsid w:val="4EFB2D25"/>
    <w:rsid w:val="4F0D3938"/>
    <w:rsid w:val="4F3E57BE"/>
    <w:rsid w:val="4F46001C"/>
    <w:rsid w:val="4F766E4A"/>
    <w:rsid w:val="4F7D13F7"/>
    <w:rsid w:val="4FFF6735"/>
    <w:rsid w:val="50224539"/>
    <w:rsid w:val="503B7ECA"/>
    <w:rsid w:val="50454464"/>
    <w:rsid w:val="50544178"/>
    <w:rsid w:val="50562373"/>
    <w:rsid w:val="50A0169A"/>
    <w:rsid w:val="50AE7376"/>
    <w:rsid w:val="50D15CF8"/>
    <w:rsid w:val="51113F85"/>
    <w:rsid w:val="512962D7"/>
    <w:rsid w:val="51501312"/>
    <w:rsid w:val="518D4B89"/>
    <w:rsid w:val="519059F2"/>
    <w:rsid w:val="51A72DA3"/>
    <w:rsid w:val="51D6733E"/>
    <w:rsid w:val="51D718C7"/>
    <w:rsid w:val="51EC265D"/>
    <w:rsid w:val="51F06CF2"/>
    <w:rsid w:val="51FB0B52"/>
    <w:rsid w:val="52493DF8"/>
    <w:rsid w:val="52C06024"/>
    <w:rsid w:val="52CF44B9"/>
    <w:rsid w:val="52E863D3"/>
    <w:rsid w:val="53147F85"/>
    <w:rsid w:val="532A2A4A"/>
    <w:rsid w:val="533407C0"/>
    <w:rsid w:val="535D7D17"/>
    <w:rsid w:val="536426E8"/>
    <w:rsid w:val="53C71634"/>
    <w:rsid w:val="53DF072C"/>
    <w:rsid w:val="542E3461"/>
    <w:rsid w:val="54414F42"/>
    <w:rsid w:val="547D2C1A"/>
    <w:rsid w:val="54D83366"/>
    <w:rsid w:val="54DE6C35"/>
    <w:rsid w:val="54F1690F"/>
    <w:rsid w:val="54F324F8"/>
    <w:rsid w:val="55381ED8"/>
    <w:rsid w:val="553B4B8E"/>
    <w:rsid w:val="5543788A"/>
    <w:rsid w:val="55480C59"/>
    <w:rsid w:val="554F18E1"/>
    <w:rsid w:val="557650C0"/>
    <w:rsid w:val="55BE4C30"/>
    <w:rsid w:val="55D32512"/>
    <w:rsid w:val="563E7AA9"/>
    <w:rsid w:val="568850AA"/>
    <w:rsid w:val="56C25B6C"/>
    <w:rsid w:val="56F22E81"/>
    <w:rsid w:val="570D735E"/>
    <w:rsid w:val="57140367"/>
    <w:rsid w:val="57154464"/>
    <w:rsid w:val="57313F33"/>
    <w:rsid w:val="5748072D"/>
    <w:rsid w:val="575D6106"/>
    <w:rsid w:val="5795532F"/>
    <w:rsid w:val="57A35F14"/>
    <w:rsid w:val="57B9772B"/>
    <w:rsid w:val="57E01E89"/>
    <w:rsid w:val="57E83927"/>
    <w:rsid w:val="57FB5891"/>
    <w:rsid w:val="5805272B"/>
    <w:rsid w:val="5814296E"/>
    <w:rsid w:val="581A153C"/>
    <w:rsid w:val="58207C04"/>
    <w:rsid w:val="582912B6"/>
    <w:rsid w:val="585A4F2F"/>
    <w:rsid w:val="585D65C1"/>
    <w:rsid w:val="58B303D9"/>
    <w:rsid w:val="58F70628"/>
    <w:rsid w:val="58FA7DB6"/>
    <w:rsid w:val="595765E7"/>
    <w:rsid w:val="597638E0"/>
    <w:rsid w:val="59A05FAE"/>
    <w:rsid w:val="59A349B6"/>
    <w:rsid w:val="59CB2704"/>
    <w:rsid w:val="59E1204C"/>
    <w:rsid w:val="5A0A04CC"/>
    <w:rsid w:val="5A56162A"/>
    <w:rsid w:val="5ACE32A8"/>
    <w:rsid w:val="5B1F079D"/>
    <w:rsid w:val="5B526733"/>
    <w:rsid w:val="5B562F03"/>
    <w:rsid w:val="5B5F03A4"/>
    <w:rsid w:val="5B8A1310"/>
    <w:rsid w:val="5B8D3163"/>
    <w:rsid w:val="5BF1122A"/>
    <w:rsid w:val="5C063D09"/>
    <w:rsid w:val="5C080114"/>
    <w:rsid w:val="5C12295F"/>
    <w:rsid w:val="5C127F2F"/>
    <w:rsid w:val="5C283EC9"/>
    <w:rsid w:val="5C32705D"/>
    <w:rsid w:val="5C437174"/>
    <w:rsid w:val="5CA2305B"/>
    <w:rsid w:val="5CE72BA5"/>
    <w:rsid w:val="5D0E7222"/>
    <w:rsid w:val="5D51434E"/>
    <w:rsid w:val="5D716BFF"/>
    <w:rsid w:val="5DAE4430"/>
    <w:rsid w:val="5DB71AE2"/>
    <w:rsid w:val="5DBF46C1"/>
    <w:rsid w:val="5DC23EA0"/>
    <w:rsid w:val="5DC866D4"/>
    <w:rsid w:val="5E50108F"/>
    <w:rsid w:val="5EA12E97"/>
    <w:rsid w:val="5EDB4749"/>
    <w:rsid w:val="5F2416FD"/>
    <w:rsid w:val="5F29531B"/>
    <w:rsid w:val="5F2D2C93"/>
    <w:rsid w:val="5F5A335C"/>
    <w:rsid w:val="5F750196"/>
    <w:rsid w:val="5F9728E0"/>
    <w:rsid w:val="5F9F09A1"/>
    <w:rsid w:val="5FBE1B3D"/>
    <w:rsid w:val="5FC03B07"/>
    <w:rsid w:val="5FD737D1"/>
    <w:rsid w:val="600A7372"/>
    <w:rsid w:val="603077A1"/>
    <w:rsid w:val="60384C08"/>
    <w:rsid w:val="603D5158"/>
    <w:rsid w:val="604A3DA3"/>
    <w:rsid w:val="60673F83"/>
    <w:rsid w:val="606968D4"/>
    <w:rsid w:val="60940AF0"/>
    <w:rsid w:val="60A11A1B"/>
    <w:rsid w:val="60A26FD1"/>
    <w:rsid w:val="60AE3960"/>
    <w:rsid w:val="60DA6DED"/>
    <w:rsid w:val="612158E8"/>
    <w:rsid w:val="612913C7"/>
    <w:rsid w:val="612B7408"/>
    <w:rsid w:val="6148180F"/>
    <w:rsid w:val="617B7D81"/>
    <w:rsid w:val="61A90EE7"/>
    <w:rsid w:val="61B70402"/>
    <w:rsid w:val="61FB55A6"/>
    <w:rsid w:val="62524AEA"/>
    <w:rsid w:val="62610F56"/>
    <w:rsid w:val="6275524C"/>
    <w:rsid w:val="628462D0"/>
    <w:rsid w:val="62B60044"/>
    <w:rsid w:val="62EE44E7"/>
    <w:rsid w:val="62F6602C"/>
    <w:rsid w:val="630B0D25"/>
    <w:rsid w:val="633B5253"/>
    <w:rsid w:val="637E5499"/>
    <w:rsid w:val="6388493C"/>
    <w:rsid w:val="639D576F"/>
    <w:rsid w:val="63EC3E4B"/>
    <w:rsid w:val="642C28A1"/>
    <w:rsid w:val="644D16E1"/>
    <w:rsid w:val="64680C55"/>
    <w:rsid w:val="64861D7B"/>
    <w:rsid w:val="648D6455"/>
    <w:rsid w:val="655C29BA"/>
    <w:rsid w:val="65742EC7"/>
    <w:rsid w:val="6580369E"/>
    <w:rsid w:val="65931376"/>
    <w:rsid w:val="65D24D07"/>
    <w:rsid w:val="65E816C2"/>
    <w:rsid w:val="660364FC"/>
    <w:rsid w:val="660E7CE2"/>
    <w:rsid w:val="666D68AF"/>
    <w:rsid w:val="66B141AA"/>
    <w:rsid w:val="66C8504F"/>
    <w:rsid w:val="66CC3556"/>
    <w:rsid w:val="66E638C0"/>
    <w:rsid w:val="66E95763"/>
    <w:rsid w:val="6725610F"/>
    <w:rsid w:val="672C1A82"/>
    <w:rsid w:val="6759645C"/>
    <w:rsid w:val="676C20F3"/>
    <w:rsid w:val="676C45F3"/>
    <w:rsid w:val="67801DCE"/>
    <w:rsid w:val="67F53618"/>
    <w:rsid w:val="6804655B"/>
    <w:rsid w:val="6820733F"/>
    <w:rsid w:val="68210EBB"/>
    <w:rsid w:val="688C4126"/>
    <w:rsid w:val="68A851D6"/>
    <w:rsid w:val="68F42334"/>
    <w:rsid w:val="68F465CF"/>
    <w:rsid w:val="691B590A"/>
    <w:rsid w:val="69423AFE"/>
    <w:rsid w:val="694D30F2"/>
    <w:rsid w:val="69572F2E"/>
    <w:rsid w:val="69631A3C"/>
    <w:rsid w:val="697F4AA5"/>
    <w:rsid w:val="699B5379"/>
    <w:rsid w:val="69B34B93"/>
    <w:rsid w:val="69B549C5"/>
    <w:rsid w:val="69DF102E"/>
    <w:rsid w:val="69F13A07"/>
    <w:rsid w:val="69F45E5D"/>
    <w:rsid w:val="6A3A2708"/>
    <w:rsid w:val="6A44239D"/>
    <w:rsid w:val="6A4721BE"/>
    <w:rsid w:val="6A75300F"/>
    <w:rsid w:val="6AA735D6"/>
    <w:rsid w:val="6AD93563"/>
    <w:rsid w:val="6ADD7165"/>
    <w:rsid w:val="6B2D5DC9"/>
    <w:rsid w:val="6B39476E"/>
    <w:rsid w:val="6B3E69F2"/>
    <w:rsid w:val="6B6E6329"/>
    <w:rsid w:val="6BB34520"/>
    <w:rsid w:val="6BF665EC"/>
    <w:rsid w:val="6BFD6405"/>
    <w:rsid w:val="6C1A459F"/>
    <w:rsid w:val="6C2350B1"/>
    <w:rsid w:val="6C2E1FA5"/>
    <w:rsid w:val="6C68086C"/>
    <w:rsid w:val="6C7D68DC"/>
    <w:rsid w:val="6C9672F5"/>
    <w:rsid w:val="6CAF1D3C"/>
    <w:rsid w:val="6CD40BF2"/>
    <w:rsid w:val="6CE030B0"/>
    <w:rsid w:val="6CF556F7"/>
    <w:rsid w:val="6D4A4A10"/>
    <w:rsid w:val="6D4B6130"/>
    <w:rsid w:val="6D6E4F1D"/>
    <w:rsid w:val="6D792DBA"/>
    <w:rsid w:val="6D846501"/>
    <w:rsid w:val="6D940869"/>
    <w:rsid w:val="6DA00AD4"/>
    <w:rsid w:val="6DB14A8F"/>
    <w:rsid w:val="6DB9605E"/>
    <w:rsid w:val="6E2200E3"/>
    <w:rsid w:val="6E6F7FAE"/>
    <w:rsid w:val="6EB0094B"/>
    <w:rsid w:val="6F082DD5"/>
    <w:rsid w:val="6F16554D"/>
    <w:rsid w:val="6F1B4E65"/>
    <w:rsid w:val="6F2C2BA0"/>
    <w:rsid w:val="6F2E3093"/>
    <w:rsid w:val="6F4162E7"/>
    <w:rsid w:val="6F5953DE"/>
    <w:rsid w:val="6F8259ED"/>
    <w:rsid w:val="6FD459CC"/>
    <w:rsid w:val="7054775D"/>
    <w:rsid w:val="7056191E"/>
    <w:rsid w:val="70983CE4"/>
    <w:rsid w:val="70B22023"/>
    <w:rsid w:val="70D43718"/>
    <w:rsid w:val="70D91188"/>
    <w:rsid w:val="70DC4260"/>
    <w:rsid w:val="70E22E6B"/>
    <w:rsid w:val="70E44F58"/>
    <w:rsid w:val="71265794"/>
    <w:rsid w:val="713E1F13"/>
    <w:rsid w:val="714176D5"/>
    <w:rsid w:val="714D0F73"/>
    <w:rsid w:val="71645191"/>
    <w:rsid w:val="717007BD"/>
    <w:rsid w:val="719F6A56"/>
    <w:rsid w:val="71A1306D"/>
    <w:rsid w:val="71A843FB"/>
    <w:rsid w:val="71C304CB"/>
    <w:rsid w:val="71D21648"/>
    <w:rsid w:val="72013855"/>
    <w:rsid w:val="720D24B0"/>
    <w:rsid w:val="72802C82"/>
    <w:rsid w:val="72A110C3"/>
    <w:rsid w:val="72E451C2"/>
    <w:rsid w:val="72E804B1"/>
    <w:rsid w:val="73047407"/>
    <w:rsid w:val="73055543"/>
    <w:rsid w:val="735F4E81"/>
    <w:rsid w:val="738E367E"/>
    <w:rsid w:val="73DB1B03"/>
    <w:rsid w:val="73DB4206"/>
    <w:rsid w:val="73EF6311"/>
    <w:rsid w:val="73FE2B4F"/>
    <w:rsid w:val="7416564C"/>
    <w:rsid w:val="742A559B"/>
    <w:rsid w:val="747F1A52"/>
    <w:rsid w:val="74984A16"/>
    <w:rsid w:val="74C01A5C"/>
    <w:rsid w:val="74C57302"/>
    <w:rsid w:val="74D3178F"/>
    <w:rsid w:val="74F636CF"/>
    <w:rsid w:val="753905B0"/>
    <w:rsid w:val="75401397"/>
    <w:rsid w:val="75575F1C"/>
    <w:rsid w:val="75604BFB"/>
    <w:rsid w:val="757F4F2B"/>
    <w:rsid w:val="759063C7"/>
    <w:rsid w:val="75F36C04"/>
    <w:rsid w:val="75F6664F"/>
    <w:rsid w:val="764E16EE"/>
    <w:rsid w:val="76830F93"/>
    <w:rsid w:val="76CA0970"/>
    <w:rsid w:val="76E934EC"/>
    <w:rsid w:val="7702635B"/>
    <w:rsid w:val="77694336"/>
    <w:rsid w:val="777A75D4"/>
    <w:rsid w:val="778D79A7"/>
    <w:rsid w:val="77A1279F"/>
    <w:rsid w:val="77A6318B"/>
    <w:rsid w:val="77B021B5"/>
    <w:rsid w:val="77BC4187"/>
    <w:rsid w:val="77D5581E"/>
    <w:rsid w:val="7829682B"/>
    <w:rsid w:val="78987324"/>
    <w:rsid w:val="78DB6E64"/>
    <w:rsid w:val="78FB178A"/>
    <w:rsid w:val="792720A9"/>
    <w:rsid w:val="79870D9A"/>
    <w:rsid w:val="79A67426"/>
    <w:rsid w:val="79AB2CDA"/>
    <w:rsid w:val="79C42A3C"/>
    <w:rsid w:val="79D34622"/>
    <w:rsid w:val="79EA2E23"/>
    <w:rsid w:val="79F54A3E"/>
    <w:rsid w:val="7A195DA1"/>
    <w:rsid w:val="7A56161A"/>
    <w:rsid w:val="7A700510"/>
    <w:rsid w:val="7A9E639B"/>
    <w:rsid w:val="7AA240DD"/>
    <w:rsid w:val="7AAB7433"/>
    <w:rsid w:val="7AB03EDB"/>
    <w:rsid w:val="7AB756AF"/>
    <w:rsid w:val="7B2D1921"/>
    <w:rsid w:val="7B3F44E4"/>
    <w:rsid w:val="7B687429"/>
    <w:rsid w:val="7B7517F2"/>
    <w:rsid w:val="7B7E4979"/>
    <w:rsid w:val="7BCB1412"/>
    <w:rsid w:val="7BEE05A2"/>
    <w:rsid w:val="7BF3017A"/>
    <w:rsid w:val="7BFA4903"/>
    <w:rsid w:val="7C0132AF"/>
    <w:rsid w:val="7C0A6D20"/>
    <w:rsid w:val="7C2C6727"/>
    <w:rsid w:val="7C75792F"/>
    <w:rsid w:val="7CAB2FF1"/>
    <w:rsid w:val="7CD15B82"/>
    <w:rsid w:val="7CED7B6F"/>
    <w:rsid w:val="7D603DDC"/>
    <w:rsid w:val="7D622EA5"/>
    <w:rsid w:val="7D757DAE"/>
    <w:rsid w:val="7D7F24B4"/>
    <w:rsid w:val="7D7F72F7"/>
    <w:rsid w:val="7D951EC0"/>
    <w:rsid w:val="7DA168CE"/>
    <w:rsid w:val="7DC9372F"/>
    <w:rsid w:val="7DDC0746"/>
    <w:rsid w:val="7DF92132"/>
    <w:rsid w:val="7E497A3C"/>
    <w:rsid w:val="7E553215"/>
    <w:rsid w:val="7E7328E3"/>
    <w:rsid w:val="7E826EBB"/>
    <w:rsid w:val="7E827ED4"/>
    <w:rsid w:val="7ED5043F"/>
    <w:rsid w:val="7EE54599"/>
    <w:rsid w:val="7F2A28F3"/>
    <w:rsid w:val="7F66749C"/>
    <w:rsid w:val="7F90133D"/>
    <w:rsid w:val="7F9972B4"/>
    <w:rsid w:val="7FAB20C8"/>
    <w:rsid w:val="7FC371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59"/>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3"/>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57"/>
    <w:qFormat/>
    <w:uiPriority w:val="0"/>
    <w:rPr>
      <w:rFonts w:ascii="宋体"/>
      <w:sz w:val="18"/>
      <w:szCs w:val="18"/>
    </w:rPr>
  </w:style>
  <w:style w:type="paragraph" w:styleId="15">
    <w:name w:val="annotation text"/>
    <w:basedOn w:val="1"/>
    <w:link w:val="51"/>
    <w:qFormat/>
    <w:uiPriority w:val="0"/>
    <w:pPr>
      <w:jc w:val="left"/>
    </w:pPr>
  </w:style>
  <w:style w:type="paragraph" w:styleId="16">
    <w:name w:val="Body Text 3"/>
    <w:basedOn w:val="1"/>
    <w:link w:val="49"/>
    <w:qFormat/>
    <w:uiPriority w:val="0"/>
    <w:rPr>
      <w:rFonts w:ascii="宋体"/>
      <w:sz w:val="24"/>
      <w:szCs w:val="20"/>
    </w:rPr>
  </w:style>
  <w:style w:type="paragraph" w:styleId="17">
    <w:name w:val="Body Text"/>
    <w:basedOn w:val="1"/>
    <w:qFormat/>
    <w:uiPriority w:val="0"/>
    <w:pPr>
      <w:spacing w:after="120"/>
    </w:pPr>
  </w:style>
  <w:style w:type="paragraph" w:styleId="18">
    <w:name w:val="Body Text Indent"/>
    <w:basedOn w:val="1"/>
    <w:qFormat/>
    <w:uiPriority w:val="0"/>
    <w:pPr>
      <w:spacing w:after="120"/>
      <w:ind w:left="420" w:leftChars="200"/>
    </w:pPr>
  </w:style>
  <w:style w:type="paragraph" w:styleId="19">
    <w:name w:val="toc 5"/>
    <w:basedOn w:val="1"/>
    <w:next w:val="1"/>
    <w:unhideWhenUsed/>
    <w:qFormat/>
    <w:uiPriority w:val="39"/>
    <w:pPr>
      <w:ind w:left="1680" w:leftChars="800"/>
    </w:pPr>
    <w:rPr>
      <w:rFonts w:ascii="Calibri" w:hAnsi="Calibri" w:eastAsia="宋体" w:cs="Times New Roman"/>
      <w:szCs w:val="22"/>
    </w:rPr>
  </w:style>
  <w:style w:type="paragraph" w:styleId="2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1">
    <w:name w:val="Plain Text"/>
    <w:basedOn w:val="1"/>
    <w:link w:val="56"/>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eastAsia="宋体" w:cs="Times New Roman"/>
      <w:szCs w:val="22"/>
    </w:rPr>
  </w:style>
  <w:style w:type="paragraph" w:styleId="23">
    <w:name w:val="Date"/>
    <w:basedOn w:val="1"/>
    <w:next w:val="1"/>
    <w:qFormat/>
    <w:uiPriority w:val="0"/>
    <w:rPr>
      <w:sz w:val="24"/>
      <w:szCs w:val="20"/>
    </w:rPr>
  </w:style>
  <w:style w:type="paragraph" w:styleId="24">
    <w:name w:val="Body Text Indent 2"/>
    <w:basedOn w:val="1"/>
    <w:qFormat/>
    <w:uiPriority w:val="0"/>
    <w:pPr>
      <w:spacing w:line="500" w:lineRule="exact"/>
      <w:ind w:firstLine="540" w:firstLineChars="200"/>
    </w:pPr>
    <w:rPr>
      <w:rFonts w:ascii="宋体" w:hAnsi="宋体"/>
      <w:sz w:val="27"/>
      <w:szCs w:val="27"/>
    </w:rPr>
  </w:style>
  <w:style w:type="paragraph" w:styleId="25">
    <w:name w:val="endnote text"/>
    <w:basedOn w:val="1"/>
    <w:semiHidden/>
    <w:qFormat/>
    <w:uiPriority w:val="0"/>
    <w:pPr>
      <w:snapToGrid w:val="0"/>
      <w:jc w:val="left"/>
    </w:pPr>
  </w:style>
  <w:style w:type="paragraph" w:styleId="26">
    <w:name w:val="Balloon Text"/>
    <w:basedOn w:val="1"/>
    <w:semiHidden/>
    <w:qFormat/>
    <w:uiPriority w:val="0"/>
    <w:rPr>
      <w:sz w:val="18"/>
      <w:szCs w:val="18"/>
    </w:rPr>
  </w:style>
  <w:style w:type="paragraph" w:styleId="27">
    <w:name w:val="footer"/>
    <w:basedOn w:val="1"/>
    <w:link w:val="52"/>
    <w:qFormat/>
    <w:uiPriority w:val="0"/>
    <w:pPr>
      <w:tabs>
        <w:tab w:val="center" w:pos="4153"/>
        <w:tab w:val="right" w:pos="8306"/>
      </w:tabs>
      <w:snapToGrid w:val="0"/>
      <w:jc w:val="left"/>
    </w:pPr>
    <w:rPr>
      <w:sz w:val="18"/>
      <w:szCs w:val="18"/>
    </w:rPr>
  </w:style>
  <w:style w:type="paragraph" w:styleId="28">
    <w:name w:val="header"/>
    <w:basedOn w:val="1"/>
    <w:link w:val="66"/>
    <w:qFormat/>
    <w:uiPriority w:val="0"/>
    <w:pPr>
      <w:tabs>
        <w:tab w:val="center" w:pos="4153"/>
        <w:tab w:val="right" w:pos="8306"/>
      </w:tabs>
      <w:snapToGrid w:val="0"/>
      <w:jc w:val="center"/>
    </w:pPr>
    <w:rPr>
      <w:sz w:val="18"/>
      <w:szCs w:val="18"/>
    </w:rPr>
  </w:style>
  <w:style w:type="paragraph" w:styleId="29">
    <w:name w:val="toc 1"/>
    <w:basedOn w:val="1"/>
    <w:next w:val="1"/>
    <w:qFormat/>
    <w:uiPriority w:val="39"/>
    <w:pPr>
      <w:tabs>
        <w:tab w:val="left" w:pos="425"/>
        <w:tab w:val="right" w:leader="dot" w:pos="8805"/>
      </w:tabs>
      <w:spacing w:line="440" w:lineRule="exact"/>
      <w:jc w:val="center"/>
    </w:pPr>
    <w:rPr>
      <w:color w:val="000000"/>
      <w:sz w:val="20"/>
      <w:szCs w:val="20"/>
    </w:rPr>
  </w:style>
  <w:style w:type="paragraph" w:styleId="30">
    <w:name w:val="toc 4"/>
    <w:basedOn w:val="1"/>
    <w:next w:val="1"/>
    <w:unhideWhenUsed/>
    <w:qFormat/>
    <w:uiPriority w:val="39"/>
    <w:pPr>
      <w:ind w:left="1260" w:leftChars="600"/>
    </w:pPr>
    <w:rPr>
      <w:rFonts w:ascii="Calibri" w:hAnsi="Calibri" w:eastAsia="宋体" w:cs="Times New Roman"/>
      <w:szCs w:val="22"/>
    </w:rPr>
  </w:style>
  <w:style w:type="paragraph" w:styleId="31">
    <w:name w:val="footnote text"/>
    <w:basedOn w:val="1"/>
    <w:link w:val="58"/>
    <w:qFormat/>
    <w:uiPriority w:val="0"/>
    <w:pPr>
      <w:adjustRightInd w:val="0"/>
      <w:snapToGrid w:val="0"/>
      <w:spacing w:line="420" w:lineRule="atLeast"/>
      <w:ind w:firstLine="454"/>
      <w:jc w:val="left"/>
      <w:textAlignment w:val="baseline"/>
    </w:pPr>
    <w:rPr>
      <w:kern w:val="0"/>
      <w:sz w:val="18"/>
      <w:szCs w:val="20"/>
    </w:rPr>
  </w:style>
  <w:style w:type="paragraph" w:styleId="32">
    <w:name w:val="toc 6"/>
    <w:basedOn w:val="1"/>
    <w:next w:val="1"/>
    <w:unhideWhenUsed/>
    <w:qFormat/>
    <w:uiPriority w:val="39"/>
    <w:pPr>
      <w:ind w:left="2100" w:leftChars="1000"/>
    </w:pPr>
    <w:rPr>
      <w:rFonts w:ascii="Calibri" w:hAnsi="Calibri" w:eastAsia="宋体" w:cs="Times New Roman"/>
      <w:szCs w:val="22"/>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ind w:left="3360" w:leftChars="1600"/>
    </w:pPr>
    <w:rPr>
      <w:rFonts w:ascii="Calibri" w:hAnsi="Calibri" w:eastAsia="宋体" w:cs="Times New Roman"/>
      <w:szCs w:val="22"/>
    </w:rPr>
  </w:style>
  <w:style w:type="paragraph" w:styleId="36">
    <w:name w:val="Body Text 2"/>
    <w:basedOn w:val="1"/>
    <w:qFormat/>
    <w:uiPriority w:val="0"/>
    <w:pPr>
      <w:spacing w:after="120" w:line="480" w:lineRule="auto"/>
    </w:pPr>
  </w:style>
  <w:style w:type="paragraph" w:styleId="37">
    <w:name w:val="index 1"/>
    <w:basedOn w:val="1"/>
    <w:next w:val="1"/>
    <w:semiHidden/>
    <w:qFormat/>
    <w:uiPriority w:val="0"/>
    <w:pPr>
      <w:spacing w:line="220" w:lineRule="exact"/>
      <w:jc w:val="center"/>
    </w:pPr>
    <w:rPr>
      <w:rFonts w:ascii="仿宋_GB2312" w:eastAsia="仿宋_GB2312"/>
      <w:szCs w:val="21"/>
    </w:rPr>
  </w:style>
  <w:style w:type="paragraph" w:styleId="38">
    <w:name w:val="Title"/>
    <w:basedOn w:val="1"/>
    <w:link w:val="5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50"/>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semiHidden/>
    <w:qFormat/>
    <w:uiPriority w:val="0"/>
    <w:rPr>
      <w:vertAlign w:val="superscript"/>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character" w:customStyle="1" w:styleId="49">
    <w:name w:val="正文文本 3 Char"/>
    <w:basedOn w:val="42"/>
    <w:link w:val="16"/>
    <w:qFormat/>
    <w:uiPriority w:val="0"/>
    <w:rPr>
      <w:rFonts w:ascii="宋体"/>
      <w:kern w:val="2"/>
      <w:sz w:val="24"/>
    </w:rPr>
  </w:style>
  <w:style w:type="character" w:customStyle="1" w:styleId="50">
    <w:name w:val="批注主题 Char"/>
    <w:link w:val="39"/>
    <w:qFormat/>
    <w:uiPriority w:val="0"/>
    <w:rPr>
      <w:b/>
      <w:bCs/>
      <w:kern w:val="2"/>
      <w:sz w:val="21"/>
      <w:szCs w:val="24"/>
    </w:rPr>
  </w:style>
  <w:style w:type="character" w:customStyle="1" w:styleId="51">
    <w:name w:val="批注文字 Char"/>
    <w:basedOn w:val="42"/>
    <w:link w:val="15"/>
    <w:qFormat/>
    <w:uiPriority w:val="0"/>
    <w:rPr>
      <w:kern w:val="2"/>
      <w:sz w:val="21"/>
      <w:szCs w:val="24"/>
    </w:rPr>
  </w:style>
  <w:style w:type="character" w:customStyle="1" w:styleId="52">
    <w:name w:val="页脚 Char"/>
    <w:link w:val="27"/>
    <w:qFormat/>
    <w:uiPriority w:val="0"/>
    <w:rPr>
      <w:rFonts w:eastAsia="宋体"/>
      <w:kern w:val="2"/>
      <w:sz w:val="18"/>
      <w:szCs w:val="18"/>
      <w:lang w:val="en-US" w:eastAsia="zh-CN" w:bidi="ar-SA"/>
    </w:rPr>
  </w:style>
  <w:style w:type="character" w:customStyle="1" w:styleId="53">
    <w:name w:val="font161"/>
    <w:qFormat/>
    <w:uiPriority w:val="0"/>
    <w:rPr>
      <w:b/>
      <w:bCs/>
      <w:sz w:val="32"/>
      <w:szCs w:val="32"/>
    </w:rPr>
  </w:style>
  <w:style w:type="character" w:customStyle="1" w:styleId="54">
    <w:name w:val="标题 Char"/>
    <w:link w:val="38"/>
    <w:qFormat/>
    <w:uiPriority w:val="0"/>
    <w:rPr>
      <w:rFonts w:ascii="Arial" w:hAnsi="Arial" w:eastAsia="宋体"/>
      <w:b/>
      <w:sz w:val="32"/>
      <w:lang w:val="en-US" w:eastAsia="zh-CN" w:bidi="ar-SA"/>
    </w:rPr>
  </w:style>
  <w:style w:type="character" w:customStyle="1" w:styleId="55">
    <w:name w:val="数字"/>
    <w:qFormat/>
    <w:uiPriority w:val="0"/>
    <w:rPr>
      <w:rFonts w:eastAsia="黑体"/>
      <w:b/>
      <w:sz w:val="21"/>
    </w:rPr>
  </w:style>
  <w:style w:type="character" w:customStyle="1" w:styleId="56">
    <w:name w:val="纯文本 Char"/>
    <w:link w:val="21"/>
    <w:qFormat/>
    <w:uiPriority w:val="0"/>
    <w:rPr>
      <w:rFonts w:ascii="宋体" w:hAnsi="Courier New" w:eastAsia="宋体"/>
      <w:kern w:val="2"/>
      <w:sz w:val="21"/>
      <w:lang w:val="en-US" w:eastAsia="zh-CN" w:bidi="ar-SA"/>
    </w:rPr>
  </w:style>
  <w:style w:type="character" w:customStyle="1" w:styleId="57">
    <w:name w:val="文档结构图 Char"/>
    <w:link w:val="14"/>
    <w:qFormat/>
    <w:uiPriority w:val="0"/>
    <w:rPr>
      <w:rFonts w:ascii="宋体"/>
      <w:kern w:val="2"/>
      <w:sz w:val="18"/>
      <w:szCs w:val="18"/>
    </w:rPr>
  </w:style>
  <w:style w:type="character" w:customStyle="1" w:styleId="58">
    <w:name w:val="脚注文本 Char"/>
    <w:link w:val="31"/>
    <w:qFormat/>
    <w:uiPriority w:val="0"/>
    <w:rPr>
      <w:sz w:val="18"/>
    </w:rPr>
  </w:style>
  <w:style w:type="character" w:customStyle="1" w:styleId="59">
    <w:name w:val="标题 2 Char"/>
    <w:link w:val="3"/>
    <w:qFormat/>
    <w:uiPriority w:val="0"/>
    <w:rPr>
      <w:rFonts w:ascii="宋体" w:hAnsi="宋体" w:eastAsia="黑体"/>
      <w:bCs/>
      <w:i/>
      <w:iCs/>
      <w:kern w:val="2"/>
      <w:sz w:val="24"/>
    </w:rPr>
  </w:style>
  <w:style w:type="character" w:customStyle="1" w:styleId="60">
    <w:name w:val="H001 Char"/>
    <w:link w:val="61"/>
    <w:qFormat/>
    <w:uiPriority w:val="0"/>
    <w:rPr>
      <w:rFonts w:eastAsia="黑体"/>
      <w:bCs/>
      <w:kern w:val="44"/>
      <w:sz w:val="24"/>
      <w:szCs w:val="44"/>
    </w:rPr>
  </w:style>
  <w:style w:type="paragraph" w:customStyle="1" w:styleId="61">
    <w:name w:val="H001"/>
    <w:basedOn w:val="2"/>
    <w:link w:val="60"/>
    <w:qFormat/>
    <w:uiPriority w:val="0"/>
    <w:pPr>
      <w:spacing w:before="240" w:after="240" w:line="240" w:lineRule="exact"/>
    </w:pPr>
    <w:rPr>
      <w:rFonts w:eastAsia="黑体"/>
      <w:sz w:val="24"/>
    </w:rPr>
  </w:style>
  <w:style w:type="character" w:customStyle="1" w:styleId="62">
    <w:name w:val="脚注文本 字符1"/>
    <w:semiHidden/>
    <w:qFormat/>
    <w:locked/>
    <w:uiPriority w:val="0"/>
    <w:rPr>
      <w:kern w:val="2"/>
      <w:sz w:val="18"/>
      <w:szCs w:val="18"/>
    </w:rPr>
  </w:style>
  <w:style w:type="character" w:customStyle="1" w:styleId="63">
    <w:name w:val="标题 3 Char"/>
    <w:link w:val="5"/>
    <w:qFormat/>
    <w:uiPriority w:val="0"/>
    <w:rPr>
      <w:b/>
      <w:sz w:val="32"/>
    </w:rPr>
  </w:style>
  <w:style w:type="character" w:customStyle="1" w:styleId="64">
    <w:name w:val="标题 1 Char"/>
    <w:link w:val="2"/>
    <w:qFormat/>
    <w:uiPriority w:val="0"/>
    <w:rPr>
      <w:rFonts w:eastAsia="黑体"/>
      <w:bCs/>
      <w:kern w:val="44"/>
      <w:sz w:val="24"/>
      <w:szCs w:val="44"/>
    </w:rPr>
  </w:style>
  <w:style w:type="character" w:customStyle="1" w:styleId="65">
    <w:name w:val="未处理的提及"/>
    <w:unhideWhenUsed/>
    <w:qFormat/>
    <w:uiPriority w:val="99"/>
    <w:rPr>
      <w:color w:val="808080"/>
      <w:shd w:val="clear" w:color="auto" w:fill="E6E6E6"/>
    </w:rPr>
  </w:style>
  <w:style w:type="character" w:customStyle="1" w:styleId="66">
    <w:name w:val="页眉 Char"/>
    <w:basedOn w:val="42"/>
    <w:link w:val="28"/>
    <w:qFormat/>
    <w:uiPriority w:val="0"/>
    <w:rPr>
      <w:kern w:val="2"/>
      <w:sz w:val="18"/>
      <w:szCs w:val="18"/>
    </w:rPr>
  </w:style>
  <w:style w:type="paragraph" w:customStyle="1" w:styleId="67">
    <w:name w:val="2"/>
    <w:basedOn w:val="1"/>
    <w:qFormat/>
    <w:uiPriority w:val="0"/>
    <w:pPr>
      <w:adjustRightInd w:val="0"/>
      <w:spacing w:line="420" w:lineRule="atLeast"/>
      <w:ind w:left="1134" w:hanging="227"/>
      <w:textAlignment w:val="baseline"/>
    </w:pPr>
    <w:rPr>
      <w:kern w:val="0"/>
      <w:szCs w:val="20"/>
    </w:rPr>
  </w:style>
  <w:style w:type="paragraph" w:customStyle="1" w:styleId="68">
    <w:name w:val="表格2"/>
    <w:basedOn w:val="1"/>
    <w:qFormat/>
    <w:uiPriority w:val="0"/>
    <w:pPr>
      <w:adjustRightInd w:val="0"/>
      <w:spacing w:line="420" w:lineRule="atLeast"/>
      <w:ind w:left="284" w:firstLine="454"/>
      <w:textAlignment w:val="baseline"/>
    </w:pPr>
    <w:rPr>
      <w:kern w:val="0"/>
      <w:szCs w:val="20"/>
    </w:rPr>
  </w:style>
  <w:style w:type="paragraph" w:customStyle="1" w:styleId="69">
    <w:name w:val="表格6"/>
    <w:basedOn w:val="70"/>
    <w:qFormat/>
    <w:uiPriority w:val="0"/>
    <w:pPr>
      <w:ind w:left="737" w:firstLine="0"/>
    </w:pPr>
  </w:style>
  <w:style w:type="paragraph" w:customStyle="1" w:styleId="70">
    <w:name w:val="表格5"/>
    <w:basedOn w:val="68"/>
    <w:qFormat/>
    <w:uiPriority w:val="0"/>
    <w:pPr>
      <w:ind w:left="1021" w:hanging="284"/>
    </w:pPr>
    <w:rPr>
      <w:rFonts w:ascii="宋体"/>
    </w:rPr>
  </w:style>
  <w:style w:type="paragraph" w:customStyle="1" w:styleId="71">
    <w:name w:val=" Char Char Char"/>
    <w:basedOn w:val="1"/>
    <w:qFormat/>
    <w:uiPriority w:val="0"/>
    <w:rPr>
      <w:szCs w:val="20"/>
    </w:rPr>
  </w:style>
  <w:style w:type="paragraph" w:customStyle="1" w:styleId="72">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3">
    <w:name w:val="表格3"/>
    <w:basedOn w:val="1"/>
    <w:qFormat/>
    <w:uiPriority w:val="0"/>
    <w:pPr>
      <w:adjustRightInd w:val="0"/>
      <w:spacing w:line="420" w:lineRule="atLeast"/>
      <w:textAlignment w:val="baseline"/>
    </w:pPr>
    <w:rPr>
      <w:rFonts w:eastAsia="楷体"/>
      <w:kern w:val="0"/>
      <w:szCs w:val="20"/>
    </w:rPr>
  </w:style>
  <w:style w:type="paragraph" w:customStyle="1" w:styleId="74">
    <w:name w:val="表中"/>
    <w:basedOn w:val="1"/>
    <w:qFormat/>
    <w:uiPriority w:val="0"/>
    <w:pPr>
      <w:adjustRightInd w:val="0"/>
      <w:spacing w:line="360" w:lineRule="atLeast"/>
      <w:jc w:val="center"/>
      <w:textAlignment w:val="baseline"/>
    </w:pPr>
    <w:rPr>
      <w:kern w:val="0"/>
      <w:szCs w:val="20"/>
    </w:rPr>
  </w:style>
  <w:style w:type="paragraph" w:customStyle="1" w:styleId="75">
    <w:name w:val="表格4"/>
    <w:basedOn w:val="1"/>
    <w:qFormat/>
    <w:uiPriority w:val="0"/>
    <w:pPr>
      <w:adjustRightInd w:val="0"/>
      <w:spacing w:line="420" w:lineRule="atLeast"/>
      <w:ind w:left="1021"/>
      <w:textAlignment w:val="baseline"/>
    </w:pPr>
    <w:rPr>
      <w:kern w:val="0"/>
      <w:szCs w:val="20"/>
    </w:rPr>
  </w:style>
  <w:style w:type="paragraph" w:customStyle="1" w:styleId="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7">
    <w:name w:val="1"/>
    <w:basedOn w:val="1"/>
    <w:next w:val="1"/>
    <w:qFormat/>
    <w:uiPriority w:val="0"/>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表格"/>
    <w:basedOn w:val="1"/>
    <w:qFormat/>
    <w:uiPriority w:val="0"/>
    <w:pPr>
      <w:jc w:val="center"/>
      <w:textAlignment w:val="center"/>
    </w:pPr>
    <w:rPr>
      <w:rFonts w:ascii="华文细黑" w:hAnsi="华文细黑"/>
      <w:kern w:val="0"/>
      <w:szCs w:val="20"/>
    </w:rPr>
  </w:style>
  <w:style w:type="paragraph" w:customStyle="1" w:styleId="80">
    <w:name w:val="表格方字"/>
    <w:basedOn w:val="1"/>
    <w:qFormat/>
    <w:uiPriority w:val="0"/>
    <w:pPr>
      <w:adjustRightInd w:val="0"/>
      <w:spacing w:before="60" w:after="60" w:line="420" w:lineRule="atLeast"/>
      <w:jc w:val="left"/>
      <w:textAlignment w:val="baseline"/>
    </w:pPr>
    <w:rPr>
      <w:kern w:val="0"/>
      <w:szCs w:val="20"/>
    </w:rPr>
  </w:style>
  <w:style w:type="paragraph" w:customStyle="1" w:styleId="81">
    <w:name w:val="表头"/>
    <w:basedOn w:val="80"/>
    <w:qFormat/>
    <w:uiPriority w:val="0"/>
    <w:rPr>
      <w:rFonts w:ascii="黑体" w:eastAsia="黑体"/>
      <w:b/>
    </w:rPr>
  </w:style>
  <w:style w:type="paragraph" w:customStyle="1" w:styleId="82">
    <w:name w:val="表格1"/>
    <w:basedOn w:val="1"/>
    <w:qFormat/>
    <w:uiPriority w:val="0"/>
    <w:pPr>
      <w:adjustRightInd w:val="0"/>
      <w:spacing w:line="420" w:lineRule="atLeast"/>
      <w:ind w:left="284"/>
      <w:textAlignment w:val="baseline"/>
    </w:pPr>
    <w:rPr>
      <w:kern w:val="0"/>
      <w:szCs w:val="20"/>
    </w:rPr>
  </w:style>
  <w:style w:type="paragraph" w:customStyle="1" w:styleId="83">
    <w:name w:val=" Char Char Char Char Char Char"/>
    <w:basedOn w:val="1"/>
    <w:qFormat/>
    <w:uiPriority w:val="0"/>
  </w:style>
  <w:style w:type="paragraph" w:customStyle="1" w:styleId="84">
    <w:name w:val=" Char"/>
    <w:basedOn w:val="1"/>
    <w:qFormat/>
    <w:uiPriority w:val="0"/>
  </w:style>
  <w:style w:type="paragraph" w:customStyle="1" w:styleId="85">
    <w:name w:val=" Char1"/>
    <w:basedOn w:val="1"/>
    <w:qFormat/>
    <w:uiPriority w:val="0"/>
  </w:style>
  <w:style w:type="paragraph" w:customStyle="1" w:styleId="86">
    <w:name w:val="Char"/>
    <w:basedOn w:val="1"/>
    <w:qFormat/>
    <w:uiPriority w:val="0"/>
  </w:style>
  <w:style w:type="paragraph" w:customStyle="1" w:styleId="87">
    <w:name w:val=" Char Char Char Char Char Char Char Char Char Char Char Char Char Char Char Char Char Char1 Char Char Char Char"/>
    <w:basedOn w:val="1"/>
    <w:qFormat/>
    <w:uiPriority w:val="0"/>
  </w:style>
  <w:style w:type="paragraph" w:customStyle="1" w:styleId="88">
    <w:name w:val="_Style 86"/>
    <w:semiHidden/>
    <w:qFormat/>
    <w:uiPriority w:val="99"/>
    <w:rPr>
      <w:rFonts w:ascii="Times New Roman" w:hAnsi="Times New Roman" w:eastAsia="宋体" w:cs="Times New Roman"/>
      <w:kern w:val="2"/>
      <w:sz w:val="21"/>
      <w:szCs w:val="24"/>
      <w:lang w:val="en-US" w:eastAsia="zh-CN" w:bidi="ar-SA"/>
    </w:rPr>
  </w:style>
  <w:style w:type="paragraph" w:customStyle="1" w:styleId="89">
    <w:name w:val="_Style 87"/>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Char Char Char"/>
    <w:basedOn w:val="1"/>
    <w:qFormat/>
    <w:uiPriority w:val="0"/>
    <w:rPr>
      <w:szCs w:val="20"/>
    </w:r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WPSOffice手动目录 3"/>
    <w:qFormat/>
    <w:uiPriority w:val="0"/>
    <w:pPr>
      <w:ind w:leftChars="400"/>
    </w:pPr>
    <w:rPr>
      <w:rFonts w:ascii="Times New Roman" w:hAnsi="Times New Roman" w:eastAsia="宋体" w:cs="Times New Roman"/>
      <w:sz w:val="20"/>
      <w:szCs w:val="20"/>
    </w:rPr>
  </w:style>
  <w:style w:type="paragraph" w:customStyle="1" w:styleId="93">
    <w:name w:val="WPSOffice手动目录 2"/>
    <w:qFormat/>
    <w:uiPriority w:val="0"/>
    <w:pPr>
      <w:ind w:leftChars="200"/>
    </w:pPr>
    <w:rPr>
      <w:rFonts w:ascii="Times New Roman" w:hAnsi="Times New Roman" w:eastAsia="宋体" w:cs="Times New Roman"/>
      <w:sz w:val="20"/>
      <w:szCs w:val="20"/>
    </w:rPr>
  </w:style>
  <w:style w:type="table" w:customStyle="1" w:styleId="94">
    <w:name w:val="Table Normal"/>
    <w:autoRedefine/>
    <w:semiHidden/>
    <w:unhideWhenUsed/>
    <w:qFormat/>
    <w:uiPriority w:val="0"/>
    <w:tblPr>
      <w:tblCellMar>
        <w:top w:w="0" w:type="dxa"/>
        <w:left w:w="0" w:type="dxa"/>
        <w:bottom w:w="0" w:type="dxa"/>
        <w:right w:w="0" w:type="dxa"/>
      </w:tblCellMar>
    </w:tbl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0.xml"/><Relationship Id="rId40" Type="http://schemas.openxmlformats.org/officeDocument/2006/relationships/header" Target="header18.xml"/><Relationship Id="rId4" Type="http://schemas.openxmlformats.org/officeDocument/2006/relationships/header" Target="header1.xml"/><Relationship Id="rId39" Type="http://schemas.openxmlformats.org/officeDocument/2006/relationships/header" Target="header17.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footer" Target="footer17.xml"/><Relationship Id="rId33" Type="http://schemas.openxmlformats.org/officeDocument/2006/relationships/header" Target="header14.xml"/><Relationship Id="rId32" Type="http://schemas.openxmlformats.org/officeDocument/2006/relationships/footer" Target="footer16.xml"/><Relationship Id="rId31" Type="http://schemas.openxmlformats.org/officeDocument/2006/relationships/header" Target="header13.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4.xml"/><Relationship Id="rId27" Type="http://schemas.openxmlformats.org/officeDocument/2006/relationships/header" Target="header1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219</Pages>
  <Words>12689</Words>
  <Characters>13752</Characters>
  <Lines>1513</Lines>
  <Paragraphs>426</Paragraphs>
  <TotalTime>5</TotalTime>
  <ScaleCrop>false</ScaleCrop>
  <LinksUpToDate>false</LinksUpToDate>
  <CharactersWithSpaces>14222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2016-09-27T13:48:00Z</dcterms:created>
  <dc:creator>袁静</dc:creator>
  <cp:lastModifiedBy>夜如墨</cp:lastModifiedBy>
  <cp:lastPrinted>2026-04-02T06:00:00Z</cp:lastPrinted>
  <dcterms:modified xsi:type="dcterms:W3CDTF">2026-06-01T06:56:23Z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16FE06461C724F9380BA9E8B1077398F_13</vt:lpwstr>
  </property>
  <property fmtid="{D5CDD505-2E9C-101B-9397-08002B2CF9AE}" pid="4" name="KSOTemplateDocerSaveRecord">
    <vt:lpwstr>eyJoZGlkIjoiMzZkMDI2ZWU4ZjFlZDRlNjQwOTdjNDEzMmViYmE4YzgiLCJ1c2VySWQiOiIyNDAwMTU1MDAifQ==</vt:lpwstr>
  </property>
</Properties>
</file>