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81D9">
      <w:pPr>
        <w:pStyle w:val="16"/>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Times New Roman"/>
          <w:color w:val="auto"/>
          <w:sz w:val="31"/>
          <w:szCs w:val="31"/>
          <w:highlight w:val="none"/>
          <w:lang w:eastAsia="zh-CN"/>
        </w:rPr>
      </w:pPr>
      <w:r>
        <w:rPr>
          <w:rFonts w:hint="eastAsia" w:ascii="Times New Roman" w:eastAsia="黑体" w:cs="Times New Roman"/>
          <w:color w:val="auto"/>
          <w:sz w:val="31"/>
          <w:szCs w:val="31"/>
          <w:highlight w:val="none"/>
          <w:u w:val="single"/>
          <w:lang w:eastAsia="zh-CN"/>
        </w:rPr>
        <w:t>辽宁省</w:t>
      </w:r>
    </w:p>
    <w:p w14:paraId="40FAD502">
      <w:pPr>
        <w:pStyle w:val="16"/>
        <w:pageBreakBefore w:val="0"/>
        <w:kinsoku/>
        <w:wordWrap w:val="0"/>
        <w:bidi w:val="0"/>
        <w:spacing w:line="440" w:lineRule="exact"/>
        <w:jc w:val="center"/>
        <w:rPr>
          <w:rFonts w:hint="default" w:ascii="Times New Roman" w:hAnsi="Times New Roman" w:eastAsia="黑体" w:cs="Times New Roman"/>
          <w:b w:val="0"/>
          <w:bCs w:val="0"/>
          <w:color w:val="auto"/>
          <w:sz w:val="31"/>
          <w:szCs w:val="31"/>
          <w:highlight w:val="none"/>
        </w:rPr>
      </w:pPr>
      <w:r>
        <w:rPr>
          <w:rFonts w:hint="eastAsia" w:ascii="Times New Roman" w:eastAsia="黑体" w:cs="Times New Roman"/>
          <w:b w:val="0"/>
          <w:bCs w:val="0"/>
          <w:color w:val="auto"/>
          <w:sz w:val="31"/>
          <w:szCs w:val="31"/>
          <w:highlight w:val="none"/>
          <w:u w:val="single"/>
          <w:lang w:eastAsia="zh-CN"/>
        </w:rPr>
        <w:t>2025年盖州市农村公路维修改造工程超前实施项目</w:t>
      </w:r>
      <w:r>
        <w:rPr>
          <w:rFonts w:hint="default" w:ascii="Times New Roman" w:hAnsi="Times New Roman" w:eastAsia="黑体" w:cs="Times New Roman"/>
          <w:b w:val="0"/>
          <w:bCs w:val="0"/>
          <w:color w:val="auto"/>
          <w:sz w:val="31"/>
          <w:szCs w:val="31"/>
          <w:highlight w:val="none"/>
        </w:rPr>
        <w:t>（项目名称）</w:t>
      </w:r>
    </w:p>
    <w:p w14:paraId="147ED905">
      <w:pPr>
        <w:pStyle w:val="16"/>
        <w:pageBreakBefore w:val="0"/>
        <w:kinsoku/>
        <w:wordWrap w:val="0"/>
        <w:bidi w:val="0"/>
        <w:spacing w:line="440" w:lineRule="exact"/>
        <w:jc w:val="center"/>
        <w:rPr>
          <w:rFonts w:hint="eastAsia" w:ascii="Times New Roman" w:eastAsia="黑体" w:cs="Times New Roman"/>
          <w:b w:val="0"/>
          <w:bCs w:val="0"/>
          <w:color w:val="auto"/>
          <w:sz w:val="31"/>
          <w:szCs w:val="31"/>
          <w:highlight w:val="none"/>
          <w:u w:val="single"/>
          <w:lang w:eastAsia="zh-CN"/>
        </w:rPr>
      </w:pPr>
      <w:r>
        <w:rPr>
          <w:rFonts w:hint="eastAsia" w:ascii="Times New Roman" w:eastAsia="黑体" w:cs="Times New Roman"/>
          <w:b w:val="0"/>
          <w:bCs w:val="0"/>
          <w:color w:val="auto"/>
          <w:sz w:val="31"/>
          <w:szCs w:val="31"/>
          <w:highlight w:val="none"/>
          <w:u w:val="single"/>
          <w:lang w:eastAsia="zh-CN"/>
        </w:rPr>
        <w:t>2025年盖州市农村公路维修改造工程超前实施项目一标段</w:t>
      </w:r>
    </w:p>
    <w:p w14:paraId="17928808">
      <w:pPr>
        <w:pStyle w:val="16"/>
        <w:pageBreakBefore w:val="0"/>
        <w:kinsoku/>
        <w:wordWrap w:val="0"/>
        <w:bidi w:val="0"/>
        <w:spacing w:line="440" w:lineRule="exact"/>
        <w:jc w:val="center"/>
        <w:rPr>
          <w:rFonts w:hint="default" w:ascii="Times New Roman" w:hAnsi="Times New Roman" w:eastAsia="黑体" w:cs="Times New Roman"/>
          <w:color w:val="auto"/>
          <w:sz w:val="31"/>
          <w:szCs w:val="31"/>
          <w:highlight w:val="none"/>
        </w:rPr>
      </w:pPr>
      <w:r>
        <w:rPr>
          <w:rFonts w:hint="default" w:ascii="Times New Roman" w:hAnsi="Times New Roman" w:eastAsia="黑体" w:cs="Times New Roman"/>
          <w:b w:val="0"/>
          <w:bCs w:val="0"/>
          <w:color w:val="auto"/>
          <w:sz w:val="31"/>
          <w:szCs w:val="31"/>
          <w:highlight w:val="none"/>
          <w:u w:val="single"/>
        </w:rPr>
        <w:t>（标段名称）</w:t>
      </w:r>
      <w:r>
        <w:rPr>
          <w:rFonts w:hint="default" w:ascii="Times New Roman" w:hAnsi="Times New Roman" w:eastAsia="黑体" w:cs="Times New Roman"/>
          <w:color w:val="auto"/>
          <w:sz w:val="31"/>
          <w:szCs w:val="31"/>
          <w:highlight w:val="none"/>
        </w:rPr>
        <w:t>施工招标</w:t>
      </w:r>
      <w:bookmarkStart w:id="1727" w:name="_GoBack"/>
      <w:bookmarkEnd w:id="1727"/>
    </w:p>
    <w:p w14:paraId="15BBC37C">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5EF133EE">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p>
    <w:p w14:paraId="7739D2A9">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p>
    <w:p w14:paraId="3D2FDBDE">
      <w:pPr>
        <w:pageBreakBefore w:val="0"/>
        <w:kinsoku/>
        <w:wordWrap w:val="0"/>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eastAsia="zh-CN"/>
        </w:rPr>
        <w:t>项目编号</w:t>
      </w:r>
      <w:r>
        <w:rPr>
          <w:rFonts w:hint="default" w:ascii="Times New Roman" w:hAnsi="Times New Roman" w:eastAsia="黑体" w:cs="Times New Roman"/>
          <w:color w:val="auto"/>
          <w:sz w:val="28"/>
          <w:szCs w:val="28"/>
          <w:highlight w:val="none"/>
        </w:rPr>
        <w:t>：</w:t>
      </w:r>
      <w:r>
        <w:rPr>
          <w:rFonts w:hint="eastAsia"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rPr>
        <w:t>）</w:t>
      </w:r>
    </w:p>
    <w:p w14:paraId="0DF6FEF3">
      <w:pPr>
        <w:pageBreakBefore w:val="0"/>
        <w:kinsoku/>
        <w:wordWrap w:val="0"/>
        <w:bidi w:val="0"/>
        <w:spacing w:line="440" w:lineRule="exact"/>
        <w:rPr>
          <w:rFonts w:hint="eastAsia" w:ascii="Times New Roman" w:hAnsi="Times New Roman" w:eastAsia="宋体" w:cs="Times New Roman"/>
          <w:color w:val="auto"/>
          <w:sz w:val="20"/>
          <w:szCs w:val="20"/>
          <w:highlight w:val="none"/>
          <w:lang w:eastAsia="zh-CN"/>
        </w:rPr>
      </w:pPr>
    </w:p>
    <w:p w14:paraId="64B24238">
      <w:pPr>
        <w:pageBreakBefore w:val="0"/>
        <w:kinsoku/>
        <w:wordWrap w:val="0"/>
        <w:bidi w:val="0"/>
        <w:spacing w:line="440" w:lineRule="exact"/>
        <w:rPr>
          <w:rFonts w:hint="default" w:ascii="Times New Roman" w:hAnsi="Times New Roman" w:cs="Times New Roman"/>
          <w:color w:val="auto"/>
          <w:sz w:val="20"/>
          <w:szCs w:val="20"/>
          <w:highlight w:val="none"/>
        </w:rPr>
      </w:pPr>
    </w:p>
    <w:p w14:paraId="068AC959">
      <w:pPr>
        <w:pStyle w:val="17"/>
        <w:rPr>
          <w:rFonts w:hint="default" w:ascii="Times New Roman" w:hAnsi="Times New Roman" w:cs="Times New Roman"/>
          <w:color w:val="auto"/>
          <w:sz w:val="20"/>
          <w:szCs w:val="20"/>
          <w:highlight w:val="none"/>
        </w:rPr>
      </w:pPr>
    </w:p>
    <w:p w14:paraId="05C1EA58">
      <w:pPr>
        <w:pStyle w:val="17"/>
        <w:rPr>
          <w:rFonts w:hint="default" w:ascii="Times New Roman" w:hAnsi="Times New Roman" w:cs="Times New Roman"/>
          <w:color w:val="auto"/>
          <w:sz w:val="20"/>
          <w:szCs w:val="20"/>
          <w:highlight w:val="none"/>
        </w:rPr>
      </w:pPr>
    </w:p>
    <w:p w14:paraId="34DD8C29">
      <w:pPr>
        <w:pStyle w:val="17"/>
        <w:rPr>
          <w:rFonts w:hint="default" w:ascii="Times New Roman" w:hAnsi="Times New Roman" w:cs="Times New Roman"/>
          <w:color w:val="auto"/>
          <w:sz w:val="20"/>
          <w:szCs w:val="20"/>
          <w:highlight w:val="none"/>
        </w:rPr>
      </w:pPr>
    </w:p>
    <w:p w14:paraId="51B7DBCD">
      <w:pPr>
        <w:pageBreakBefore w:val="0"/>
        <w:kinsoku/>
        <w:wordWrap w:val="0"/>
        <w:bidi w:val="0"/>
        <w:spacing w:line="440" w:lineRule="exact"/>
        <w:rPr>
          <w:rFonts w:hint="default" w:ascii="Times New Roman" w:hAnsi="Times New Roman" w:cs="Times New Roman"/>
          <w:color w:val="auto"/>
          <w:sz w:val="20"/>
          <w:szCs w:val="20"/>
          <w:highlight w:val="none"/>
        </w:rPr>
      </w:pPr>
    </w:p>
    <w:p w14:paraId="57A8F9D7">
      <w:pPr>
        <w:pageBreakBefore w:val="0"/>
        <w:kinsoku/>
        <w:wordWrap w:val="0"/>
        <w:bidi w:val="0"/>
        <w:spacing w:line="860" w:lineRule="exact"/>
        <w:jc w:val="center"/>
        <w:outlineLvl w:val="9"/>
        <w:rPr>
          <w:rFonts w:hint="default" w:ascii="Times New Roman" w:hAnsi="Times New Roman" w:eastAsia="黑体" w:cs="Times New Roman"/>
          <w:color w:val="auto"/>
          <w:sz w:val="50"/>
          <w:szCs w:val="50"/>
          <w:highlight w:val="none"/>
        </w:rPr>
      </w:pPr>
      <w:bookmarkStart w:id="0" w:name="_Toc411"/>
      <w:bookmarkStart w:id="1" w:name="_Toc28497"/>
      <w:bookmarkStart w:id="2" w:name="_Toc18732"/>
      <w:r>
        <w:rPr>
          <w:rFonts w:hint="default" w:ascii="Times New Roman" w:hAnsi="Times New Roman" w:eastAsia="黑体" w:cs="Times New Roman"/>
          <w:color w:val="auto"/>
          <w:sz w:val="50"/>
          <w:szCs w:val="50"/>
          <w:highlight w:val="none"/>
        </w:rPr>
        <w:t>招标文件</w:t>
      </w:r>
      <w:bookmarkEnd w:id="0"/>
      <w:bookmarkEnd w:id="1"/>
      <w:bookmarkEnd w:id="2"/>
    </w:p>
    <w:p w14:paraId="447785E9">
      <w:pPr>
        <w:pageBreakBefore w:val="0"/>
        <w:kinsoku/>
        <w:wordWrap w:val="0"/>
        <w:bidi w:val="0"/>
        <w:spacing w:line="440" w:lineRule="exact"/>
        <w:rPr>
          <w:rFonts w:hint="default" w:ascii="Times New Roman" w:hAnsi="Times New Roman" w:cs="Times New Roman"/>
          <w:color w:val="auto"/>
          <w:sz w:val="20"/>
          <w:szCs w:val="20"/>
          <w:highlight w:val="none"/>
        </w:rPr>
      </w:pPr>
    </w:p>
    <w:p w14:paraId="0DDE5F5A">
      <w:pPr>
        <w:pageBreakBefore w:val="0"/>
        <w:kinsoku/>
        <w:wordWrap w:val="0"/>
        <w:bidi w:val="0"/>
        <w:spacing w:line="440" w:lineRule="exact"/>
        <w:rPr>
          <w:rFonts w:hint="default" w:ascii="Times New Roman" w:hAnsi="Times New Roman" w:cs="Times New Roman"/>
          <w:color w:val="auto"/>
          <w:sz w:val="20"/>
          <w:szCs w:val="20"/>
          <w:highlight w:val="none"/>
        </w:rPr>
      </w:pPr>
    </w:p>
    <w:p w14:paraId="7C21304B">
      <w:pPr>
        <w:pageBreakBefore w:val="0"/>
        <w:kinsoku/>
        <w:wordWrap w:val="0"/>
        <w:bidi w:val="0"/>
        <w:spacing w:line="440" w:lineRule="exact"/>
        <w:rPr>
          <w:rFonts w:hint="default" w:ascii="Times New Roman" w:hAnsi="Times New Roman" w:cs="Times New Roman"/>
          <w:color w:val="auto"/>
          <w:sz w:val="20"/>
          <w:szCs w:val="20"/>
          <w:highlight w:val="none"/>
        </w:rPr>
      </w:pPr>
    </w:p>
    <w:p w14:paraId="1DDF5250">
      <w:pPr>
        <w:pageBreakBefore w:val="0"/>
        <w:kinsoku/>
        <w:wordWrap w:val="0"/>
        <w:bidi w:val="0"/>
        <w:spacing w:line="440" w:lineRule="exact"/>
        <w:rPr>
          <w:rFonts w:hint="default" w:ascii="Times New Roman" w:hAnsi="Times New Roman" w:cs="Times New Roman"/>
          <w:color w:val="auto"/>
          <w:sz w:val="20"/>
          <w:szCs w:val="20"/>
          <w:highlight w:val="none"/>
        </w:rPr>
      </w:pPr>
    </w:p>
    <w:p w14:paraId="34296E2E">
      <w:pPr>
        <w:pageBreakBefore w:val="0"/>
        <w:kinsoku/>
        <w:wordWrap w:val="0"/>
        <w:bidi w:val="0"/>
        <w:spacing w:line="440" w:lineRule="exact"/>
        <w:rPr>
          <w:rFonts w:hint="default" w:ascii="Times New Roman" w:hAnsi="Times New Roman" w:cs="Times New Roman"/>
          <w:color w:val="auto"/>
          <w:sz w:val="20"/>
          <w:szCs w:val="20"/>
          <w:highlight w:val="none"/>
        </w:rPr>
      </w:pPr>
    </w:p>
    <w:p w14:paraId="44596C28">
      <w:pPr>
        <w:pageBreakBefore w:val="0"/>
        <w:kinsoku/>
        <w:wordWrap w:val="0"/>
        <w:bidi w:val="0"/>
        <w:spacing w:line="440" w:lineRule="exact"/>
        <w:rPr>
          <w:rFonts w:hint="default" w:ascii="Times New Roman" w:hAnsi="Times New Roman" w:cs="Times New Roman"/>
          <w:color w:val="auto"/>
          <w:sz w:val="20"/>
          <w:szCs w:val="20"/>
          <w:highlight w:val="none"/>
        </w:rPr>
      </w:pPr>
    </w:p>
    <w:p w14:paraId="25365C3C">
      <w:pPr>
        <w:pageBreakBefore w:val="0"/>
        <w:kinsoku/>
        <w:wordWrap w:val="0"/>
        <w:bidi w:val="0"/>
        <w:spacing w:line="440" w:lineRule="exact"/>
        <w:rPr>
          <w:rFonts w:hint="default" w:ascii="Times New Roman" w:hAnsi="Times New Roman" w:cs="Times New Roman"/>
          <w:color w:val="auto"/>
          <w:sz w:val="20"/>
          <w:szCs w:val="20"/>
          <w:highlight w:val="none"/>
        </w:rPr>
      </w:pPr>
    </w:p>
    <w:p w14:paraId="6F5213CD">
      <w:pPr>
        <w:pageBreakBefore w:val="0"/>
        <w:kinsoku/>
        <w:wordWrap w:val="0"/>
        <w:bidi w:val="0"/>
        <w:spacing w:line="7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招标人：</w:t>
      </w:r>
      <w:r>
        <w:rPr>
          <w:rFonts w:hint="eastAsia" w:eastAsia="黑体" w:cs="Times New Roman"/>
          <w:color w:val="auto"/>
          <w:sz w:val="28"/>
          <w:szCs w:val="28"/>
          <w:highlight w:val="none"/>
          <w:u w:val="single"/>
          <w:lang w:eastAsia="zh-CN"/>
        </w:rPr>
        <w:t>盖州市交通运输服务中心</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eastAsia="zh-CN"/>
        </w:rPr>
        <w:t>盖单位电子印章</w:t>
      </w:r>
      <w:r>
        <w:rPr>
          <w:rFonts w:hint="default" w:ascii="Times New Roman" w:hAnsi="Times New Roman" w:eastAsia="黑体" w:cs="Times New Roman"/>
          <w:color w:val="auto"/>
          <w:sz w:val="28"/>
          <w:szCs w:val="28"/>
          <w:highlight w:val="none"/>
        </w:rPr>
        <w:t>）</w:t>
      </w:r>
    </w:p>
    <w:p w14:paraId="1830F088">
      <w:pPr>
        <w:pageBreakBefore w:val="0"/>
        <w:kinsoku/>
        <w:wordWrap w:val="0"/>
        <w:bidi w:val="0"/>
        <w:spacing w:line="700" w:lineRule="exact"/>
        <w:jc w:val="center"/>
        <w:rPr>
          <w:rFonts w:hint="default" w:ascii="Times New Roman" w:hAnsi="Times New Roman" w:cs="Times New Roman"/>
          <w:color w:val="auto"/>
          <w:sz w:val="28"/>
          <w:szCs w:val="28"/>
          <w:highlight w:val="none"/>
        </w:rPr>
      </w:pPr>
      <w:r>
        <w:rPr>
          <w:rFonts w:hint="default" w:ascii="Times New Roman" w:hAnsi="Times New Roman" w:eastAsia="黑体" w:cs="Times New Roman"/>
          <w:color w:val="auto"/>
          <w:sz w:val="28"/>
          <w:szCs w:val="28"/>
          <w:highlight w:val="none"/>
        </w:rPr>
        <w:t>招标代理机构：</w:t>
      </w:r>
      <w:r>
        <w:rPr>
          <w:rFonts w:hint="eastAsia" w:eastAsia="黑体" w:cs="Times New Roman"/>
          <w:color w:val="auto"/>
          <w:sz w:val="28"/>
          <w:szCs w:val="28"/>
          <w:highlight w:val="none"/>
          <w:u w:val="single"/>
          <w:lang w:eastAsia="zh-CN"/>
        </w:rPr>
        <w:t>辽宁君阳招标代理有限公司</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eastAsia="zh-CN"/>
        </w:rPr>
        <w:t>盖单位电子印章</w:t>
      </w:r>
      <w:r>
        <w:rPr>
          <w:rFonts w:hint="default" w:ascii="Times New Roman" w:hAnsi="Times New Roman" w:eastAsia="黑体" w:cs="Times New Roman"/>
          <w:color w:val="auto"/>
          <w:sz w:val="28"/>
          <w:szCs w:val="28"/>
          <w:highlight w:val="none"/>
        </w:rPr>
        <w:t>）</w:t>
      </w:r>
    </w:p>
    <w:p w14:paraId="560E6634">
      <w:pPr>
        <w:pageBreakBefore w:val="0"/>
        <w:kinsoku/>
        <w:wordWrap w:val="0"/>
        <w:bidi w:val="0"/>
        <w:spacing w:line="700" w:lineRule="exact"/>
        <w:jc w:val="center"/>
        <w:rPr>
          <w:rFonts w:hint="default" w:ascii="Times New Roman" w:hAnsi="Times New Roman" w:eastAsia="黑体" w:cs="Times New Roman"/>
          <w:color w:val="auto"/>
          <w:sz w:val="28"/>
          <w:szCs w:val="28"/>
          <w:highlight w:val="none"/>
        </w:rPr>
      </w:pPr>
      <w:r>
        <w:rPr>
          <w:rFonts w:hint="eastAsia" w:eastAsia="黑体" w:cs="Times New Roman"/>
          <w:color w:val="auto"/>
          <w:sz w:val="28"/>
          <w:szCs w:val="28"/>
          <w:highlight w:val="none"/>
          <w:u w:val="single"/>
          <w:lang w:val="en-US" w:eastAsia="zh-CN"/>
        </w:rPr>
        <w:t>2026</w:t>
      </w:r>
      <w:r>
        <w:rPr>
          <w:rFonts w:hint="default" w:ascii="Times New Roman" w:hAnsi="Times New Roman" w:eastAsia="黑体" w:cs="Times New Roman"/>
          <w:color w:val="auto"/>
          <w:sz w:val="28"/>
          <w:szCs w:val="28"/>
          <w:highlight w:val="none"/>
        </w:rPr>
        <w:t>年</w:t>
      </w:r>
      <w:r>
        <w:rPr>
          <w:rFonts w:hint="eastAsia"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rPr>
        <w:t>月</w:t>
      </w:r>
      <w:r>
        <w:rPr>
          <w:rFonts w:hint="eastAsia" w:eastAsia="黑体" w:cs="Times New Roman"/>
          <w:color w:val="auto"/>
          <w:sz w:val="28"/>
          <w:szCs w:val="28"/>
          <w:highlight w:val="none"/>
          <w:u w:val="single"/>
          <w:lang w:val="en-US" w:eastAsia="zh-CN"/>
        </w:rPr>
        <w:t xml:space="preserve">   </w:t>
      </w:r>
      <w:r>
        <w:rPr>
          <w:rFonts w:hint="default" w:ascii="Times New Roman" w:hAnsi="Times New Roman" w:eastAsia="黑体" w:cs="Times New Roman"/>
          <w:color w:val="auto"/>
          <w:sz w:val="28"/>
          <w:szCs w:val="28"/>
          <w:highlight w:val="none"/>
        </w:rPr>
        <w:t>日</w:t>
      </w:r>
    </w:p>
    <w:p w14:paraId="7D416600">
      <w:pPr>
        <w:pageBreakBefore w:val="0"/>
        <w:kinsoku/>
        <w:wordWrap w:val="0"/>
        <w:bidi w:val="0"/>
        <w:spacing w:line="352" w:lineRule="atLeast"/>
        <w:jc w:val="center"/>
        <w:rPr>
          <w:rFonts w:hint="default" w:ascii="Times New Roman" w:hAnsi="Times New Roman" w:eastAsia="黑体" w:cs="Times New Roman"/>
          <w:color w:val="auto"/>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851" w:gutter="0"/>
          <w:pgNumType w:fmt="upperRoman" w:start="1"/>
          <w:cols w:space="720" w:num="1"/>
          <w:docGrid w:linePitch="312" w:charSpace="0"/>
        </w:sectPr>
      </w:pPr>
    </w:p>
    <w:p w14:paraId="4581D49C">
      <w:pPr>
        <w:pageBreakBefore w:val="0"/>
        <w:kinsoku/>
        <w:wordWrap w:val="0"/>
        <w:bidi w:val="0"/>
        <w:spacing w:line="352" w:lineRule="atLeast"/>
        <w:rPr>
          <w:rFonts w:hint="default" w:ascii="Times New Roman" w:hAnsi="Times New Roman" w:eastAsia="楷体_GB2312" w:cs="Times New Roman"/>
          <w:color w:val="auto"/>
          <w:kern w:val="2"/>
          <w:sz w:val="21"/>
          <w:szCs w:val="21"/>
          <w:highlight w:val="none"/>
          <w:lang w:val="en-US" w:eastAsia="zh-CN" w:bidi="ar-SA"/>
        </w:rPr>
      </w:pPr>
    </w:p>
    <w:sdt>
      <w:sdtPr>
        <w:rPr>
          <w:rFonts w:hint="default" w:ascii="Times New Roman" w:hAnsi="Times New Roman" w:eastAsia="黑体" w:cs="Times New Roman"/>
          <w:color w:val="auto"/>
          <w:sz w:val="36"/>
          <w:szCs w:val="36"/>
          <w:highlight w:val="none"/>
          <w:lang w:val="en-US" w:eastAsia="zh-CN"/>
        </w:rPr>
        <w:id w:val="147456059"/>
        <w15:color w:val="DBDBDB"/>
        <w:docPartObj>
          <w:docPartGallery w:val="Table of Contents"/>
          <w:docPartUnique/>
        </w:docPartObj>
      </w:sdtPr>
      <w:sdtEndPr>
        <w:rPr>
          <w:rFonts w:hint="eastAsia" w:ascii="黑体" w:hAnsi="黑体" w:eastAsia="黑体" w:cs="黑体"/>
          <w:color w:val="auto"/>
          <w:kern w:val="2"/>
          <w:sz w:val="22"/>
          <w:szCs w:val="22"/>
          <w:highlight w:val="none"/>
          <w:lang w:val="en-US" w:eastAsia="zh-CN" w:bidi="ar-SA"/>
        </w:rPr>
      </w:sdtEndPr>
      <w:sdtContent>
        <w:p w14:paraId="421A7499">
          <w:pPr>
            <w:pageBreakBefore w:val="0"/>
            <w:kinsoku/>
            <w:wordWrap w:val="0"/>
            <w:bidi w:val="0"/>
            <w:spacing w:line="352" w:lineRule="atLeast"/>
            <w:jc w:val="center"/>
            <w:rPr>
              <w:rFonts w:hint="eastAsia"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rPr>
            <w:t>目</w:t>
          </w:r>
          <w:r>
            <w:rPr>
              <w:rFonts w:hint="eastAsia" w:ascii="Times New Roman" w:hAnsi="Times New Roman" w:eastAsia="黑体" w:cs="Times New Roman"/>
              <w:color w:val="auto"/>
              <w:sz w:val="36"/>
              <w:szCs w:val="36"/>
              <w:highlight w:val="none"/>
              <w:lang w:val="en-US" w:eastAsia="zh-CN"/>
            </w:rPr>
            <w:t xml:space="preserve">  </w:t>
          </w:r>
          <w:r>
            <w:rPr>
              <w:rFonts w:hint="eastAsia" w:ascii="Times New Roman" w:hAnsi="Times New Roman" w:eastAsia="黑体" w:cs="Times New Roman"/>
              <w:color w:val="auto"/>
              <w:sz w:val="36"/>
              <w:szCs w:val="36"/>
              <w:highlight w:val="none"/>
            </w:rPr>
            <w:t>录</w:t>
          </w:r>
        </w:p>
        <w:p w14:paraId="458D0D96">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TOC \o "1-3" \h \u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_Toc31926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一</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_Toc31926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19AA578">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_Toc22132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第一章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招标公告</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_Toc22132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3D3FB0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_Toc7457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1.招标条件</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_Toc7457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B667ABC">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_Toc30370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2.项目概况与招标范围</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_Toc30370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C3C1072">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_Toc7392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kern w:val="2"/>
              <w:sz w:val="22"/>
              <w:szCs w:val="22"/>
              <w:highlight w:val="none"/>
              <w:lang w:val="en-US" w:eastAsia="zh-CN" w:bidi="ar-SA"/>
            </w:rPr>
            <w:t>3.投标人资格要求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_Toc7392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FAEA77E">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_Toc3281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4.招标文件的获取</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_Toc3281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18B3DC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_Toc25648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5.投标文件的递交及相关事宜</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_Toc25648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D56B49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_Toc15086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6.评标办法</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_Toc15086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009D102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_Toc26836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7</w:t>
          </w:r>
          <w:r>
            <w:rPr>
              <w:rFonts w:hint="eastAsia" w:ascii="黑体" w:hAnsi="黑体" w:eastAsia="黑体" w:cs="黑体"/>
              <w:color w:val="auto"/>
              <w:sz w:val="22"/>
              <w:szCs w:val="22"/>
              <w:highlight w:val="none"/>
            </w:rPr>
            <w:t>.发布公告的媒介</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_Toc26836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89A388F">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_Toc11952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8</w:t>
          </w:r>
          <w:r>
            <w:rPr>
              <w:rFonts w:hint="eastAsia" w:ascii="黑体" w:hAnsi="黑体" w:eastAsia="黑体" w:cs="黑体"/>
              <w:color w:val="auto"/>
              <w:sz w:val="22"/>
              <w:szCs w:val="22"/>
              <w:highlight w:val="none"/>
            </w:rPr>
            <w:t>.联系方式</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_Toc11952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41F301C">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_Toc31908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第二章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投标人须知</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_Toc31908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8</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A69C358">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_Toc4367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投标人须知前附表</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_Toc4367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9</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193FB4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_Toc1394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附录1资格审查条件（资质最低</w:t>
          </w:r>
          <w:r>
            <w:rPr>
              <w:rFonts w:hint="eastAsia" w:ascii="黑体" w:hAnsi="黑体" w:eastAsia="黑体" w:cs="黑体"/>
              <w:bCs/>
              <w:i w:val="0"/>
              <w:iCs w:val="0"/>
              <w:color w:val="auto"/>
              <w:sz w:val="22"/>
              <w:szCs w:val="22"/>
              <w:highlight w:val="none"/>
              <w:lang w:eastAsia="zh-CN"/>
            </w:rPr>
            <w:t>要求</w:t>
          </w:r>
          <w:r>
            <w:rPr>
              <w:rFonts w:hint="eastAsia" w:ascii="黑体" w:hAnsi="黑体" w:eastAsia="黑体" w:cs="黑体"/>
              <w:bCs/>
              <w:i w:val="0"/>
              <w:iCs w:val="0"/>
              <w:color w:val="auto"/>
              <w:sz w:val="22"/>
              <w:szCs w:val="22"/>
              <w:highlight w:val="none"/>
            </w:rPr>
            <w:t>）</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_Toc1394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26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CA0E4AD">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_Toc9652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附录2资格审查条件（财务最低要求）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_Toc9652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27</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47E2EB1">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_Toc13152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附录3资格审查条件（业绩最低要求）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_Toc13152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28</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D4377C5">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_Toc19189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附录4资格审查条件（信誉最低要求）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_Toc19189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29</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39739C5">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_Toc24216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附录5资格审查条件（项目经理和项目总工最低要求）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_Toc24216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30</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3991CB5">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_Toc32755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附录6资格审查条件（其他管理和技术人员最低要求）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_Toc32755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279AE1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_Toc1224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rPr>
            <w:t>附录7资格审查条件（主要机械设备和试验检测设备最低要求）</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_Toc1224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F93A7A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_Toc650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1.总则</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_Toc650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33</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29E367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_Toc20402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2.招标文件</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_Toc20402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37</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BB3B933">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_Toc4963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3.投标文件</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_Toc4963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38</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DD5714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_Toc2947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4.投标</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_Toc2947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44</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B16BF0D">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_Toc19321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5.开标</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_Toc19321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44</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C793821">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_Toc31944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6.评标</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_Toc31944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47</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175FF8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_Toc5813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kern w:val="2"/>
              <w:sz w:val="22"/>
              <w:szCs w:val="22"/>
              <w:highlight w:val="none"/>
              <w:lang w:val="en-US" w:eastAsia="zh-CN" w:bidi="ar-SA"/>
            </w:rPr>
            <w:t xml:space="preserve">  </w:t>
          </w:r>
          <w:r>
            <w:rPr>
              <w:rFonts w:hint="eastAsia" w:ascii="黑体" w:hAnsi="黑体" w:eastAsia="黑体" w:cs="黑体"/>
              <w:bCs/>
              <w:i w:val="0"/>
              <w:iCs w:val="0"/>
              <w:color w:val="auto"/>
              <w:sz w:val="22"/>
              <w:szCs w:val="22"/>
              <w:highlight w:val="none"/>
              <w:lang w:val="en-US" w:eastAsia="zh-CN"/>
            </w:rPr>
            <w:t>7.合同授予</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_Toc5813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48</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3172272">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_Toc17560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8.纪律和监督</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_Toc17560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50</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A825F67">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_Toc7531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9.需要补充的其他内容</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_Toc7531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EB46BFF">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_Toc26380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附件一 开标记录表</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_Toc26380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0F76C15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_Toc28813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附件二 问题澄清通知</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_Toc28813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53</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966A86B">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_Toc10752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附件三 问题的澄清</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_Toc10752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54</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AB3F94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_Toc20484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bCs/>
              <w:i w:val="0"/>
              <w:iCs w:val="0"/>
              <w:color w:val="auto"/>
              <w:sz w:val="22"/>
              <w:szCs w:val="22"/>
              <w:highlight w:val="none"/>
              <w:lang w:val="en-US" w:eastAsia="zh-CN"/>
            </w:rPr>
            <w:t>附件四 中标通知书</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_Toc20484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55</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5CA3804">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_Toc10943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第三章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评标办法</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_Toc10943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96B170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_Toc18214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评标办法前附表</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_Toc18214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57</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7ADB49F">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_Toc5363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1.评标方法</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_Toc5363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FA78813">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_Toc32306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2.评审标准</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_Toc32306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7B94E0E">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_Toc22097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3.评标程序</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_Toc22097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66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9545603">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_Toc22672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第四章</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合同条款及格式</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_Toc22672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71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47C54A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_Toc8047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第一节</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通用合同条款</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_Toc8047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72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A5A7448">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_Toc22963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第二节</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专用合同条款</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_Toc22963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112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303088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_Toc22321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第三节</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合同附件格式</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_Toc22321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158</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ECA18BC">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_Toc3845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第五章工程量清单</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_Toc3845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2859DFD">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_Toc30480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1. 工程量清单说明</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_Toc30480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9B2C801">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_Toc28425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2. 投标报价说明</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_Toc28425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7CD22A3">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_Toc6852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3. 计日工说明</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_Toc6852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173</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F2B35BA">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_Toc12492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4. 其他说明</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_Toc12492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174</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99E6D14">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ind w:firstLine="220" w:firstLineChars="100"/>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_Toc26230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lang w:val="en-US" w:eastAsia="zh-CN"/>
            </w:rPr>
            <w:t>5.工程量清单</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_Toc26230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174</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806994F">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_Toc21475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二</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_Toc21475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175</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5B8C6EF4">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_Toc16205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第六章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图纸（另册）</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_Toc16205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176</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096E8EF1">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_Toc1328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三</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_Toc1328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177</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119F4526">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_Toc29070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第七章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技术规范（另册）</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_Toc29070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178</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DFBC4B0">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_Toc12046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第八章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工程量清单计量规则</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_Toc12046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179</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648216F5">
          <w:pPr>
            <w:pStyle w:val="29"/>
            <w:keepNext w:val="0"/>
            <w:keepLines w:val="0"/>
            <w:pageBreakBefore w:val="0"/>
            <w:tabs>
              <w:tab w:val="right" w:leader="dot" w:pos="8675"/>
              <w:tab w:val="clear" w:pos="425"/>
              <w:tab w:val="clear" w:pos="880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_Toc30898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第</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四</w:t>
          </w:r>
          <w:r>
            <w:rPr>
              <w:rFonts w:hint="eastAsia" w:ascii="黑体" w:hAnsi="黑体" w:eastAsia="黑体" w:cs="黑体"/>
              <w:color w:val="auto"/>
              <w:sz w:val="22"/>
              <w:szCs w:val="22"/>
              <w:highlight w:val="none"/>
              <w:lang w:val="en-US" w:eastAsia="zh-CN"/>
            </w:rPr>
            <w:t xml:space="preserve"> </w:t>
          </w:r>
          <w:r>
            <w:rPr>
              <w:rFonts w:hint="eastAsia" w:ascii="黑体" w:hAnsi="黑体" w:eastAsia="黑体" w:cs="黑体"/>
              <w:color w:val="auto"/>
              <w:sz w:val="22"/>
              <w:szCs w:val="22"/>
              <w:highlight w:val="none"/>
            </w:rPr>
            <w:t>卷</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_Toc30898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180</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BEC7DA2">
          <w:pPr>
            <w:pStyle w:val="34"/>
            <w:keepNext w:val="0"/>
            <w:keepLines w:val="0"/>
            <w:pageBreakBefore w:val="0"/>
            <w:tabs>
              <w:tab w:val="right" w:leader="dot" w:pos="8675"/>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_Toc14222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i w:val="0"/>
              <w:iCs w:val="0"/>
              <w:color w:val="auto"/>
              <w:sz w:val="22"/>
              <w:szCs w:val="22"/>
              <w:highlight w:val="none"/>
            </w:rPr>
            <w:t>第九章</w:t>
          </w:r>
          <w:r>
            <w:rPr>
              <w:rFonts w:hint="eastAsia" w:ascii="黑体" w:hAnsi="黑体" w:eastAsia="黑体" w:cs="黑体"/>
              <w:i w:val="0"/>
              <w:iCs w:val="0"/>
              <w:color w:val="auto"/>
              <w:sz w:val="22"/>
              <w:szCs w:val="22"/>
              <w:highlight w:val="none"/>
              <w:lang w:val="en-US" w:eastAsia="zh-CN"/>
            </w:rPr>
            <w:t xml:space="preserve"> </w:t>
          </w:r>
          <w:r>
            <w:rPr>
              <w:rFonts w:hint="eastAsia" w:ascii="黑体" w:hAnsi="黑体" w:eastAsia="黑体" w:cs="黑体"/>
              <w:i w:val="0"/>
              <w:iCs w:val="0"/>
              <w:color w:val="auto"/>
              <w:sz w:val="22"/>
              <w:szCs w:val="22"/>
              <w:highlight w:val="none"/>
            </w:rPr>
            <w:t>投标文件格式</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_Toc14222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181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3DE3C066">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_Toc274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 xml:space="preserve">第一个信封 </w:t>
          </w:r>
          <w:r>
            <w:rPr>
              <w:rFonts w:hint="eastAsia" w:ascii="黑体" w:hAnsi="黑体" w:eastAsia="黑体" w:cs="黑体"/>
              <w:color w:val="auto"/>
              <w:sz w:val="22"/>
              <w:szCs w:val="22"/>
              <w:highlight w:val="none"/>
            </w:rPr>
            <w:t>商务及技术文件）</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_Toc274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182</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49EFD899">
          <w:pPr>
            <w:pStyle w:val="20"/>
            <w:keepNext w:val="0"/>
            <w:keepLines w:val="0"/>
            <w:pageBreakBefore w:val="0"/>
            <w:tabs>
              <w:tab w:val="right" w:leader="dot" w:pos="8675"/>
            </w:tabs>
            <w:kinsoku/>
            <w:wordWrap/>
            <w:overflowPunct/>
            <w:topLinePunct w:val="0"/>
            <w:autoSpaceDE/>
            <w:autoSpaceDN/>
            <w:bidi w:val="0"/>
            <w:adjustRightInd/>
            <w:snapToGrid/>
            <w:spacing w:after="0" w:line="360" w:lineRule="auto"/>
            <w:textAlignment w:val="auto"/>
            <w:rPr>
              <w:rFonts w:hint="eastAsia" w:ascii="黑体" w:hAnsi="黑体" w:eastAsia="黑体" w:cs="黑体"/>
              <w:color w:val="auto"/>
              <w:sz w:val="22"/>
              <w:szCs w:val="22"/>
              <w:highlight w:val="none"/>
            </w:rPr>
          </w:pPr>
          <w:r>
            <w:rPr>
              <w:rFonts w:hint="eastAsia" w:ascii="黑体" w:hAnsi="黑体" w:eastAsia="黑体" w:cs="黑体"/>
              <w:color w:val="auto"/>
              <w:kern w:val="2"/>
              <w:sz w:val="22"/>
              <w:szCs w:val="22"/>
              <w:highlight w:val="none"/>
              <w:lang w:val="en-US" w:eastAsia="zh-CN" w:bidi="ar-SA"/>
            </w:rPr>
            <w:fldChar w:fldCharType="begin"/>
          </w:r>
          <w:r>
            <w:rPr>
              <w:rFonts w:hint="eastAsia" w:ascii="黑体" w:hAnsi="黑体" w:eastAsia="黑体" w:cs="黑体"/>
              <w:color w:val="auto"/>
              <w:kern w:val="2"/>
              <w:sz w:val="22"/>
              <w:szCs w:val="22"/>
              <w:highlight w:val="none"/>
              <w:lang w:val="en-US" w:eastAsia="zh-CN" w:bidi="ar-SA"/>
            </w:rPr>
            <w:instrText xml:space="preserve"> HYPERLINK \l _Toc17899 </w:instrText>
          </w:r>
          <w:r>
            <w:rPr>
              <w:rFonts w:hint="eastAsia" w:ascii="黑体" w:hAnsi="黑体" w:eastAsia="黑体" w:cs="黑体"/>
              <w:color w:val="auto"/>
              <w:kern w:val="2"/>
              <w:sz w:val="22"/>
              <w:szCs w:val="22"/>
              <w:highlight w:val="none"/>
              <w:lang w:val="en-US" w:eastAsia="zh-CN" w:bidi="ar-SA"/>
            </w:rPr>
            <w:fldChar w:fldCharType="separate"/>
          </w:r>
          <w:r>
            <w:rPr>
              <w:rFonts w:hint="eastAsia" w:ascii="黑体" w:hAnsi="黑体" w:eastAsia="黑体" w:cs="黑体"/>
              <w:color w:val="auto"/>
              <w:sz w:val="22"/>
              <w:szCs w:val="22"/>
              <w:highlight w:val="none"/>
            </w:rPr>
            <w:t>（</w:t>
          </w:r>
          <w:r>
            <w:rPr>
              <w:rFonts w:hint="eastAsia" w:ascii="黑体" w:hAnsi="黑体" w:eastAsia="黑体" w:cs="黑体"/>
              <w:color w:val="auto"/>
              <w:sz w:val="22"/>
              <w:szCs w:val="22"/>
              <w:highlight w:val="none"/>
              <w:lang w:val="en-US" w:eastAsia="zh-CN"/>
            </w:rPr>
            <w:t xml:space="preserve">第二个信封 </w:t>
          </w:r>
          <w:r>
            <w:rPr>
              <w:rFonts w:hint="eastAsia" w:ascii="黑体" w:hAnsi="黑体" w:eastAsia="黑体" w:cs="黑体"/>
              <w:color w:val="auto"/>
              <w:sz w:val="22"/>
              <w:szCs w:val="22"/>
              <w:highlight w:val="none"/>
            </w:rPr>
            <w:t>报价文件）</w:t>
          </w:r>
          <w:r>
            <w:rPr>
              <w:rFonts w:hint="eastAsia" w:ascii="黑体" w:hAnsi="黑体" w:eastAsia="黑体" w:cs="黑体"/>
              <w:color w:val="auto"/>
              <w:sz w:val="22"/>
              <w:szCs w:val="22"/>
              <w:highlight w:val="none"/>
            </w:rPr>
            <w:tab/>
          </w:r>
          <w:r>
            <w:rPr>
              <w:rFonts w:hint="eastAsia" w:ascii="黑体" w:hAnsi="黑体" w:eastAsia="黑体" w:cs="黑体"/>
              <w:color w:val="auto"/>
              <w:sz w:val="22"/>
              <w:szCs w:val="22"/>
              <w:highlight w:val="none"/>
            </w:rPr>
            <w:fldChar w:fldCharType="begin"/>
          </w:r>
          <w:r>
            <w:rPr>
              <w:rFonts w:hint="eastAsia" w:ascii="黑体" w:hAnsi="黑体" w:eastAsia="黑体" w:cs="黑体"/>
              <w:color w:val="auto"/>
              <w:sz w:val="22"/>
              <w:szCs w:val="22"/>
              <w:highlight w:val="none"/>
            </w:rPr>
            <w:instrText xml:space="preserve"> PAGEREF _Toc17899 \h </w:instrText>
          </w:r>
          <w:r>
            <w:rPr>
              <w:rFonts w:hint="eastAsia" w:ascii="黑体" w:hAnsi="黑体" w:eastAsia="黑体" w:cs="黑体"/>
              <w:color w:val="auto"/>
              <w:sz w:val="22"/>
              <w:szCs w:val="22"/>
              <w:highlight w:val="none"/>
            </w:rPr>
            <w:fldChar w:fldCharType="separate"/>
          </w:r>
          <w:r>
            <w:rPr>
              <w:rFonts w:hint="eastAsia" w:ascii="黑体" w:hAnsi="黑体" w:eastAsia="黑体" w:cs="黑体"/>
              <w:color w:val="auto"/>
              <w:sz w:val="22"/>
              <w:szCs w:val="22"/>
              <w:highlight w:val="none"/>
            </w:rPr>
            <w:t>211</w:t>
          </w:r>
          <w:r>
            <w:rPr>
              <w:rFonts w:hint="eastAsia" w:ascii="黑体" w:hAnsi="黑体" w:eastAsia="黑体" w:cs="黑体"/>
              <w:color w:val="auto"/>
              <w:sz w:val="22"/>
              <w:szCs w:val="22"/>
              <w:highlight w:val="none"/>
            </w:rPr>
            <w:fldChar w:fldCharType="end"/>
          </w:r>
          <w:r>
            <w:rPr>
              <w:rFonts w:hint="eastAsia" w:ascii="黑体" w:hAnsi="黑体" w:eastAsia="黑体" w:cs="黑体"/>
              <w:color w:val="auto"/>
              <w:kern w:val="2"/>
              <w:sz w:val="22"/>
              <w:szCs w:val="22"/>
              <w:highlight w:val="none"/>
              <w:lang w:val="en-US" w:eastAsia="zh-CN" w:bidi="ar-SA"/>
            </w:rPr>
            <w:fldChar w:fldCharType="end"/>
          </w:r>
        </w:p>
        <w:p w14:paraId="2F926D73">
          <w:pPr>
            <w:keepNext w:val="0"/>
            <w:keepLines w:val="0"/>
            <w:pageBreakBefore w:val="0"/>
            <w:kinsoku/>
            <w:wordWrap w:val="0"/>
            <w:overflowPunct/>
            <w:topLinePunct w:val="0"/>
            <w:autoSpaceDE/>
            <w:autoSpaceDN/>
            <w:bidi w:val="0"/>
            <w:adjustRightInd/>
            <w:snapToGrid/>
            <w:spacing w:line="300" w:lineRule="auto"/>
            <w:textAlignment w:val="auto"/>
            <w:rPr>
              <w:rFonts w:hint="eastAsia" w:ascii="黑体" w:hAnsi="黑体" w:eastAsia="黑体" w:cs="黑体"/>
              <w:color w:val="auto"/>
              <w:kern w:val="2"/>
              <w:sz w:val="22"/>
              <w:szCs w:val="22"/>
              <w:highlight w:val="none"/>
              <w:lang w:val="en-US" w:eastAsia="zh-CN" w:bidi="ar-SA"/>
            </w:rPr>
          </w:pPr>
          <w:r>
            <w:rPr>
              <w:rFonts w:hint="eastAsia" w:ascii="黑体" w:hAnsi="黑体" w:eastAsia="黑体" w:cs="黑体"/>
              <w:color w:val="auto"/>
              <w:kern w:val="2"/>
              <w:sz w:val="22"/>
              <w:szCs w:val="22"/>
              <w:highlight w:val="none"/>
              <w:lang w:val="en-US" w:eastAsia="zh-CN" w:bidi="ar-SA"/>
            </w:rPr>
            <w:fldChar w:fldCharType="end"/>
          </w:r>
        </w:p>
      </w:sdtContent>
    </w:sdt>
    <w:p w14:paraId="5D6F360C">
      <w:pPr>
        <w:keepNext w:val="0"/>
        <w:keepLines w:val="0"/>
        <w:pageBreakBefore w:val="0"/>
        <w:kinsoku/>
        <w:wordWrap w:val="0"/>
        <w:overflowPunct/>
        <w:topLinePunct w:val="0"/>
        <w:autoSpaceDE/>
        <w:autoSpaceDN/>
        <w:bidi w:val="0"/>
        <w:adjustRightInd/>
        <w:snapToGrid/>
        <w:spacing w:line="300" w:lineRule="auto"/>
        <w:textAlignment w:val="auto"/>
        <w:rPr>
          <w:rFonts w:hint="eastAsia" w:ascii="黑体" w:hAnsi="黑体" w:eastAsia="黑体" w:cs="黑体"/>
          <w:color w:val="auto"/>
          <w:kern w:val="2"/>
          <w:sz w:val="22"/>
          <w:szCs w:val="22"/>
          <w:highlight w:val="none"/>
          <w:lang w:val="en-US" w:eastAsia="zh-CN" w:bidi="ar-SA"/>
        </w:rPr>
        <w:sectPr>
          <w:headerReference r:id="rId8" w:type="default"/>
          <w:footerReference r:id="rId9" w:type="default"/>
          <w:footnotePr>
            <w:numFmt w:val="decimalEnclosedCircleChinese"/>
            <w:numRestart w:val="eachPage"/>
          </w:footnotePr>
          <w:pgSz w:w="11907" w:h="16840"/>
          <w:pgMar w:top="1588" w:right="1588" w:bottom="1474" w:left="1644" w:header="851" w:footer="851" w:gutter="0"/>
          <w:pgNumType w:fmt="upperRoman" w:start="1"/>
          <w:cols w:space="720" w:num="1"/>
          <w:docGrid w:linePitch="312" w:charSpace="0"/>
        </w:sectPr>
      </w:pPr>
    </w:p>
    <w:p w14:paraId="192C4E59">
      <w:pPr>
        <w:pageBreakBefore w:val="0"/>
        <w:kinsoku/>
        <w:wordWrap w:val="0"/>
        <w:bidi w:val="0"/>
        <w:spacing w:line="352" w:lineRule="atLeast"/>
        <w:rPr>
          <w:rFonts w:hint="default" w:ascii="Times New Roman" w:hAnsi="Times New Roman" w:eastAsia="楷体_GB2312" w:cs="Times New Roman"/>
          <w:color w:val="auto"/>
          <w:szCs w:val="21"/>
          <w:highlight w:val="none"/>
        </w:rPr>
      </w:pPr>
    </w:p>
    <w:p w14:paraId="58162421">
      <w:pPr>
        <w:pageBreakBefore w:val="0"/>
        <w:kinsoku/>
        <w:wordWrap w:val="0"/>
        <w:bidi w:val="0"/>
        <w:spacing w:line="352" w:lineRule="atLeast"/>
        <w:rPr>
          <w:rFonts w:hint="default" w:ascii="Times New Roman" w:hAnsi="Times New Roman" w:eastAsia="楷体_GB2312" w:cs="Times New Roman"/>
          <w:color w:val="auto"/>
          <w:szCs w:val="21"/>
          <w:highlight w:val="none"/>
        </w:rPr>
      </w:pPr>
    </w:p>
    <w:p w14:paraId="28D2D253">
      <w:pPr>
        <w:pageBreakBefore w:val="0"/>
        <w:kinsoku/>
        <w:wordWrap w:val="0"/>
        <w:bidi w:val="0"/>
        <w:spacing w:line="352" w:lineRule="atLeast"/>
        <w:rPr>
          <w:rFonts w:hint="default" w:ascii="Times New Roman" w:hAnsi="Times New Roman" w:eastAsia="黑体" w:cs="Times New Roman"/>
          <w:color w:val="auto"/>
          <w:sz w:val="29"/>
          <w:szCs w:val="29"/>
          <w:highlight w:val="none"/>
        </w:rPr>
      </w:pPr>
    </w:p>
    <w:p w14:paraId="4843078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9DDD8F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FFB242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E099ED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624D15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F70CF1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558A27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AA87D7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58AAC2">
      <w:pPr>
        <w:keepNext w:val="0"/>
        <w:keepLines w:val="0"/>
        <w:pageBreakBefore w:val="0"/>
        <w:widowControl w:val="0"/>
        <w:kinsoku/>
        <w:wordWrap w:val="0"/>
        <w:overflowPunct/>
        <w:topLinePunct/>
        <w:autoSpaceDE/>
        <w:autoSpaceDN/>
        <w:bidi w:val="0"/>
        <w:adjustRightInd/>
        <w:snapToGrid/>
        <w:spacing w:line="240" w:lineRule="atLeast"/>
        <w:ind w:right="31" w:rightChars="15"/>
        <w:jc w:val="center"/>
        <w:textAlignment w:val="auto"/>
        <w:outlineLvl w:val="0"/>
        <w:rPr>
          <w:rFonts w:hint="default" w:ascii="Times New Roman" w:hAnsi="Times New Roman" w:eastAsia="黑体" w:cs="Times New Roman"/>
          <w:color w:val="auto"/>
          <w:sz w:val="76"/>
          <w:szCs w:val="76"/>
          <w:highlight w:val="none"/>
        </w:rPr>
      </w:pPr>
      <w:bookmarkStart w:id="3" w:name="_Toc7498"/>
      <w:bookmarkStart w:id="4" w:name="_Toc31926"/>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一</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3"/>
      <w:bookmarkEnd w:id="4"/>
    </w:p>
    <w:p w14:paraId="1963FA6F">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6"/>
          <w:szCs w:val="36"/>
          <w:highlight w:val="none"/>
        </w:rPr>
        <w:sectPr>
          <w:headerReference r:id="rId10" w:type="default"/>
          <w:footerReference r:id="rId11" w:type="default"/>
          <w:footerReference r:id="rId12"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10357DB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6"/>
          <w:szCs w:val="36"/>
          <w:highlight w:val="none"/>
        </w:rPr>
      </w:pPr>
    </w:p>
    <w:p w14:paraId="404AEC2E">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6"/>
          <w:szCs w:val="36"/>
          <w:highlight w:val="none"/>
        </w:rPr>
      </w:pPr>
    </w:p>
    <w:p w14:paraId="3AC36CDE">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541DBE5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0EEB8492">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0A2DA9D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357D781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5ED2EFA">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2950B04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3B6CFF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07E021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1F2A9304">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56"/>
          <w:szCs w:val="56"/>
          <w:highlight w:val="none"/>
        </w:rPr>
      </w:pPr>
      <w:bookmarkStart w:id="5" w:name="_Toc14540"/>
      <w:bookmarkStart w:id="6" w:name="_Toc16041"/>
      <w:bookmarkStart w:id="7" w:name="_Toc22132"/>
      <w:bookmarkStart w:id="8" w:name="_Toc32078"/>
      <w:bookmarkStart w:id="9" w:name="_Toc15626"/>
      <w:r>
        <w:rPr>
          <w:rFonts w:hint="default" w:ascii="Times New Roman" w:hAnsi="Times New Roman" w:eastAsia="黑体" w:cs="Times New Roman"/>
          <w:color w:val="auto"/>
          <w:sz w:val="56"/>
          <w:szCs w:val="56"/>
          <w:highlight w:val="none"/>
        </w:rPr>
        <w:t>第一章</w:t>
      </w:r>
      <w:r>
        <w:rPr>
          <w:rFonts w:hint="eastAsia"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招标公告</w:t>
      </w:r>
      <w:bookmarkEnd w:id="5"/>
      <w:bookmarkEnd w:id="6"/>
      <w:bookmarkEnd w:id="7"/>
      <w:bookmarkEnd w:id="8"/>
      <w:bookmarkEnd w:id="9"/>
    </w:p>
    <w:p w14:paraId="337339D6">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536ADB70">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sectPr>
          <w:footerReference r:id="rId13" w:type="default"/>
          <w:footerReference r:id="rId14"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5794B86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color w:val="auto"/>
          <w:sz w:val="42"/>
          <w:szCs w:val="42"/>
          <w:highlight w:val="none"/>
        </w:rPr>
      </w:pPr>
      <w:bookmarkStart w:id="10" w:name="_Toc3148"/>
      <w:bookmarkStart w:id="11" w:name="_Toc234832844"/>
      <w:bookmarkStart w:id="12" w:name="_Toc15669"/>
      <w:bookmarkStart w:id="13" w:name="_Toc4069"/>
      <w:bookmarkStart w:id="14" w:name="_Toc25862"/>
      <w:bookmarkStart w:id="15" w:name="_Toc107"/>
      <w:bookmarkStart w:id="16" w:name="_Toc5317"/>
      <w:r>
        <w:rPr>
          <w:rStyle w:val="54"/>
          <w:rFonts w:hint="default" w:ascii="Times New Roman" w:hAnsi="Times New Roman" w:eastAsia="黑体" w:cs="Times New Roman"/>
          <w:color w:val="auto"/>
          <w:sz w:val="42"/>
          <w:szCs w:val="42"/>
          <w:highlight w:val="none"/>
        </w:rPr>
        <w:t>第一章</w:t>
      </w:r>
      <w:r>
        <w:rPr>
          <w:rStyle w:val="54"/>
          <w:rFonts w:hint="eastAsia" w:eastAsia="黑体" w:cs="Times New Roman"/>
          <w:color w:val="auto"/>
          <w:sz w:val="42"/>
          <w:szCs w:val="42"/>
          <w:highlight w:val="none"/>
          <w:lang w:val="en-US"/>
        </w:rPr>
        <w:t xml:space="preserve"> </w:t>
      </w:r>
      <w:r>
        <w:rPr>
          <w:rStyle w:val="54"/>
          <w:rFonts w:hint="default" w:ascii="Times New Roman" w:hAnsi="Times New Roman" w:eastAsia="黑体" w:cs="Times New Roman"/>
          <w:color w:val="auto"/>
          <w:sz w:val="42"/>
          <w:szCs w:val="42"/>
          <w:highlight w:val="none"/>
        </w:rPr>
        <w:t>招标公告</w:t>
      </w:r>
      <w:bookmarkEnd w:id="10"/>
      <w:bookmarkEnd w:id="11"/>
      <w:bookmarkEnd w:id="12"/>
      <w:bookmarkEnd w:id="13"/>
      <w:bookmarkEnd w:id="14"/>
      <w:bookmarkEnd w:id="15"/>
      <w:bookmarkEnd w:id="16"/>
    </w:p>
    <w:p w14:paraId="291DE138">
      <w:pPr>
        <w:pageBreakBefore w:val="0"/>
        <w:tabs>
          <w:tab w:val="center" w:pos="4153"/>
        </w:tabs>
        <w:kinsoku/>
        <w:wordWrap w:val="0"/>
        <w:bidi w:val="0"/>
        <w:spacing w:line="440" w:lineRule="exact"/>
        <w:jc w:val="center"/>
        <w:rPr>
          <w:rFonts w:hint="default" w:ascii="Times New Roman" w:hAnsi="Times New Roman" w:eastAsia="黑体" w:cs="Times New Roman"/>
          <w:color w:val="auto"/>
          <w:sz w:val="17"/>
          <w:szCs w:val="17"/>
          <w:highlight w:val="none"/>
        </w:rPr>
      </w:pPr>
    </w:p>
    <w:p w14:paraId="2E1EE868">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u w:val="single"/>
        </w:rPr>
      </w:pPr>
      <w:r>
        <w:rPr>
          <w:rFonts w:hint="eastAsia" w:eastAsia="黑体" w:cs="Times New Roman"/>
          <w:color w:val="auto"/>
          <w:sz w:val="28"/>
          <w:szCs w:val="28"/>
          <w:highlight w:val="none"/>
          <w:u w:val="single"/>
          <w:lang w:eastAsia="zh-CN"/>
        </w:rPr>
        <w:t>2025年盖州市农村公路维修改造工程超前实施项目</w:t>
      </w:r>
      <w:r>
        <w:rPr>
          <w:rFonts w:hint="default" w:ascii="Times New Roman" w:hAnsi="Times New Roman" w:eastAsia="黑体" w:cs="Times New Roman"/>
          <w:color w:val="auto"/>
          <w:sz w:val="28"/>
          <w:szCs w:val="28"/>
          <w:highlight w:val="none"/>
          <w:u w:val="single"/>
        </w:rPr>
        <w:t>（项目名称）</w:t>
      </w:r>
    </w:p>
    <w:p w14:paraId="7632567B">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u w:val="single"/>
        </w:rPr>
      </w:pPr>
      <w:r>
        <w:rPr>
          <w:rFonts w:hint="eastAsia" w:eastAsia="黑体" w:cs="Times New Roman"/>
          <w:color w:val="auto"/>
          <w:sz w:val="28"/>
          <w:szCs w:val="28"/>
          <w:highlight w:val="none"/>
          <w:u w:val="single"/>
          <w:lang w:eastAsia="zh-CN"/>
        </w:rPr>
        <w:t>2025年盖州市农村公路维修改造工程超前实施项目一标段</w:t>
      </w:r>
      <w:r>
        <w:rPr>
          <w:rFonts w:hint="default" w:ascii="Times New Roman" w:hAnsi="Times New Roman" w:eastAsia="黑体" w:cs="Times New Roman"/>
          <w:color w:val="auto"/>
          <w:sz w:val="28"/>
          <w:szCs w:val="28"/>
          <w:highlight w:val="none"/>
          <w:u w:val="single"/>
        </w:rPr>
        <w:t>（标段名称）</w:t>
      </w:r>
    </w:p>
    <w:p w14:paraId="5768BCDF">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施工招标</w:t>
      </w:r>
      <w:r>
        <w:rPr>
          <w:rFonts w:hint="default" w:ascii="Times New Roman" w:hAnsi="Times New Roman" w:eastAsia="黑体" w:cs="Times New Roman"/>
          <w:color w:val="auto"/>
          <w:sz w:val="28"/>
          <w:szCs w:val="28"/>
          <w:highlight w:val="none"/>
        </w:rPr>
        <w:t>公告</w:t>
      </w:r>
    </w:p>
    <w:p w14:paraId="5866135A">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eastAsia" w:ascii="黑体" w:hAnsi="黑体" w:eastAsia="黑体" w:cs="黑体"/>
          <w:color w:val="auto"/>
          <w:sz w:val="28"/>
          <w:szCs w:val="28"/>
          <w:highlight w:val="none"/>
        </w:rPr>
      </w:pPr>
      <w:bookmarkStart w:id="17" w:name="_Toc470760973"/>
      <w:bookmarkStart w:id="18" w:name="_Toc3647"/>
      <w:bookmarkStart w:id="19" w:name="_Toc5675"/>
      <w:bookmarkStart w:id="20" w:name="_Toc15922"/>
      <w:bookmarkStart w:id="21" w:name="_Toc7457"/>
      <w:r>
        <w:rPr>
          <w:rFonts w:hint="eastAsia" w:ascii="黑体" w:hAnsi="黑体" w:eastAsia="黑体" w:cs="黑体"/>
          <w:color w:val="auto"/>
          <w:sz w:val="28"/>
          <w:szCs w:val="28"/>
          <w:highlight w:val="none"/>
        </w:rPr>
        <w:t>1.招标条件</w:t>
      </w:r>
      <w:bookmarkEnd w:id="17"/>
      <w:bookmarkEnd w:id="18"/>
      <w:bookmarkEnd w:id="19"/>
      <w:bookmarkEnd w:id="20"/>
      <w:bookmarkEnd w:id="21"/>
    </w:p>
    <w:p w14:paraId="37455D1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highlight w:val="none"/>
          <w:lang w:eastAsia="zh-CN"/>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eastAsia="zh-CN"/>
        </w:rPr>
        <w:t>2025年盖州市农村公路维修改造工程超前实施项目</w:t>
      </w:r>
      <w:r>
        <w:rPr>
          <w:rFonts w:hint="eastAsia" w:ascii="宋体" w:hAnsi="宋体" w:eastAsia="宋体" w:cs="宋体"/>
          <w:color w:val="auto"/>
          <w:sz w:val="24"/>
          <w:szCs w:val="24"/>
          <w:highlight w:val="none"/>
        </w:rPr>
        <w:t>（项目名称）已由</w:t>
      </w:r>
      <w:r>
        <w:rPr>
          <w:rFonts w:hint="eastAsia" w:ascii="宋体" w:hAnsi="宋体" w:cs="宋体"/>
          <w:color w:val="auto"/>
          <w:sz w:val="24"/>
          <w:szCs w:val="24"/>
          <w:highlight w:val="none"/>
          <w:u w:val="single"/>
          <w:lang w:eastAsia="zh-CN"/>
        </w:rPr>
        <w:t>盖州市交通运输局</w:t>
      </w:r>
      <w:r>
        <w:rPr>
          <w:rFonts w:hint="eastAsia" w:ascii="宋体" w:hAnsi="宋体" w:eastAsia="宋体" w:cs="宋体"/>
          <w:color w:val="auto"/>
          <w:sz w:val="24"/>
          <w:szCs w:val="24"/>
          <w:highlight w:val="none"/>
        </w:rPr>
        <w:t>（项目审批、核准或备案机关名称）以</w:t>
      </w:r>
      <w:r>
        <w:rPr>
          <w:rFonts w:hint="eastAsia" w:ascii="宋体" w:hAnsi="宋体" w:cs="宋体"/>
          <w:color w:val="auto"/>
          <w:sz w:val="24"/>
          <w:szCs w:val="24"/>
          <w:highlight w:val="none"/>
          <w:u w:val="single"/>
          <w:lang w:val="en-US" w:eastAsia="zh-CN"/>
        </w:rPr>
        <w:t>《关于2025年盖州市农村公路维修改造工程超前实施项目施工图设计的批复》盖交发(2026)批01号</w:t>
      </w:r>
      <w:r>
        <w:rPr>
          <w:rFonts w:hint="eastAsia" w:ascii="宋体" w:hAnsi="宋体" w:eastAsia="宋体" w:cs="宋体"/>
          <w:color w:val="auto"/>
          <w:sz w:val="24"/>
          <w:szCs w:val="24"/>
          <w:highlight w:val="none"/>
        </w:rPr>
        <w:t>（批文名称及编号）批准建设，建设资金来自</w:t>
      </w:r>
      <w:r>
        <w:rPr>
          <w:rFonts w:hint="eastAsia" w:ascii="宋体" w:hAnsi="宋体" w:eastAsia="宋体" w:cs="宋体"/>
          <w:color w:val="auto"/>
          <w:sz w:val="24"/>
          <w:highlight w:val="none"/>
          <w:u w:val="single"/>
        </w:rPr>
        <w:t xml:space="preserve"> 中央</w:t>
      </w:r>
      <w:r>
        <w:rPr>
          <w:rFonts w:hint="eastAsia" w:ascii="宋体" w:hAnsi="宋体" w:cs="宋体"/>
          <w:color w:val="auto"/>
          <w:sz w:val="24"/>
          <w:highlight w:val="none"/>
          <w:u w:val="single"/>
          <w:lang w:eastAsia="zh-CN"/>
        </w:rPr>
        <w:t>补助</w:t>
      </w:r>
      <w:r>
        <w:rPr>
          <w:rFonts w:hint="eastAsia" w:ascii="宋体" w:hAnsi="宋体" w:eastAsia="宋体" w:cs="宋体"/>
          <w:color w:val="auto"/>
          <w:sz w:val="24"/>
          <w:highlight w:val="none"/>
          <w:u w:val="single"/>
        </w:rPr>
        <w:t>资金</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省级</w:t>
      </w:r>
      <w:r>
        <w:rPr>
          <w:rFonts w:hint="eastAsia" w:ascii="宋体" w:hAnsi="宋体" w:cs="宋体"/>
          <w:color w:val="auto"/>
          <w:sz w:val="24"/>
          <w:highlight w:val="none"/>
          <w:u w:val="single"/>
          <w:lang w:eastAsia="zh-CN"/>
        </w:rPr>
        <w:t>补助</w:t>
      </w:r>
      <w:r>
        <w:rPr>
          <w:rFonts w:hint="eastAsia" w:ascii="宋体" w:hAnsi="宋体" w:eastAsia="宋体" w:cs="宋体"/>
          <w:color w:val="auto"/>
          <w:sz w:val="24"/>
          <w:highlight w:val="none"/>
          <w:u w:val="single"/>
        </w:rPr>
        <w:t>资金</w:t>
      </w:r>
      <w:r>
        <w:rPr>
          <w:rFonts w:hint="eastAsia" w:ascii="宋体" w:hAnsi="宋体" w:cs="宋体"/>
          <w:color w:val="auto"/>
          <w:sz w:val="24"/>
          <w:highlight w:val="none"/>
          <w:u w:val="single"/>
          <w:lang w:eastAsia="zh-CN"/>
        </w:rPr>
        <w:t>、区(县)配套资金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（资金来源），出资比例为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21.6%、27.9%、50.5%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盖州市交通运输服务中心</w:t>
      </w:r>
      <w:r>
        <w:rPr>
          <w:rFonts w:hint="eastAsia" w:ascii="宋体" w:hAnsi="宋体" w:eastAsia="宋体" w:cs="宋体"/>
          <w:color w:val="auto"/>
          <w:sz w:val="24"/>
          <w:szCs w:val="24"/>
          <w:highlight w:val="none"/>
        </w:rPr>
        <w:t>。项目已具备招标条件，现对该项目</w:t>
      </w:r>
      <w:r>
        <w:rPr>
          <w:rFonts w:hint="eastAsia" w:ascii="宋体" w:hAnsi="宋体" w:cs="宋体"/>
          <w:color w:val="auto"/>
          <w:sz w:val="24"/>
          <w:szCs w:val="24"/>
          <w:highlight w:val="none"/>
          <w:u w:val="single"/>
          <w:lang w:eastAsia="zh-CN"/>
        </w:rPr>
        <w:t>2025年盖州市农村公路维修改造工程超前实施项目一标段</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标段名称）的施工进行公开招标。</w:t>
      </w:r>
    </w:p>
    <w:p w14:paraId="7EA61305">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rPr>
      </w:pPr>
      <w:bookmarkStart w:id="22" w:name="_Toc20166"/>
      <w:bookmarkStart w:id="23" w:name="_Toc470760974"/>
      <w:bookmarkStart w:id="24" w:name="_Toc16754"/>
      <w:bookmarkStart w:id="25" w:name="_Toc13887"/>
      <w:bookmarkStart w:id="26" w:name="_Toc30370"/>
      <w:r>
        <w:rPr>
          <w:rFonts w:hint="default" w:ascii="黑体" w:hAnsi="黑体" w:eastAsia="黑体" w:cs="黑体"/>
          <w:color w:val="auto"/>
          <w:sz w:val="28"/>
          <w:szCs w:val="28"/>
          <w:highlight w:val="none"/>
        </w:rPr>
        <w:t>2.项目概况与招标范围</w:t>
      </w:r>
      <w:bookmarkEnd w:id="22"/>
      <w:bookmarkEnd w:id="23"/>
      <w:bookmarkEnd w:id="24"/>
      <w:bookmarkEnd w:id="25"/>
      <w:bookmarkEnd w:id="26"/>
    </w:p>
    <w:p w14:paraId="7D430EC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2025年盖州市农村公路维修改造工程超前实施项目</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该</w:t>
      </w:r>
      <w:r>
        <w:rPr>
          <w:rFonts w:hint="eastAsia" w:ascii="宋体" w:hAnsi="宋体" w:cs="宋体"/>
          <w:color w:val="auto"/>
          <w:sz w:val="24"/>
          <w:szCs w:val="24"/>
          <w:highlight w:val="none"/>
          <w:u w:val="single"/>
          <w:lang w:val="en-US" w:eastAsia="zh-CN"/>
        </w:rPr>
        <w:t>项</w:t>
      </w:r>
      <w:r>
        <w:rPr>
          <w:rFonts w:hint="eastAsia" w:ascii="宋体" w:hAnsi="宋体" w:eastAsia="宋体" w:cs="宋体"/>
          <w:color w:val="auto"/>
          <w:sz w:val="24"/>
          <w:szCs w:val="24"/>
          <w:highlight w:val="none"/>
          <w:u w:val="single"/>
        </w:rPr>
        <w:t>工程位于</w:t>
      </w:r>
      <w:r>
        <w:rPr>
          <w:rFonts w:hint="eastAsia" w:ascii="宋体" w:hAnsi="宋体" w:cs="宋体"/>
          <w:color w:val="auto"/>
          <w:sz w:val="24"/>
          <w:szCs w:val="24"/>
          <w:highlight w:val="none"/>
          <w:u w:val="single"/>
          <w:lang w:val="en-US" w:eastAsia="zh-CN"/>
        </w:rPr>
        <w:t>盖州</w:t>
      </w:r>
      <w:r>
        <w:rPr>
          <w:rFonts w:hint="eastAsia" w:ascii="宋体" w:hAnsi="宋体" w:eastAsia="宋体" w:cs="宋体"/>
          <w:color w:val="auto"/>
          <w:sz w:val="24"/>
          <w:szCs w:val="24"/>
          <w:highlight w:val="none"/>
          <w:u w:val="single"/>
        </w:rPr>
        <w:t>市境内，</w:t>
      </w:r>
      <w:r>
        <w:rPr>
          <w:rFonts w:hint="eastAsia" w:ascii="宋体" w:hAnsi="宋体" w:cs="宋体"/>
          <w:color w:val="auto"/>
          <w:sz w:val="24"/>
          <w:szCs w:val="24"/>
          <w:highlight w:val="none"/>
          <w:u w:val="single"/>
          <w:lang w:val="en-US" w:eastAsia="zh-CN"/>
        </w:rPr>
        <w:t>涉及8个乡镇，</w:t>
      </w:r>
      <w:r>
        <w:rPr>
          <w:rFonts w:hint="eastAsia" w:ascii="宋体" w:hAnsi="宋体" w:eastAsia="宋体" w:cs="宋体"/>
          <w:color w:val="auto"/>
          <w:sz w:val="24"/>
          <w:szCs w:val="24"/>
          <w:highlight w:val="none"/>
          <w:u w:val="single"/>
        </w:rPr>
        <w:t>包含农村公路维修改造工程</w:t>
      </w:r>
      <w:r>
        <w:rPr>
          <w:rFonts w:hint="eastAsia" w:ascii="宋体" w:hAnsi="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条路线</w:t>
      </w:r>
      <w:r>
        <w:rPr>
          <w:rFonts w:hint="eastAsia" w:ascii="宋体" w:hAnsi="宋体" w:cs="宋体"/>
          <w:color w:val="auto"/>
          <w:sz w:val="24"/>
          <w:szCs w:val="24"/>
          <w:highlight w:val="none"/>
          <w:u w:val="single"/>
          <w:lang w:val="en-US" w:eastAsia="zh-CN"/>
        </w:rPr>
        <w:t>67.164</w:t>
      </w:r>
      <w:r>
        <w:rPr>
          <w:rFonts w:hint="eastAsia" w:ascii="宋体" w:hAnsi="宋体" w:eastAsia="宋体" w:cs="宋体"/>
          <w:color w:val="auto"/>
          <w:sz w:val="24"/>
          <w:szCs w:val="24"/>
          <w:highlight w:val="none"/>
          <w:u w:val="single"/>
        </w:rPr>
        <w:t>公里</w:t>
      </w:r>
      <w:r>
        <w:rPr>
          <w:rFonts w:hint="eastAsia" w:ascii="宋体" w:hAnsi="宋体" w:cs="宋体"/>
          <w:color w:val="auto"/>
          <w:sz w:val="24"/>
          <w:szCs w:val="24"/>
          <w:highlight w:val="none"/>
          <w:u w:val="single"/>
          <w:lang w:val="en-US" w:eastAsia="zh-CN"/>
        </w:rPr>
        <w:t>。</w:t>
      </w:r>
    </w:p>
    <w:p w14:paraId="1840D84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本次招标项目的标段划分</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个标段。</w:t>
      </w:r>
    </w:p>
    <w:p w14:paraId="3FAA1E3D">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2.3招标范围</w:t>
      </w:r>
    </w:p>
    <w:p w14:paraId="482D80D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eastAsia="宋体" w:cs="Times New Roman"/>
          <w:color w:val="auto"/>
          <w:sz w:val="24"/>
          <w:highlight w:val="none"/>
          <w:u w:val="single"/>
          <w:lang w:val="en-US" w:eastAsia="zh-CN"/>
        </w:rPr>
      </w:pPr>
      <w:r>
        <w:rPr>
          <w:rFonts w:hint="eastAsia" w:ascii="宋体" w:hAnsi="宋体" w:cs="宋体"/>
          <w:color w:val="auto"/>
          <w:sz w:val="24"/>
          <w:szCs w:val="24"/>
          <w:highlight w:val="none"/>
          <w:u w:val="single"/>
          <w:lang w:val="en-US" w:eastAsia="zh-CN"/>
        </w:rPr>
        <w:t>2025年盖州市农村公路维修改造工程超前实施项目一标段，包含路线8条35.319公里</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具体工程内容以工程量清单及施工图纸为准</w:t>
      </w:r>
      <w:r>
        <w:rPr>
          <w:rFonts w:hint="eastAsia" w:cs="Times New Roman"/>
          <w:color w:val="auto"/>
          <w:sz w:val="24"/>
          <w:highlight w:val="none"/>
          <w:u w:val="single"/>
          <w:lang w:eastAsia="zh-CN"/>
        </w:rPr>
        <w:t>。</w:t>
      </w:r>
    </w:p>
    <w:p w14:paraId="41148C4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eastAsia" w:cs="Times New Roman"/>
          <w:color w:val="auto"/>
          <w:sz w:val="24"/>
          <w:highlight w:val="none"/>
          <w:u w:val="none"/>
          <w:lang w:val="en-US" w:eastAsia="zh-CN"/>
        </w:rPr>
      </w:pPr>
      <w:r>
        <w:rPr>
          <w:rFonts w:hint="eastAsia" w:cs="Times New Roman"/>
          <w:color w:val="auto"/>
          <w:sz w:val="24"/>
          <w:highlight w:val="none"/>
          <w:u w:val="none"/>
          <w:lang w:val="en-US" w:eastAsia="zh-CN"/>
        </w:rPr>
        <w:t>2.4计划工期</w:t>
      </w:r>
    </w:p>
    <w:p w14:paraId="487E43D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9"/>
        <w:rPr>
          <w:rFonts w:hint="default" w:ascii="Times New Roman" w:hAnsi="Times New Roman" w:cs="Times New Roman"/>
          <w:color w:val="auto"/>
          <w:sz w:val="24"/>
          <w:highlight w:val="none"/>
        </w:rPr>
      </w:pPr>
      <w:r>
        <w:rPr>
          <w:rFonts w:hint="eastAsia" w:ascii="宋体" w:hAnsi="宋体" w:eastAsia="宋体" w:cs="宋体"/>
          <w:color w:val="auto"/>
          <w:sz w:val="24"/>
          <w:szCs w:val="24"/>
          <w:highlight w:val="none"/>
          <w:u w:val="single"/>
        </w:rPr>
        <w:t>计划工期：</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日开工，</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single"/>
        </w:rPr>
        <w:t>日竣工，共计</w:t>
      </w:r>
      <w:r>
        <w:rPr>
          <w:rFonts w:hint="eastAsia" w:ascii="宋体" w:hAnsi="宋体" w:cs="宋体"/>
          <w:color w:val="auto"/>
          <w:sz w:val="24"/>
          <w:szCs w:val="24"/>
          <w:highlight w:val="none"/>
          <w:u w:val="single"/>
          <w:lang w:val="en-US" w:eastAsia="zh-CN"/>
        </w:rPr>
        <w:t>123</w:t>
      </w:r>
      <w:r>
        <w:rPr>
          <w:rFonts w:hint="eastAsia" w:ascii="宋体" w:hAnsi="宋体" w:eastAsia="宋体" w:cs="宋体"/>
          <w:color w:val="auto"/>
          <w:sz w:val="24"/>
          <w:szCs w:val="24"/>
          <w:highlight w:val="none"/>
          <w:u w:val="single"/>
        </w:rPr>
        <w:t>日历天（具体时间以签订合同为准）</w:t>
      </w:r>
      <w:r>
        <w:rPr>
          <w:rFonts w:hint="eastAsia" w:cs="Times New Roman"/>
          <w:color w:val="auto"/>
          <w:sz w:val="24"/>
          <w:highlight w:val="none"/>
          <w:u w:val="single"/>
          <w:lang w:eastAsia="zh-CN"/>
        </w:rPr>
        <w:t>。</w:t>
      </w:r>
    </w:p>
    <w:p w14:paraId="0E137AF0">
      <w:pPr>
        <w:pStyle w:val="5"/>
        <w:pageBreakBefore w:val="0"/>
        <w:widowControl w:val="0"/>
        <w:kinsoku/>
        <w:wordWrap w:val="0"/>
        <w:overflowPunct/>
        <w:topLinePunct w:val="0"/>
        <w:autoSpaceDE/>
        <w:autoSpaceDN/>
        <w:bidi w:val="0"/>
        <w:adjustRightInd/>
        <w:snapToGrid/>
        <w:spacing w:before="240" w:after="240" w:line="400" w:lineRule="exact"/>
        <w:jc w:val="both"/>
        <w:textAlignment w:val="auto"/>
        <w:outlineLvl w:val="2"/>
        <w:rPr>
          <w:rFonts w:hint="default" w:ascii="Times New Roman" w:hAnsi="Times New Roman" w:eastAsia="黑体" w:cs="Times New Roman"/>
          <w:color w:val="auto"/>
          <w:sz w:val="28"/>
          <w:szCs w:val="28"/>
          <w:highlight w:val="none"/>
        </w:rPr>
      </w:pPr>
      <w:bookmarkStart w:id="27" w:name="_Toc7392"/>
      <w:bookmarkStart w:id="28" w:name="_Toc9895"/>
      <w:bookmarkStart w:id="29" w:name="_Toc470760975"/>
      <w:bookmarkStart w:id="30" w:name="_Toc9236"/>
      <w:bookmarkStart w:id="31" w:name="_Toc1575"/>
      <w:r>
        <w:rPr>
          <w:rFonts w:hint="default" w:ascii="黑体" w:hAnsi="黑体" w:eastAsia="黑体" w:cs="黑体"/>
          <w:b w:val="0"/>
          <w:color w:val="auto"/>
          <w:kern w:val="2"/>
          <w:sz w:val="28"/>
          <w:szCs w:val="28"/>
          <w:highlight w:val="none"/>
          <w:lang w:val="en-US" w:eastAsia="zh-CN" w:bidi="ar-SA"/>
        </w:rPr>
        <w:t>3.投标人资格要求</w:t>
      </w:r>
      <w:bookmarkEnd w:id="27"/>
      <w:bookmarkEnd w:id="28"/>
      <w:bookmarkEnd w:id="29"/>
      <w:bookmarkEnd w:id="30"/>
      <w:bookmarkEnd w:id="31"/>
    </w:p>
    <w:p w14:paraId="6C61F269">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3.1本次招标要求投标人在人员、设备、资金等方面具有相应的施工能力，投标人须具备的资格条件如下：</w:t>
      </w:r>
    </w:p>
    <w:p w14:paraId="47F5F3A6">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1.1资质要求</w:t>
      </w:r>
    </w:p>
    <w:p w14:paraId="47BA22B7">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1、投标人必须具有国内独立法人资格及有效的企业法人营业执照。</w:t>
      </w:r>
    </w:p>
    <w:p w14:paraId="06A294BB">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2、投标人的资质应满足以下（1）或（2）项要求：</w:t>
      </w:r>
    </w:p>
    <w:p w14:paraId="2235FEB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1）具有交通运输主管部门颁发且有效的“公路养护工程施工二类（乙级）”及以上资质，且资质证书注明的业务范围能够承担二级及以下等级公路的路基、路面、沿线设施（不含监控、通讯、收费管理系统）等大修、中修养护工程；</w:t>
      </w:r>
    </w:p>
    <w:p w14:paraId="6E39EC8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（2）具有省级交通运输主管部门颁发且有效的“公路养护作业单位资质证书”且资质类别具有路基路面养护乙级及以上资质、交通安全设施养护资质。</w:t>
      </w:r>
    </w:p>
    <w:p w14:paraId="4F794D20">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val="en-US" w:eastAsia="zh-CN"/>
        </w:rPr>
      </w:pPr>
      <w:r>
        <w:rPr>
          <w:rFonts w:hint="eastAsia"/>
          <w:color w:val="auto"/>
          <w:sz w:val="24"/>
          <w:szCs w:val="24"/>
          <w:highlight w:val="none"/>
          <w:u w:val="none"/>
          <w:lang w:val="en-US" w:eastAsia="zh-CN"/>
        </w:rPr>
        <w:t>3、投标人必须具有建设行政主管部门颁发的有效安全生产许可证。</w:t>
      </w:r>
    </w:p>
    <w:p w14:paraId="023A620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1.2财务要求</w:t>
      </w:r>
    </w:p>
    <w:p w14:paraId="39B51911">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787DCEA6">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lang w:eastAsia="zh-CN"/>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p>
    <w:p w14:paraId="5F4C590C">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olor w:val="auto"/>
          <w:sz w:val="24"/>
          <w:szCs w:val="24"/>
          <w:highlight w:val="none"/>
          <w:u w:val="single"/>
        </w:rPr>
        <w:t>投标人202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年1月1日至投标文件递交截止时间（</w:t>
      </w:r>
      <w:r>
        <w:rPr>
          <w:rFonts w:hint="eastAsia" w:ascii="宋体" w:hAnsi="宋体" w:eastAsia="宋体" w:cs="宋体"/>
          <w:color w:val="auto"/>
          <w:sz w:val="24"/>
          <w:szCs w:val="24"/>
          <w:highlight w:val="none"/>
          <w:u w:val="single"/>
          <w:lang w:val="en-US" w:eastAsia="zh-CN"/>
        </w:rPr>
        <w:t>以竣工时间为准</w:t>
      </w:r>
      <w:r>
        <w:rPr>
          <w:rFonts w:hint="eastAsia"/>
          <w:color w:val="auto"/>
          <w:sz w:val="24"/>
          <w:szCs w:val="24"/>
          <w:highlight w:val="none"/>
          <w:u w:val="single"/>
        </w:rPr>
        <w:t>），完成过至少1项类似公路工程业绩。注：投标人应提供中标通知书、施工合同及竣工验收报告，三者缺一不可。</w:t>
      </w:r>
    </w:p>
    <w:p w14:paraId="2AEAFFD8">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olor w:val="auto"/>
          <w:sz w:val="24"/>
          <w:szCs w:val="24"/>
          <w:highlight w:val="none"/>
          <w:u w:val="single"/>
          <w:lang w:eastAsia="zh-CN"/>
        </w:rPr>
        <w:t>（</w:t>
      </w:r>
      <w:r>
        <w:rPr>
          <w:rFonts w:hint="eastAsia"/>
          <w:color w:val="auto"/>
          <w:sz w:val="24"/>
          <w:szCs w:val="24"/>
          <w:highlight w:val="none"/>
          <w:u w:val="single"/>
          <w:lang w:val="en-US" w:eastAsia="zh-CN"/>
        </w:rPr>
        <w:t>1</w:t>
      </w:r>
      <w:r>
        <w:rPr>
          <w:rFonts w:hint="eastAsia"/>
          <w:color w:val="auto"/>
          <w:sz w:val="24"/>
          <w:szCs w:val="24"/>
          <w:highlight w:val="none"/>
          <w:u w:val="single"/>
          <w:lang w:eastAsia="zh-CN"/>
        </w:rPr>
        <w:t>）</w:t>
      </w:r>
      <w:r>
        <w:rPr>
          <w:rFonts w:hint="eastAsia"/>
          <w:color w:val="auto"/>
          <w:sz w:val="24"/>
          <w:szCs w:val="24"/>
          <w:highlight w:val="none"/>
          <w:u w:val="single"/>
        </w:rPr>
        <w:t>已录入“辽宁省公共资源交易平台主体交易库”中的企业业绩，可以从主体库中选取后关联至投标文件中，作为企业业绩的证明材料。</w:t>
      </w:r>
    </w:p>
    <w:p w14:paraId="45DC2D2E">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olor w:val="auto"/>
          <w:sz w:val="24"/>
          <w:szCs w:val="24"/>
          <w:highlight w:val="none"/>
          <w:u w:val="single"/>
          <w:lang w:eastAsia="zh-CN"/>
        </w:rPr>
        <w:t>（</w:t>
      </w:r>
      <w:r>
        <w:rPr>
          <w:rFonts w:hint="eastAsia"/>
          <w:color w:val="auto"/>
          <w:sz w:val="24"/>
          <w:szCs w:val="24"/>
          <w:highlight w:val="none"/>
          <w:u w:val="single"/>
          <w:lang w:val="en-US" w:eastAsia="zh-CN"/>
        </w:rPr>
        <w:t>2</w:t>
      </w:r>
      <w:r>
        <w:rPr>
          <w:rFonts w:hint="eastAsia"/>
          <w:color w:val="auto"/>
          <w:sz w:val="24"/>
          <w:szCs w:val="24"/>
          <w:highlight w:val="none"/>
          <w:u w:val="single"/>
          <w:lang w:eastAsia="zh-CN"/>
        </w:rPr>
        <w:t>）</w:t>
      </w:r>
      <w:r>
        <w:rPr>
          <w:rFonts w:hint="eastAsia"/>
          <w:color w:val="auto"/>
          <w:sz w:val="24"/>
          <w:szCs w:val="24"/>
          <w:highlight w:val="none"/>
          <w:u w:val="single"/>
        </w:rPr>
        <w:t>未录入“辽宁省公共资源交易平台主体交易库”中的企业业绩，在投标文件第一个信封的“其他材料”中提供以下材料作为企业业绩证明材料：中标通知书、施工合同、竣工验收报告、中标结果公示网站截图；</w:t>
      </w:r>
    </w:p>
    <w:p w14:paraId="6066D848">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single"/>
        </w:rPr>
      </w:pPr>
      <w:r>
        <w:rPr>
          <w:rFonts w:hint="eastAsia"/>
          <w:color w:val="auto"/>
          <w:sz w:val="24"/>
          <w:szCs w:val="24"/>
          <w:highlight w:val="none"/>
          <w:u w:val="single"/>
          <w:lang w:eastAsia="zh-CN"/>
        </w:rPr>
        <w:t>（</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w:t>
      </w:r>
      <w:r>
        <w:rPr>
          <w:rFonts w:hint="eastAsia"/>
          <w:color w:val="auto"/>
          <w:sz w:val="24"/>
          <w:szCs w:val="24"/>
          <w:highlight w:val="none"/>
          <w:u w:val="single"/>
        </w:rPr>
        <w:t>如投标人法人机构发生变更或重组或法人名称变更时，应提供相关部门的合法批件。</w:t>
      </w:r>
    </w:p>
    <w:p w14:paraId="6A4D703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w:t>
      </w:r>
      <w:r>
        <w:rPr>
          <w:rFonts w:hint="eastAsia"/>
          <w:color w:val="auto"/>
          <w:sz w:val="24"/>
          <w:szCs w:val="24"/>
          <w:highlight w:val="none"/>
          <w:u w:val="none"/>
          <w:lang w:val="en-US" w:eastAsia="zh-CN"/>
        </w:rPr>
        <w:t>项目总工</w:t>
      </w:r>
      <w:r>
        <w:rPr>
          <w:rFonts w:hint="eastAsia"/>
          <w:color w:val="auto"/>
          <w:sz w:val="24"/>
          <w:szCs w:val="24"/>
          <w:highlight w:val="none"/>
          <w:u w:val="none"/>
        </w:rPr>
        <w:t>要求</w:t>
      </w:r>
    </w:p>
    <w:p w14:paraId="3219F404">
      <w:pPr>
        <w:pageBreakBefore w:val="0"/>
        <w:kinsoku/>
        <w:wordWrap w:val="0"/>
        <w:bidi w:val="0"/>
        <w:spacing w:line="400" w:lineRule="atLeas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（1）项目经理（1名）：具有公路工程专业二级及以上建造师证书以及交通运输主管部门颁发的有效期内的安全生产考核合格“B”类证书；具有公路工程类似工程项目经理任职业绩。</w:t>
      </w:r>
    </w:p>
    <w:p w14:paraId="19BF0EF0">
      <w:pPr>
        <w:pageBreakBefore w:val="0"/>
        <w:kinsoku/>
        <w:wordWrap w:val="0"/>
        <w:bidi w:val="0"/>
        <w:spacing w:line="400" w:lineRule="atLeas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（2）项目总工程师（1名）：具有公路工程相关专业中级及以上技术职称</w:t>
      </w:r>
      <w:r>
        <w:rPr>
          <w:rFonts w:hint="eastAsia" w:ascii="宋体" w:hAnsi="宋体" w:cs="宋体"/>
          <w:color w:val="auto"/>
          <w:sz w:val="24"/>
          <w:szCs w:val="24"/>
          <w:highlight w:val="none"/>
          <w:u w:val="single"/>
          <w:lang w:val="en-US" w:eastAsia="zh-CN"/>
        </w:rPr>
        <w:t>；具有公路工程类似工程管理业绩。</w:t>
      </w:r>
    </w:p>
    <w:p w14:paraId="452421EA">
      <w:pPr>
        <w:pageBreakBefore w:val="0"/>
        <w:kinsoku/>
        <w:wordWrap w:val="0"/>
        <w:bidi w:val="0"/>
        <w:spacing w:line="400" w:lineRule="atLeas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注：项目经理和项目总工程师均不得同时在两个及以上项目任职。相关业绩</w:t>
      </w:r>
      <w:r>
        <w:rPr>
          <w:rFonts w:hint="eastAsia" w:ascii="宋体" w:hAnsi="宋体" w:cs="宋体"/>
          <w:color w:val="auto"/>
          <w:sz w:val="24"/>
          <w:szCs w:val="24"/>
          <w:highlight w:val="none"/>
          <w:u w:val="single"/>
          <w:lang w:val="en-US" w:eastAsia="zh-CN"/>
        </w:rPr>
        <w:t>证明</w:t>
      </w:r>
      <w:r>
        <w:rPr>
          <w:rFonts w:hint="eastAsia" w:ascii="宋体" w:hAnsi="宋体" w:eastAsia="宋体" w:cs="宋体"/>
          <w:color w:val="auto"/>
          <w:sz w:val="24"/>
          <w:szCs w:val="24"/>
          <w:highlight w:val="none"/>
          <w:u w:val="single"/>
          <w:lang w:val="en-US" w:eastAsia="zh-CN"/>
        </w:rPr>
        <w:t>材料须体现人员姓名及职务，业绩证明材料包括但不限于中标通知书、施工合同及竣工验收报告；若前述材料未体现项目经理、项目总工姓名及任职情况，投标人须另行提供业主单位出具的任职证明</w:t>
      </w:r>
      <w:r>
        <w:rPr>
          <w:rFonts w:hint="eastAsia" w:ascii="宋体" w:hAnsi="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lang w:val="en-US" w:eastAsia="zh-CN"/>
        </w:rPr>
        <w:t>项目任命文件</w:t>
      </w:r>
      <w:r>
        <w:rPr>
          <w:rFonts w:hint="eastAsia" w:ascii="宋体" w:hAnsi="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lang w:val="en-US" w:eastAsia="zh-CN"/>
        </w:rPr>
        <w:t>施工许可文件</w:t>
      </w:r>
      <w:r>
        <w:rPr>
          <w:rFonts w:hint="eastAsia" w:ascii="宋体" w:hAnsi="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lang w:val="en-US" w:eastAsia="zh-CN"/>
        </w:rPr>
        <w:t>交通建设市场信用信息平台公示截图等有效佐证材料，佐证材料须加盖公章，信息真实可查，否则该项业绩不予认可。</w:t>
      </w:r>
    </w:p>
    <w:p w14:paraId="07739A95">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1.5信誉要求</w:t>
      </w:r>
    </w:p>
    <w:p w14:paraId="6C0B60FF">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（1）未被省级及以上交通运输主管部门取消招标项目所在地的投标资格且处于有效期内；</w:t>
      </w:r>
    </w:p>
    <w:p w14:paraId="32D782DB">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（2）未被责令停业，暂扣或吊销执照，或吊销资质证书；</w:t>
      </w:r>
    </w:p>
    <w:p w14:paraId="2C805819">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（3）未进入清算程序，或被宣告破产，或其他丧失履约能力的情形；</w:t>
      </w:r>
    </w:p>
    <w:p w14:paraId="6036A53B">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（4）在国家企业信用信息公示系统（http：//www.gsxt.gov.cn）中未被列入严重违法失信企业名单；</w:t>
      </w:r>
    </w:p>
    <w:p w14:paraId="31382698">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（5）在“信用中国”网站（http：//www.creditchina.gov.cn）中未被列入失信被执行人名单；</w:t>
      </w:r>
    </w:p>
    <w:p w14:paraId="0F0F2623">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（6）投标人或其法定代表人、拟委任的项目经理在近三年内没有行贿犯罪行为的；</w:t>
      </w:r>
    </w:p>
    <w:p w14:paraId="4D43FD6F">
      <w:pPr>
        <w:pStyle w:val="29"/>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（7）投标人在以往工程未因拖欠农民工工资、材料采购、工程分包款等，而受到省级有关部门的通报；</w:t>
      </w:r>
    </w:p>
    <w:p w14:paraId="5423928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（8）法律法规规定的其他情形。</w:t>
      </w:r>
    </w:p>
    <w:p w14:paraId="16987F2C">
      <w:pPr>
        <w:pageBreakBefore w:val="0"/>
        <w:kinsoku/>
        <w:wordWrap w:val="0"/>
        <w:bidi w:val="0"/>
        <w:spacing w:line="400" w:lineRule="atLeast"/>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3.1.6其他要求</w:t>
      </w:r>
    </w:p>
    <w:p w14:paraId="6EA2FA78">
      <w:pPr>
        <w:pageBreakBefore w:val="0"/>
        <w:numPr>
          <w:ilvl w:val="0"/>
          <w:numId w:val="0"/>
        </w:numPr>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cs="Times New Roman"/>
          <w:color w:val="auto"/>
          <w:sz w:val="24"/>
          <w:highlight w:val="none"/>
        </w:rPr>
        <w:t>根据《关于发布公路工程从业企业资质名录的通知》（厅公路字〔2011〕114号）要求，投标人如为名录范围的施工企业，则应进入交通运输部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全国公路建设市场监督管理系统（https://hwdms.mot.gov.cn/BMWebSite/）</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中的公路工程施工资质企业名录，且投标人名称和资质与该名录中的相应企业名称和资质完全一致。</w:t>
      </w:r>
    </w:p>
    <w:p w14:paraId="1D0B1AD0">
      <w:pPr>
        <w:pageBreakBefore w:val="0"/>
        <w:numPr>
          <w:ilvl w:val="0"/>
          <w:numId w:val="0"/>
        </w:numPr>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eastAsia" w:asciiTheme="minorHAnsi" w:hAnsiTheme="minorHAnsi" w:eastAsiaTheme="minorEastAsia" w:cstheme="minorBidi"/>
          <w:color w:val="auto"/>
          <w:kern w:val="2"/>
          <w:sz w:val="24"/>
          <w:szCs w:val="24"/>
          <w:highlight w:val="none"/>
          <w:u w:val="single"/>
          <w:lang w:val="en-US" w:eastAsia="zh-CN" w:bidi="ar-SA"/>
        </w:rPr>
        <w:t xml:space="preserve">      /     。</w:t>
      </w:r>
    </w:p>
    <w:p w14:paraId="55D3C5C3">
      <w:pPr>
        <w:pageBreakBefore w:val="0"/>
        <w:kinsoku/>
        <w:wordWrap w:val="0"/>
        <w:bidi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3.2本次招标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不接受</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（接受或不接受）联合体投标。</w:t>
      </w:r>
    </w:p>
    <w:p w14:paraId="4FA15807">
      <w:pPr>
        <w:pageBreakBefore w:val="0"/>
        <w:kinsoku/>
        <w:wordWrap w:val="0"/>
        <w:bidi w:val="0"/>
        <w:spacing w:line="400" w:lineRule="atLeast"/>
        <w:ind w:left="0" w:leftChars="0" w:firstLine="482" w:firstLineChars="200"/>
        <w:rPr>
          <w:rFonts w:hint="default" w:ascii="Times New Roman" w:hAnsi="Times New Roman" w:cs="Times New Roman"/>
          <w:b/>
          <w:bCs/>
          <w:color w:val="auto"/>
          <w:sz w:val="24"/>
          <w:highlight w:val="none"/>
        </w:rPr>
      </w:pPr>
      <w:r>
        <w:rPr>
          <w:rFonts w:hint="eastAsia" w:ascii="宋体" w:hAnsi="宋体" w:eastAsia="宋体" w:cs="宋体"/>
          <w:b/>
          <w:bCs/>
          <w:color w:val="auto"/>
          <w:sz w:val="24"/>
          <w:szCs w:val="24"/>
          <w:highlight w:val="none"/>
        </w:rPr>
        <w:t>3.3每个投标人允许</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参与</w:t>
      </w:r>
      <w:r>
        <w:rPr>
          <w:rFonts w:hint="eastAsia" w:ascii="宋体" w:hAnsi="宋体" w:cs="宋体"/>
          <w:b/>
          <w:bCs/>
          <w:color w:val="auto"/>
          <w:sz w:val="24"/>
          <w:szCs w:val="24"/>
          <w:highlight w:val="none"/>
          <w:u w:val="single"/>
          <w:lang w:val="en-US" w:eastAsia="zh-CN"/>
        </w:rPr>
        <w:t xml:space="preserve"> 2 </w:t>
      </w:r>
      <w:r>
        <w:rPr>
          <w:rFonts w:hint="eastAsia" w:ascii="宋体" w:hAnsi="宋体" w:eastAsia="宋体" w:cs="宋体"/>
          <w:b/>
          <w:bCs/>
          <w:color w:val="auto"/>
          <w:sz w:val="24"/>
          <w:szCs w:val="24"/>
          <w:highlight w:val="none"/>
        </w:rPr>
        <w:t>个标段，</w:t>
      </w:r>
      <w:r>
        <w:rPr>
          <w:rFonts w:hint="eastAsia" w:ascii="宋体" w:hAnsi="宋体" w:eastAsia="宋体" w:cs="宋体"/>
          <w:b/>
          <w:bCs/>
          <w:color w:val="auto"/>
          <w:sz w:val="24"/>
          <w:szCs w:val="24"/>
          <w:highlight w:val="none"/>
          <w:lang w:val="en-US" w:eastAsia="zh-CN"/>
        </w:rPr>
        <w:t>但</w:t>
      </w:r>
      <w:r>
        <w:rPr>
          <w:rFonts w:hint="eastAsia" w:ascii="宋体" w:hAnsi="宋体" w:eastAsia="宋体" w:cs="宋体"/>
          <w:b/>
          <w:bCs/>
          <w:color w:val="auto"/>
          <w:sz w:val="24"/>
          <w:szCs w:val="24"/>
          <w:highlight w:val="none"/>
        </w:rPr>
        <w:t>每个投标人最多允许中</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rPr>
        <w:t>其中</w:t>
      </w:r>
      <w:r>
        <w:rPr>
          <w:rFonts w:hint="eastAsia" w:ascii="宋体" w:hAnsi="宋体" w:cs="宋体"/>
          <w:b/>
          <w:bCs/>
          <w:color w:val="auto"/>
          <w:sz w:val="24"/>
          <w:szCs w:val="24"/>
          <w:highlight w:val="none"/>
          <w:u w:val="single"/>
          <w:lang w:val="en-US" w:eastAsia="zh-CN"/>
        </w:rPr>
        <w:t xml:space="preserve"> 1 </w:t>
      </w:r>
      <w:r>
        <w:rPr>
          <w:rFonts w:hint="eastAsia" w:ascii="宋体" w:hAnsi="宋体" w:eastAsia="宋体" w:cs="宋体"/>
          <w:b/>
          <w:bCs/>
          <w:color w:val="auto"/>
          <w:sz w:val="24"/>
          <w:szCs w:val="24"/>
          <w:highlight w:val="none"/>
        </w:rPr>
        <w:t>个标段</w:t>
      </w:r>
      <w:r>
        <w:rPr>
          <w:rFonts w:hint="default" w:ascii="Times New Roman" w:hAnsi="Times New Roman" w:cs="Times New Roman"/>
          <w:b/>
          <w:bCs/>
          <w:color w:val="auto"/>
          <w:sz w:val="24"/>
          <w:highlight w:val="none"/>
        </w:rPr>
        <w:t>。</w:t>
      </w:r>
    </w:p>
    <w:p w14:paraId="72A8CD49">
      <w:pPr>
        <w:pageBreakBefore w:val="0"/>
        <w:tabs>
          <w:tab w:val="left" w:pos="360"/>
        </w:tabs>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3.4与招标人存在利害关系可能影响招标公正性的单位，不得参加投标。单位负责人为同一人或存在控股、管理关系的不同单位，不得参加同</w:t>
      </w:r>
      <w:r>
        <w:rPr>
          <w:rFonts w:hint="eastAsia" w:cs="Times New Roman"/>
          <w:color w:val="auto"/>
          <w:sz w:val="24"/>
          <w:highlight w:val="none"/>
          <w:lang w:val="en-US" w:eastAsia="zh-CN"/>
        </w:rPr>
        <w:t>一</w:t>
      </w:r>
      <w:r>
        <w:rPr>
          <w:rFonts w:hint="eastAsia" w:cs="Times New Roman"/>
          <w:color w:val="auto"/>
          <w:sz w:val="24"/>
          <w:highlight w:val="none"/>
          <w:lang w:eastAsia="zh-CN"/>
        </w:rPr>
        <w:t>标段</w:t>
      </w:r>
      <w:r>
        <w:rPr>
          <w:rFonts w:hint="default" w:ascii="Times New Roman" w:hAnsi="Times New Roman" w:cs="Times New Roman"/>
          <w:color w:val="auto"/>
          <w:sz w:val="24"/>
          <w:highlight w:val="none"/>
        </w:rPr>
        <w:t>投标，否则，相关投标均无效。</w:t>
      </w:r>
    </w:p>
    <w:p w14:paraId="24461A92">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sz w:val="24"/>
          <w:highlight w:val="none"/>
        </w:rPr>
        <w:t>3.5</w:t>
      </w:r>
      <w:r>
        <w:rPr>
          <w:rFonts w:hint="default" w:ascii="Times New Roman" w:hAnsi="Times New Roman" w:cs="Times New Roman"/>
          <w:color w:val="auto"/>
          <w:kern w:val="28"/>
          <w:sz w:val="24"/>
          <w:highlight w:val="none"/>
        </w:rPr>
        <w:t>存在下列不良状况或不良信用记录的单位，不得以任何形式参加投标：</w:t>
      </w:r>
    </w:p>
    <w:p w14:paraId="78381EE5">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（1）被省级及以上交通运输主管部门取消招标项目所在地的投标资格且处于有效期内；</w:t>
      </w:r>
    </w:p>
    <w:p w14:paraId="295DEEA6">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（2）被责令停业，暂扣或吊销执照，或吊销资质证书；</w:t>
      </w:r>
    </w:p>
    <w:p w14:paraId="7526ADA6">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（3）进入清算程序，或被宣告破产，或其他丧失履约能力的情形；</w:t>
      </w:r>
    </w:p>
    <w:p w14:paraId="580B2EC5">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（4）在国家企业信用信息公示系统（http://www.gsxt.gov.cn）中被列入严重违法失信企业名单；</w:t>
      </w:r>
    </w:p>
    <w:p w14:paraId="2CFC7D30">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（5）在</w:t>
      </w:r>
      <w:r>
        <w:rPr>
          <w:rFonts w:hint="eastAsia" w:ascii="宋体" w:hAnsi="宋体" w:eastAsia="宋体" w:cs="宋体"/>
          <w:color w:val="auto"/>
          <w:kern w:val="28"/>
          <w:sz w:val="24"/>
          <w:highlight w:val="none"/>
        </w:rPr>
        <w:t>“</w:t>
      </w:r>
      <w:r>
        <w:rPr>
          <w:rFonts w:hint="default" w:ascii="Times New Roman" w:hAnsi="Times New Roman" w:cs="Times New Roman"/>
          <w:color w:val="auto"/>
          <w:kern w:val="28"/>
          <w:sz w:val="24"/>
          <w:highlight w:val="none"/>
        </w:rPr>
        <w:t>信用中国</w:t>
      </w:r>
      <w:r>
        <w:rPr>
          <w:rFonts w:hint="eastAsia" w:ascii="宋体" w:hAnsi="宋体" w:eastAsia="宋体" w:cs="宋体"/>
          <w:color w:val="auto"/>
          <w:kern w:val="28"/>
          <w:sz w:val="24"/>
          <w:highlight w:val="none"/>
        </w:rPr>
        <w:t>”</w:t>
      </w:r>
      <w:r>
        <w:rPr>
          <w:rFonts w:hint="default" w:ascii="Times New Roman" w:hAnsi="Times New Roman" w:cs="Times New Roman"/>
          <w:color w:val="auto"/>
          <w:kern w:val="28"/>
          <w:sz w:val="24"/>
          <w:highlight w:val="none"/>
        </w:rPr>
        <w:t>网站</w:t>
      </w:r>
      <w:r>
        <w:rPr>
          <w:rFonts w:hint="eastAsia" w:cs="Times New Roman"/>
          <w:color w:val="auto"/>
          <w:kern w:val="28"/>
          <w:sz w:val="24"/>
          <w:highlight w:val="none"/>
          <w:lang w:eastAsia="zh-CN"/>
        </w:rPr>
        <w:t>（</w:t>
      </w:r>
      <w:r>
        <w:rPr>
          <w:rFonts w:hint="default" w:ascii="Times New Roman" w:hAnsi="Times New Roman" w:cs="Times New Roman"/>
          <w:color w:val="auto"/>
          <w:kern w:val="28"/>
          <w:sz w:val="24"/>
          <w:highlight w:val="none"/>
        </w:rPr>
        <w:t>http://www.creditchina.gov.cn）（或中国执行信息公开网http://zxgk.court.gov.cn/shixin/）中被列入失信被执行人名单；</w:t>
      </w:r>
    </w:p>
    <w:p w14:paraId="6E8DD4C1">
      <w:pPr>
        <w:pageBreakBefore w:val="0"/>
        <w:kinsoku/>
        <w:wordWrap w:val="0"/>
        <w:overflowPunct/>
        <w:bidi w:val="0"/>
        <w:spacing w:line="440" w:lineRule="exact"/>
        <w:ind w:firstLine="480" w:firstLineChars="200"/>
        <w:rPr>
          <w:rFonts w:hint="default" w:ascii="Times New Roman" w:hAnsi="Times New Roman" w:cs="Times New Roman"/>
          <w:color w:val="auto"/>
          <w:kern w:val="28"/>
          <w:sz w:val="24"/>
          <w:highlight w:val="none"/>
        </w:rPr>
      </w:pPr>
      <w:r>
        <w:rPr>
          <w:rFonts w:hint="default" w:ascii="Times New Roman" w:hAnsi="Times New Roman" w:cs="Times New Roman"/>
          <w:color w:val="auto"/>
          <w:kern w:val="28"/>
          <w:sz w:val="24"/>
          <w:highlight w:val="none"/>
        </w:rPr>
        <w:t>（6）投标人或其法定代表人、拟委任的项目</w:t>
      </w:r>
      <w:r>
        <w:rPr>
          <w:rFonts w:hint="default" w:ascii="Times New Roman" w:hAnsi="Times New Roman" w:cs="Times New Roman"/>
          <w:color w:val="auto"/>
          <w:kern w:val="28"/>
          <w:sz w:val="24"/>
          <w:highlight w:val="none"/>
          <w:lang w:val="en-US" w:eastAsia="zh-CN"/>
        </w:rPr>
        <w:t>经理</w:t>
      </w:r>
      <w:r>
        <w:rPr>
          <w:rFonts w:hint="default" w:ascii="Times New Roman" w:hAnsi="Times New Roman" w:cs="Times New Roman"/>
          <w:color w:val="auto"/>
          <w:kern w:val="28"/>
          <w:sz w:val="24"/>
          <w:highlight w:val="none"/>
        </w:rPr>
        <w:t>在近三年内有行贿犯罪行为的；</w:t>
      </w:r>
    </w:p>
    <w:p w14:paraId="420A5C50">
      <w:pPr>
        <w:keepNext w:val="0"/>
        <w:keepLines w:val="0"/>
        <w:pageBreakBefore w:val="0"/>
        <w:widowControl w:val="0"/>
        <w:tabs>
          <w:tab w:val="left" w:pos="360"/>
        </w:tabs>
        <w:kinsoku/>
        <w:wordWrap w:val="0"/>
        <w:overflowPunct/>
        <w:topLinePunct w:val="0"/>
        <w:autoSpaceDE/>
        <w:autoSpaceDN/>
        <w:bidi w:val="0"/>
        <w:adjustRightInd/>
        <w:snapToGrid/>
        <w:spacing w:line="400" w:lineRule="atLeast"/>
        <w:ind w:firstLine="480" w:firstLineChars="200"/>
        <w:textAlignment w:val="auto"/>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kern w:val="28"/>
          <w:sz w:val="24"/>
          <w:highlight w:val="none"/>
        </w:rPr>
        <w:t>（7）法律法规规定的其他情形</w:t>
      </w:r>
      <w:r>
        <w:rPr>
          <w:rFonts w:hint="eastAsia" w:cs="Times New Roman"/>
          <w:color w:val="auto"/>
          <w:kern w:val="28"/>
          <w:sz w:val="24"/>
          <w:highlight w:val="none"/>
          <w:lang w:eastAsia="zh-CN"/>
        </w:rPr>
        <w:t>。</w:t>
      </w:r>
    </w:p>
    <w:p w14:paraId="40514D61">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rPr>
      </w:pPr>
      <w:bookmarkStart w:id="32" w:name="_Toc31545"/>
      <w:bookmarkStart w:id="33" w:name="_Toc3281"/>
      <w:bookmarkStart w:id="34" w:name="_Toc31217"/>
      <w:bookmarkStart w:id="35" w:name="_Toc470760976"/>
      <w:bookmarkStart w:id="36" w:name="_Toc20700"/>
      <w:r>
        <w:rPr>
          <w:rFonts w:hint="default" w:ascii="黑体" w:hAnsi="黑体" w:eastAsia="黑体" w:cs="黑体"/>
          <w:color w:val="auto"/>
          <w:sz w:val="28"/>
          <w:szCs w:val="28"/>
          <w:highlight w:val="none"/>
        </w:rPr>
        <w:t>4.招标文件的获取</w:t>
      </w:r>
      <w:bookmarkEnd w:id="32"/>
      <w:bookmarkEnd w:id="33"/>
      <w:bookmarkEnd w:id="34"/>
      <w:bookmarkEnd w:id="35"/>
      <w:bookmarkEnd w:id="36"/>
    </w:p>
    <w:p w14:paraId="5F4032A0">
      <w:pPr>
        <w:pageBreakBefore w:val="0"/>
        <w:tabs>
          <w:tab w:val="left" w:pos="360"/>
        </w:tabs>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4.1凡有意参加投标者，请在</w:t>
      </w:r>
      <w:r>
        <w:rPr>
          <w:rFonts w:hint="default" w:ascii="Times New Roman" w:hAnsi="Times New Roman" w:cs="Times New Roman"/>
          <w:color w:val="auto"/>
          <w:sz w:val="24"/>
          <w:szCs w:val="24"/>
          <w:highlight w:val="none"/>
          <w:u w:val="single"/>
        </w:rPr>
        <w:t>辽宁省公共资源交易</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u w:val="single"/>
        </w:rPr>
        <w:t>一张网</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u w:val="single"/>
        </w:rPr>
        <w:t>电子化平台</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，网址：</w:t>
      </w:r>
      <w:r>
        <w:rPr>
          <w:rFonts w:hint="default" w:ascii="Times New Roman" w:hAnsi="Times New Roman" w:cs="Times New Roman" w:eastAsiaTheme="minorEastAsia"/>
          <w:color w:val="auto"/>
          <w:sz w:val="24"/>
          <w:szCs w:val="24"/>
          <w:highlight w:val="none"/>
          <w:u w:val="single" w:color="auto"/>
          <w:lang w:val="en-US" w:eastAsia="zh-CN"/>
        </w:rPr>
        <w:t>https://www.lnsggzy.com/EpointSSO/login/oauth2login</w:t>
      </w:r>
      <w:r>
        <w:rPr>
          <w:rFonts w:hint="default" w:ascii="Times New Roman" w:hAnsi="Times New Roman" w:cs="Times New Roman"/>
          <w:color w:val="auto"/>
          <w:sz w:val="24"/>
          <w:highlight w:val="none"/>
        </w:rPr>
        <w:t>）进行注册，并</w:t>
      </w:r>
      <w:r>
        <w:rPr>
          <w:rFonts w:hint="eastAsia" w:cs="Times New Roman"/>
          <w:color w:val="auto"/>
          <w:sz w:val="24"/>
          <w:highlight w:val="none"/>
          <w:lang w:val="en-US" w:eastAsia="zh-CN"/>
        </w:rPr>
        <w:t>办理</w:t>
      </w:r>
      <w:r>
        <w:rPr>
          <w:rFonts w:hint="default" w:ascii="Times New Roman" w:hAnsi="Times New Roman" w:cs="Times New Roman"/>
          <w:color w:val="auto"/>
          <w:sz w:val="24"/>
          <w:highlight w:val="none"/>
        </w:rPr>
        <w:t>CA数字证书。</w:t>
      </w:r>
    </w:p>
    <w:p w14:paraId="2EC03204">
      <w:pPr>
        <w:pageBreakBefore w:val="0"/>
        <w:tabs>
          <w:tab w:val="left" w:pos="360"/>
        </w:tabs>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4.2完成注册后，请于</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eastAsia" w:cs="Times New Roman"/>
          <w:color w:val="auto"/>
          <w:sz w:val="24"/>
          <w:highlight w:val="none"/>
          <w:u w:val="single"/>
          <w:lang w:val="en-US" w:eastAsia="zh-CN"/>
        </w:rPr>
        <w:t>17</w:t>
      </w:r>
      <w:r>
        <w:rPr>
          <w:rFonts w:ascii="Times New Roman" w:hAnsi="Times New Roman" w:eastAsia="宋体" w:cs="Times New Roman"/>
          <w:color w:val="auto"/>
          <w:sz w:val="24"/>
          <w:highlight w:val="none"/>
        </w:rPr>
        <w:t>时</w:t>
      </w:r>
      <w:r>
        <w:rPr>
          <w:rFonts w:hint="eastAsia" w:cs="Times New Roman"/>
          <w:color w:val="auto"/>
          <w:sz w:val="24"/>
          <w:highlight w:val="none"/>
          <w:u w:val="single"/>
          <w:lang w:val="en-US" w:eastAsia="zh-CN"/>
        </w:rPr>
        <w:t>00</w:t>
      </w:r>
      <w:r>
        <w:rPr>
          <w:rFonts w:ascii="Times New Roman" w:hAnsi="Times New Roman" w:eastAsia="宋体" w:cs="Times New Roman"/>
          <w:color w:val="auto"/>
          <w:sz w:val="24"/>
          <w:highlight w:val="none"/>
        </w:rPr>
        <w:t>分</w:t>
      </w:r>
      <w:r>
        <w:rPr>
          <w:rFonts w:hint="default" w:ascii="Times New Roman" w:hAnsi="Times New Roman" w:cs="Times New Roman"/>
          <w:color w:val="auto"/>
          <w:sz w:val="24"/>
          <w:highlight w:val="none"/>
        </w:rPr>
        <w:t>至</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eastAsia" w:cs="Times New Roman"/>
          <w:color w:val="auto"/>
          <w:sz w:val="24"/>
          <w:highlight w:val="none"/>
          <w:u w:val="single"/>
          <w:lang w:val="en-US" w:eastAsia="zh-CN"/>
        </w:rPr>
        <w:t>17</w:t>
      </w:r>
      <w:r>
        <w:rPr>
          <w:rFonts w:ascii="Times New Roman" w:hAnsi="Times New Roman" w:eastAsia="宋体" w:cs="Times New Roman"/>
          <w:color w:val="auto"/>
          <w:sz w:val="24"/>
          <w:highlight w:val="none"/>
        </w:rPr>
        <w:t>时</w:t>
      </w:r>
      <w:r>
        <w:rPr>
          <w:rFonts w:hint="eastAsia" w:cs="Times New Roman"/>
          <w:color w:val="auto"/>
          <w:sz w:val="24"/>
          <w:highlight w:val="none"/>
          <w:u w:val="single"/>
          <w:lang w:val="en-US" w:eastAsia="zh-CN"/>
        </w:rPr>
        <w:t>00</w:t>
      </w:r>
      <w:r>
        <w:rPr>
          <w:rFonts w:ascii="Times New Roman" w:hAnsi="Times New Roman" w:eastAsia="宋体" w:cs="Times New Roman"/>
          <w:color w:val="auto"/>
          <w:sz w:val="24"/>
          <w:highlight w:val="none"/>
        </w:rPr>
        <w:t>分</w:t>
      </w:r>
      <w:r>
        <w:rPr>
          <w:rFonts w:hint="default" w:ascii="Times New Roman" w:hAnsi="Times New Roman" w:cs="Times New Roman"/>
          <w:color w:val="auto"/>
          <w:sz w:val="24"/>
          <w:highlight w:val="none"/>
        </w:rPr>
        <w:t>，通过互联网使用CA数字证书登录</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，明确所投标段，</w:t>
      </w:r>
      <w:r>
        <w:rPr>
          <w:rFonts w:hint="default" w:ascii="Times New Roman" w:hAnsi="Times New Roman" w:cs="Times New Roman"/>
          <w:color w:val="auto"/>
          <w:sz w:val="24"/>
          <w:highlight w:val="none"/>
          <w:lang w:val="en-US" w:eastAsia="zh-CN"/>
        </w:rPr>
        <w:t>匿名免费下载招标文件</w:t>
      </w:r>
      <w:r>
        <w:rPr>
          <w:rFonts w:hint="default" w:ascii="Times New Roman" w:hAnsi="Times New Roman" w:cs="Times New Roman"/>
          <w:color w:val="auto"/>
          <w:sz w:val="24"/>
          <w:highlight w:val="none"/>
        </w:rPr>
        <w:t>、图纸和参考资料。联合体投标的，由联合体牵头人完成招标文件等资料下载。</w:t>
      </w:r>
    </w:p>
    <w:p w14:paraId="3D39F6E9">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rPr>
      </w:pPr>
      <w:bookmarkStart w:id="37" w:name="_Toc470760977"/>
      <w:bookmarkStart w:id="38" w:name="_Toc26563"/>
      <w:bookmarkStart w:id="39" w:name="_Toc1300"/>
      <w:bookmarkStart w:id="40" w:name="_Toc22946"/>
      <w:bookmarkStart w:id="41" w:name="_Toc25648"/>
      <w:r>
        <w:rPr>
          <w:rFonts w:hint="default" w:ascii="黑体" w:hAnsi="黑体" w:eastAsia="黑体" w:cs="黑体"/>
          <w:color w:val="auto"/>
          <w:sz w:val="28"/>
          <w:szCs w:val="28"/>
          <w:highlight w:val="none"/>
        </w:rPr>
        <w:t>5.投标文件的递交及相关事宜</w:t>
      </w:r>
      <w:bookmarkEnd w:id="37"/>
      <w:bookmarkEnd w:id="38"/>
      <w:bookmarkEnd w:id="39"/>
      <w:bookmarkEnd w:id="40"/>
      <w:bookmarkEnd w:id="41"/>
    </w:p>
    <w:p w14:paraId="5E7B56C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cs="Times New Roman"/>
          <w:color w:val="auto"/>
          <w:sz w:val="24"/>
          <w:highlight w:val="none"/>
        </w:rPr>
        <w:t>5.1招标人将</w:t>
      </w:r>
      <w:r>
        <w:rPr>
          <w:rFonts w:hint="eastAsia" w:cs="Times New Roman"/>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不组织进行工程现场踏勘和召开投标预备会。</w:t>
      </w:r>
    </w:p>
    <w:p w14:paraId="5A1BFC0D">
      <w:pPr>
        <w:keepNext w:val="0"/>
        <w:keepLines w:val="0"/>
        <w:pageBreakBefore w:val="0"/>
        <w:widowControl w:val="0"/>
        <w:kinsoku/>
        <w:wordWrap/>
        <w:overflowPunct/>
        <w:topLinePunct w:val="0"/>
        <w:autoSpaceDE/>
        <w:autoSpaceDN/>
        <w:bidi w:val="0"/>
        <w:adjustRightInd/>
        <w:snapToGrid/>
        <w:spacing w:line="360" w:lineRule="auto"/>
        <w:ind w:right="0" w:rightChars="0" w:firstLine="1920" w:firstLineChars="800"/>
        <w:textAlignment w:val="auto"/>
        <w:rPr>
          <w:rFonts w:hint="default" w:ascii="Times New Roman" w:hAnsi="Times New Roman" w:eastAsia="宋体" w:cs="Times New Roman"/>
          <w:b w:val="0"/>
          <w:bCs w:val="0"/>
          <w:color w:val="auto"/>
          <w:sz w:val="24"/>
          <w:szCs w:val="24"/>
          <w:highlight w:val="none"/>
        </w:rPr>
      </w:pPr>
      <w:sdt>
        <w:sdtPr>
          <w:rPr>
            <w:rFonts w:hint="default" w:ascii="Times New Roman" w:hAnsi="Times New Roman" w:eastAsia="宋体" w:cs="Times New Roman"/>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default" w:ascii="Times New Roman" w:hAnsi="Times New Roman" w:eastAsia="宋体" w:cs="Times New Roman"/>
            <w:b w:val="0"/>
            <w:bCs w:val="0"/>
            <w:color w:val="auto"/>
            <w:sz w:val="24"/>
            <w:szCs w:val="24"/>
            <w:highlight w:val="none"/>
            <w:shd w:val="clear" w:color="auto" w:fill="FFFFFF"/>
          </w:rPr>
        </w:sdtEndPr>
        <w:sdtContent>
          <w:r>
            <w:rPr>
              <w:rFonts w:hint="default" w:ascii="Times New Roman" w:hAnsi="Times New Roman" w:eastAsia="MS Gothic" w:cs="Times New Roman"/>
              <w:b w:val="0"/>
              <w:bCs w:val="0"/>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b w:val="0"/>
          <w:bCs w:val="0"/>
          <w:color w:val="auto"/>
          <w:sz w:val="24"/>
          <w:szCs w:val="24"/>
          <w:highlight w:val="none"/>
        </w:rPr>
        <w:t>组织进行工程现场踏勘和召开投标预备会，时间地点：</w:t>
      </w:r>
    </w:p>
    <w:p w14:paraId="5147195F">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5.2投标文件应为加密的投标文件。投标文件递交的截止时间（投标截止时间，下同）为</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年</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时</w:t>
      </w:r>
      <w:r>
        <w:rPr>
          <w:rFonts w:hint="eastAsia"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分</w:t>
      </w:r>
      <w:r>
        <w:rPr>
          <w:color w:val="auto"/>
          <w:sz w:val="24"/>
          <w:highlight w:val="none"/>
        </w:rPr>
        <w:t>（北京时间，下同）</w:t>
      </w:r>
      <w:r>
        <w:rPr>
          <w:rFonts w:hint="default" w:ascii="Times New Roman" w:hAnsi="Times New Roman" w:cs="Times New Roman"/>
          <w:color w:val="auto"/>
          <w:sz w:val="24"/>
          <w:highlight w:val="none"/>
        </w:rPr>
        <w:t>，投标人应在投标截止时间前，通过互联网使用CA数字证书登录</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，将加密的投标文件上传。逾期未完成上传或未按规定加密的投标文件，招标人予以拒收。联合体投标的，由联合体牵头人完成</w:t>
      </w:r>
      <w:r>
        <w:rPr>
          <w:rFonts w:hint="eastAsia" w:cs="Times New Roman"/>
          <w:color w:val="auto"/>
          <w:sz w:val="24"/>
          <w:highlight w:val="none"/>
          <w:lang w:val="en-US" w:eastAsia="zh-CN"/>
        </w:rPr>
        <w:t>投标文件的上传等工作</w:t>
      </w:r>
      <w:r>
        <w:rPr>
          <w:rFonts w:hint="default" w:ascii="Times New Roman" w:hAnsi="Times New Roman" w:cs="Times New Roman"/>
          <w:color w:val="auto"/>
          <w:sz w:val="24"/>
          <w:highlight w:val="none"/>
        </w:rPr>
        <w:t>。</w:t>
      </w:r>
    </w:p>
    <w:p w14:paraId="13948D39">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lang w:val="en-US" w:eastAsia="zh-CN"/>
        </w:rPr>
      </w:pPr>
      <w:bookmarkStart w:id="42" w:name="_Toc22018"/>
      <w:bookmarkStart w:id="43" w:name="_Toc4681"/>
      <w:bookmarkStart w:id="44" w:name="_Toc18524"/>
      <w:bookmarkStart w:id="45" w:name="_Toc6994_WPSOffice_Level2"/>
      <w:bookmarkStart w:id="46" w:name="_Toc31627"/>
      <w:bookmarkStart w:id="47" w:name="_Toc29510"/>
      <w:bookmarkStart w:id="48" w:name="_Toc15086"/>
      <w:bookmarkStart w:id="49" w:name="_Toc234832850"/>
      <w:r>
        <w:rPr>
          <w:rFonts w:hint="default" w:ascii="黑体" w:hAnsi="黑体" w:eastAsia="黑体" w:cs="黑体"/>
          <w:color w:val="auto"/>
          <w:sz w:val="28"/>
          <w:szCs w:val="28"/>
          <w:highlight w:val="none"/>
          <w:lang w:val="en-US" w:eastAsia="zh-CN"/>
        </w:rPr>
        <w:t>6.评标办法</w:t>
      </w:r>
      <w:bookmarkEnd w:id="42"/>
      <w:bookmarkEnd w:id="43"/>
      <w:bookmarkEnd w:id="44"/>
      <w:bookmarkEnd w:id="45"/>
      <w:bookmarkEnd w:id="46"/>
      <w:bookmarkEnd w:id="47"/>
      <w:bookmarkEnd w:id="48"/>
    </w:p>
    <w:p w14:paraId="65B31F46">
      <w:pPr>
        <w:pageBreakBefore w:val="0"/>
        <w:shd w:val="clear"/>
        <w:kinsoku/>
        <w:wordWrap w:val="0"/>
        <w:overflowPunct w:val="0"/>
        <w:autoSpaceDE/>
        <w:autoSpaceDN/>
        <w:bidi w:val="0"/>
        <w:adjustRightInd/>
        <w:snapToGrid/>
        <w:spacing w:line="360" w:lineRule="auto"/>
        <w:ind w:firstLine="472" w:firstLineChars="200"/>
        <w:jc w:val="both"/>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2"/>
          <w:sz w:val="24"/>
          <w:szCs w:val="24"/>
          <w:highlight w:val="none"/>
        </w:rPr>
        <w:t>本项目评标办法采用</w:t>
      </w:r>
      <w:r>
        <w:rPr>
          <w:rFonts w:hint="eastAsia" w:ascii="宋体" w:hAnsi="宋体" w:eastAsia="宋体" w:cs="宋体"/>
          <w:color w:val="auto"/>
          <w:spacing w:val="-2"/>
          <w:sz w:val="24"/>
          <w:szCs w:val="24"/>
          <w:highlight w:val="none"/>
          <w:u w:val="single"/>
          <w:lang w:val="en-US" w:eastAsia="zh-CN"/>
        </w:rPr>
        <w:t>合理低价法</w:t>
      </w:r>
      <w:r>
        <w:rPr>
          <w:rFonts w:hint="default" w:ascii="Times New Roman" w:hAnsi="Times New Roman" w:cs="Times New Roman" w:eastAsiaTheme="minorEastAsia"/>
          <w:color w:val="auto"/>
          <w:spacing w:val="-2"/>
          <w:sz w:val="24"/>
          <w:szCs w:val="24"/>
          <w:highlight w:val="none"/>
          <w:u w:val="none"/>
          <w:lang w:eastAsia="zh-CN"/>
        </w:rPr>
        <w:t>（</w:t>
      </w:r>
      <w:r>
        <w:rPr>
          <w:rFonts w:hint="default" w:ascii="Times New Roman" w:hAnsi="Times New Roman" w:cs="Times New Roman" w:eastAsiaTheme="minorEastAsia"/>
          <w:color w:val="auto"/>
          <w:spacing w:val="-2"/>
          <w:sz w:val="24"/>
          <w:szCs w:val="24"/>
          <w:highlight w:val="none"/>
          <w:u w:val="none"/>
          <w:lang w:val="en-US" w:eastAsia="zh-CN"/>
        </w:rPr>
        <w:t>评标办法</w:t>
      </w:r>
      <w:r>
        <w:rPr>
          <w:rFonts w:hint="default" w:ascii="Times New Roman" w:hAnsi="Times New Roman" w:cs="Times New Roman" w:eastAsiaTheme="minorEastAsia"/>
          <w:color w:val="auto"/>
          <w:spacing w:val="-2"/>
          <w:sz w:val="24"/>
          <w:szCs w:val="24"/>
          <w:highlight w:val="none"/>
          <w:u w:val="none"/>
          <w:lang w:eastAsia="zh-CN"/>
        </w:rPr>
        <w:t>）</w:t>
      </w:r>
      <w:r>
        <w:rPr>
          <w:rFonts w:hint="default" w:ascii="Times New Roman" w:hAnsi="Times New Roman" w:eastAsia="宋体" w:cs="Times New Roman"/>
          <w:color w:val="auto"/>
          <w:spacing w:val="-2"/>
          <w:sz w:val="24"/>
          <w:szCs w:val="24"/>
          <w:highlight w:val="none"/>
        </w:rPr>
        <w:t>，评标标准和方法详见</w:t>
      </w:r>
      <w:r>
        <w:rPr>
          <w:rFonts w:hint="eastAsia" w:ascii="宋体" w:hAnsi="宋体" w:cs="宋体"/>
          <w:color w:val="auto"/>
          <w:spacing w:val="-2"/>
          <w:sz w:val="24"/>
          <w:szCs w:val="24"/>
          <w:highlight w:val="none"/>
          <w:u w:val="single"/>
          <w:lang w:val="en-US" w:eastAsia="zh-CN"/>
        </w:rPr>
        <w:t>招标文件</w:t>
      </w:r>
      <w:r>
        <w:rPr>
          <w:rFonts w:hint="default" w:ascii="Times New Roman" w:hAnsi="Times New Roman" w:eastAsia="宋体" w:cs="Times New Roman"/>
          <w:color w:val="auto"/>
          <w:spacing w:val="-6"/>
          <w:sz w:val="24"/>
          <w:szCs w:val="24"/>
          <w:highlight w:val="none"/>
        </w:rPr>
        <w:t>。</w:t>
      </w:r>
    </w:p>
    <w:p w14:paraId="04ACFA2F">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rPr>
      </w:pPr>
      <w:bookmarkStart w:id="50" w:name="_Toc20659"/>
      <w:bookmarkStart w:id="51" w:name="_Toc26836"/>
      <w:bookmarkStart w:id="52" w:name="_Toc1626"/>
      <w:bookmarkStart w:id="53" w:name="_Toc26310"/>
      <w:bookmarkStart w:id="54" w:name="_Toc4689"/>
      <w:r>
        <w:rPr>
          <w:rFonts w:hint="default" w:ascii="黑体" w:hAnsi="黑体" w:eastAsia="黑体" w:cs="黑体"/>
          <w:color w:val="auto"/>
          <w:sz w:val="28"/>
          <w:szCs w:val="28"/>
          <w:highlight w:val="none"/>
          <w:lang w:val="en-US" w:eastAsia="zh-CN"/>
        </w:rPr>
        <w:t>7</w:t>
      </w:r>
      <w:r>
        <w:rPr>
          <w:rFonts w:hint="default" w:ascii="黑体" w:hAnsi="黑体" w:eastAsia="黑体" w:cs="黑体"/>
          <w:color w:val="auto"/>
          <w:sz w:val="28"/>
          <w:szCs w:val="28"/>
          <w:highlight w:val="none"/>
        </w:rPr>
        <w:t>.发布公告的媒介</w:t>
      </w:r>
      <w:bookmarkEnd w:id="49"/>
      <w:bookmarkEnd w:id="50"/>
      <w:bookmarkEnd w:id="51"/>
      <w:bookmarkEnd w:id="52"/>
      <w:bookmarkEnd w:id="53"/>
      <w:bookmarkEnd w:id="54"/>
    </w:p>
    <w:p w14:paraId="7FE7F033">
      <w:pPr>
        <w:pStyle w:val="16"/>
        <w:pageBreakBefore w:val="0"/>
        <w:kinsoku/>
        <w:wordWrap w:val="0"/>
        <w:topLinePunct/>
        <w:bidi w:val="0"/>
        <w:spacing w:line="400" w:lineRule="atLeast"/>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 w:val="24"/>
          <w:szCs w:val="24"/>
          <w:highlight w:val="none"/>
        </w:rPr>
        <w:t>本次招标公告同时在</w:t>
      </w:r>
      <w:r>
        <w:rPr>
          <w:rFonts w:hint="eastAsia" w:ascii="Times New Roman" w:cs="Times New Roman"/>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辽宁省公共资源交易一张网电子化平台</w:t>
      </w:r>
      <w:r>
        <w:rPr>
          <w:rFonts w:hint="eastAsia"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辽宁省招标投标监管网</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全国公共资源交易平台（辽宁·</w:t>
      </w:r>
      <w:r>
        <w:rPr>
          <w:rFonts w:hint="eastAsia" w:ascii="宋体" w:hAnsi="宋体" w:eastAsia="宋体" w:cs="宋体"/>
          <w:color w:val="auto"/>
          <w:sz w:val="24"/>
          <w:szCs w:val="24"/>
          <w:highlight w:val="none"/>
          <w:u w:val="single"/>
          <w:lang w:val="en-US" w:eastAsia="zh-CN"/>
        </w:rPr>
        <w:t>营口</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rPr>
        <w:t>（发布公告的媒介名称）上发布</w:t>
      </w:r>
      <w:r>
        <w:rPr>
          <w:rFonts w:hint="default" w:ascii="Times New Roman" w:hAnsi="Times New Roman" w:cs="Times New Roman"/>
          <w:color w:val="auto"/>
          <w:szCs w:val="24"/>
          <w:highlight w:val="none"/>
        </w:rPr>
        <w:t>。</w:t>
      </w:r>
    </w:p>
    <w:p w14:paraId="329A18AA">
      <w:pPr>
        <w:keepNext w:val="0"/>
        <w:keepLines w:val="0"/>
        <w:pageBreakBefore w:val="0"/>
        <w:widowControl w:val="0"/>
        <w:kinsoku/>
        <w:wordWrap/>
        <w:overflowPunct/>
        <w:topLinePunct w:val="0"/>
        <w:autoSpaceDE/>
        <w:autoSpaceDN/>
        <w:bidi w:val="0"/>
        <w:adjustRightInd/>
        <w:snapToGrid/>
        <w:spacing w:before="240" w:after="240" w:line="400" w:lineRule="exact"/>
        <w:textAlignment w:val="auto"/>
        <w:outlineLvl w:val="2"/>
        <w:rPr>
          <w:rFonts w:hint="default" w:ascii="黑体" w:hAnsi="黑体" w:eastAsia="黑体" w:cs="黑体"/>
          <w:color w:val="auto"/>
          <w:sz w:val="28"/>
          <w:szCs w:val="28"/>
          <w:highlight w:val="none"/>
        </w:rPr>
      </w:pPr>
      <w:bookmarkStart w:id="55" w:name="_Toc31367"/>
      <w:bookmarkStart w:id="56" w:name="_Toc11549"/>
      <w:bookmarkStart w:id="57" w:name="_Toc470760979"/>
      <w:bookmarkStart w:id="58" w:name="_Toc11952"/>
      <w:bookmarkStart w:id="59" w:name="_Toc26506"/>
      <w:r>
        <w:rPr>
          <w:rFonts w:hint="eastAsia" w:ascii="黑体" w:hAnsi="黑体" w:eastAsia="黑体" w:cs="黑体"/>
          <w:color w:val="auto"/>
          <w:sz w:val="28"/>
          <w:szCs w:val="28"/>
          <w:highlight w:val="none"/>
          <w:lang w:val="en-US" w:eastAsia="zh-CN"/>
        </w:rPr>
        <w:t>8</w:t>
      </w:r>
      <w:r>
        <w:rPr>
          <w:rFonts w:hint="default" w:ascii="黑体" w:hAnsi="黑体" w:eastAsia="黑体" w:cs="黑体"/>
          <w:color w:val="auto"/>
          <w:sz w:val="28"/>
          <w:szCs w:val="28"/>
          <w:highlight w:val="none"/>
        </w:rPr>
        <w:t>.联系方式</w:t>
      </w:r>
      <w:bookmarkEnd w:id="55"/>
      <w:bookmarkEnd w:id="56"/>
      <w:bookmarkEnd w:id="57"/>
      <w:bookmarkEnd w:id="58"/>
      <w:bookmarkEnd w:id="59"/>
    </w:p>
    <w:p w14:paraId="1DFC844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监督部门：</w:t>
      </w:r>
      <w:r>
        <w:rPr>
          <w:rFonts w:hint="eastAsia" w:cs="Times New Roman"/>
          <w:color w:val="auto"/>
          <w:sz w:val="24"/>
          <w:szCs w:val="24"/>
          <w:highlight w:val="none"/>
          <w:u w:val="single"/>
          <w:lang w:eastAsia="zh-CN"/>
        </w:rPr>
        <w:t>盖州市交通运输局</w:t>
      </w:r>
    </w:p>
    <w:p w14:paraId="04A507F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盖州市清河大街政府2号楼</w:t>
      </w:r>
    </w:p>
    <w:p w14:paraId="5BDAE552">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邮编：</w:t>
      </w:r>
      <w:r>
        <w:rPr>
          <w:rFonts w:hint="eastAsia" w:eastAsia="黑体" w:cs="Times New Roman"/>
          <w:color w:val="auto"/>
          <w:sz w:val="24"/>
          <w:szCs w:val="24"/>
          <w:highlight w:val="none"/>
          <w:u w:val="single"/>
          <w:lang w:val="en-US" w:eastAsia="zh-CN"/>
        </w:rPr>
        <w:t xml:space="preserve"> 115200 </w:t>
      </w:r>
    </w:p>
    <w:p w14:paraId="64D6D4A9">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联系人：</w:t>
      </w:r>
      <w:r>
        <w:rPr>
          <w:rFonts w:hint="eastAsia" w:cs="Times New Roman"/>
          <w:color w:val="auto"/>
          <w:sz w:val="24"/>
          <w:szCs w:val="24"/>
          <w:highlight w:val="none"/>
          <w:u w:val="single"/>
          <w:lang w:val="en-US" w:eastAsia="zh-CN"/>
        </w:rPr>
        <w:t xml:space="preserve"> 任文宇 </w:t>
      </w:r>
    </w:p>
    <w:p w14:paraId="188CA0FC">
      <w:pPr>
        <w:keepNext w:val="0"/>
        <w:keepLines w:val="0"/>
        <w:pageBreakBefore w:val="0"/>
        <w:widowControl w:val="0"/>
        <w:tabs>
          <w:tab w:val="left" w:pos="7403"/>
        </w:tabs>
        <w:kinsoku/>
        <w:wordWrap w:val="0"/>
        <w:overflowPunct/>
        <w:topLinePunct/>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r>
        <w:rPr>
          <w:rFonts w:hint="default" w:ascii="Times New Roman" w:hAnsi="Times New Roman" w:cs="Times New Roman"/>
          <w:color w:val="auto"/>
          <w:sz w:val="24"/>
          <w:szCs w:val="24"/>
          <w:highlight w:val="none"/>
        </w:rPr>
        <w:t>电话：</w:t>
      </w:r>
      <w:r>
        <w:rPr>
          <w:rFonts w:hint="eastAsia" w:cs="Times New Roman"/>
          <w:color w:val="auto"/>
          <w:sz w:val="24"/>
          <w:szCs w:val="24"/>
          <w:highlight w:val="none"/>
          <w:u w:val="single"/>
          <w:lang w:val="en-US" w:eastAsia="zh-CN"/>
        </w:rPr>
        <w:t xml:space="preserve"> 0417-7812343</w:t>
      </w:r>
    </w:p>
    <w:p w14:paraId="428CF65C">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0516534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eastAsia="黑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电子邮件：</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2F6A881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eastAsia="黑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网址：</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3D170D1F">
      <w:pPr>
        <w:pageBreakBefore w:val="0"/>
        <w:kinsoku/>
        <w:wordWrap w:val="0"/>
        <w:topLinePunct/>
        <w:bidi w:val="0"/>
        <w:spacing w:line="400" w:lineRule="exact"/>
        <w:ind w:firstLine="480" w:firstLineChars="200"/>
        <w:rPr>
          <w:rFonts w:hint="default" w:ascii="Times New Roman" w:hAnsi="Times New Roman" w:cs="Times New Roman"/>
          <w:color w:val="auto"/>
          <w:sz w:val="24"/>
          <w:szCs w:val="24"/>
          <w:highlight w:val="none"/>
        </w:rPr>
      </w:pPr>
    </w:p>
    <w:p w14:paraId="79F2FA8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招标人：</w:t>
      </w:r>
      <w:r>
        <w:rPr>
          <w:rFonts w:hint="eastAsia" w:ascii="Times New Roman" w:hAnsi="Times New Roman" w:cs="Times New Roman"/>
          <w:color w:val="auto"/>
          <w:sz w:val="24"/>
          <w:szCs w:val="24"/>
          <w:highlight w:val="none"/>
          <w:u w:val="single"/>
          <w:lang w:val="en-US" w:eastAsia="zh-CN"/>
        </w:rPr>
        <w:t>盖州市交通运输服务中心</w:t>
      </w:r>
    </w:p>
    <w:p w14:paraId="423A482A">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地址：</w:t>
      </w:r>
      <w:r>
        <w:rPr>
          <w:rFonts w:hint="eastAsia" w:ascii="Times New Roman" w:hAnsi="Times New Roman" w:cs="Times New Roman"/>
          <w:color w:val="auto"/>
          <w:sz w:val="24"/>
          <w:szCs w:val="24"/>
          <w:highlight w:val="none"/>
          <w:u w:val="single"/>
          <w:lang w:val="en-US" w:eastAsia="zh-CN"/>
        </w:rPr>
        <w:t>盖州市盖州路108号</w:t>
      </w:r>
    </w:p>
    <w:p w14:paraId="4AAD7692">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邮编：</w:t>
      </w:r>
      <w:r>
        <w:rPr>
          <w:rFonts w:hint="eastAsia" w:ascii="Times New Roman" w:hAnsi="Times New Roman" w:cs="Times New Roman"/>
          <w:color w:val="auto"/>
          <w:sz w:val="24"/>
          <w:szCs w:val="24"/>
          <w:highlight w:val="none"/>
          <w:u w:val="single"/>
          <w:lang w:val="en-US" w:eastAsia="zh-CN"/>
        </w:rPr>
        <w:t xml:space="preserve"> 115200 </w:t>
      </w:r>
    </w:p>
    <w:p w14:paraId="1ED84D0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联系人：</w:t>
      </w:r>
      <w:r>
        <w:rPr>
          <w:rFonts w:hint="eastAsia" w:cs="Times New Roman"/>
          <w:color w:val="auto"/>
          <w:sz w:val="24"/>
          <w:szCs w:val="24"/>
          <w:highlight w:val="none"/>
          <w:u w:val="single"/>
          <w:lang w:val="en-US" w:eastAsia="zh-CN"/>
        </w:rPr>
        <w:t xml:space="preserve"> 万恒举 </w:t>
      </w:r>
    </w:p>
    <w:p w14:paraId="25DA680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电话：</w:t>
      </w:r>
      <w:bookmarkStart w:id="60" w:name="_Toc369531496"/>
      <w:bookmarkStart w:id="61" w:name="_Toc3520"/>
      <w:bookmarkStart w:id="62" w:name="_Toc300834928"/>
      <w:bookmarkStart w:id="63" w:name="_Toc247527534"/>
      <w:bookmarkStart w:id="64" w:name="_Toc384308186"/>
      <w:bookmarkStart w:id="65" w:name="_Toc247513933"/>
      <w:bookmarkStart w:id="66" w:name="_Toc352691454"/>
      <w:bookmarkStart w:id="67" w:name="_Toc361508561"/>
      <w:r>
        <w:rPr>
          <w:rFonts w:hint="eastAsia" w:ascii="Times New Roman" w:hAnsi="Times New Roman" w:cs="Times New Roman"/>
          <w:color w:val="auto"/>
          <w:sz w:val="24"/>
          <w:szCs w:val="24"/>
          <w:highlight w:val="none"/>
          <w:u w:val="single"/>
          <w:lang w:val="en-US" w:eastAsia="zh-CN"/>
        </w:rPr>
        <w:t xml:space="preserve"> 0417</w:t>
      </w:r>
      <w:bookmarkEnd w:id="60"/>
      <w:bookmarkEnd w:id="61"/>
      <w:bookmarkEnd w:id="62"/>
      <w:bookmarkEnd w:id="63"/>
      <w:bookmarkEnd w:id="64"/>
      <w:bookmarkEnd w:id="65"/>
      <w:bookmarkEnd w:id="66"/>
      <w:bookmarkEnd w:id="67"/>
      <w:r>
        <w:rPr>
          <w:rFonts w:hint="eastAsia" w:ascii="Times New Roman" w:hAnsi="Times New Roman" w:cs="Times New Roman"/>
          <w:color w:val="auto"/>
          <w:sz w:val="24"/>
          <w:szCs w:val="24"/>
          <w:highlight w:val="none"/>
          <w:u w:val="single"/>
          <w:lang w:val="en-US" w:eastAsia="zh-CN"/>
        </w:rPr>
        <w:t>-</w:t>
      </w:r>
      <w:r>
        <w:rPr>
          <w:rFonts w:hint="eastAsia" w:cs="Times New Roman"/>
          <w:color w:val="auto"/>
          <w:sz w:val="24"/>
          <w:szCs w:val="24"/>
          <w:highlight w:val="none"/>
          <w:u w:val="single"/>
          <w:lang w:val="en-US" w:eastAsia="zh-CN"/>
        </w:rPr>
        <w:t>7690866</w:t>
      </w:r>
    </w:p>
    <w:p w14:paraId="51DD115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0257F46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Times New Roman" w:hAnsi="Times New Roman" w:eastAsia="黑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电子邮件：</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74B1682D">
      <w:pPr>
        <w:pageBreakBefore w:val="0"/>
        <w:kinsoku/>
        <w:wordWrap w:val="0"/>
        <w:topLinePunct/>
        <w:bidi w:val="0"/>
        <w:spacing w:line="400" w:lineRule="exact"/>
        <w:ind w:firstLine="480" w:firstLineChars="200"/>
        <w:rPr>
          <w:rFonts w:hint="eastAsia" w:eastAsia="黑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网址：</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01FD3776">
      <w:pPr>
        <w:pageBreakBefore w:val="0"/>
        <w:kinsoku/>
        <w:wordWrap w:val="0"/>
        <w:topLinePunct/>
        <w:bidi w:val="0"/>
        <w:spacing w:line="400" w:lineRule="exact"/>
        <w:ind w:firstLine="480" w:firstLineChars="200"/>
        <w:rPr>
          <w:rFonts w:hint="default" w:eastAsia="黑体" w:cs="Times New Roman"/>
          <w:color w:val="auto"/>
          <w:sz w:val="24"/>
          <w:szCs w:val="24"/>
          <w:highlight w:val="none"/>
          <w:u w:val="single"/>
          <w:lang w:val="en-US" w:eastAsia="zh-CN"/>
        </w:rPr>
      </w:pPr>
    </w:p>
    <w:p w14:paraId="2BF5738F">
      <w:pPr>
        <w:pageBreakBefore w:val="0"/>
        <w:kinsoku/>
        <w:wordWrap w:val="0"/>
        <w:topLinePunct/>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招标代理机构</w:t>
      </w:r>
      <w:r>
        <w:rPr>
          <w:rFonts w:hint="default" w:ascii="Times New Roman" w:hAnsi="Times New Roman" w:cs="Times New Roman"/>
          <w:color w:val="auto"/>
          <w:sz w:val="24"/>
          <w:szCs w:val="24"/>
          <w:highlight w:val="none"/>
        </w:rPr>
        <w:t>：</w:t>
      </w:r>
      <w:r>
        <w:rPr>
          <w:rFonts w:hint="eastAsia" w:ascii="宋体" w:hAnsi="宋体" w:cs="宋体"/>
          <w:color w:val="auto"/>
          <w:sz w:val="24"/>
          <w:szCs w:val="24"/>
          <w:highlight w:val="none"/>
          <w:u w:val="single"/>
          <w:lang w:val="en-US" w:eastAsia="zh-CN"/>
        </w:rPr>
        <w:t>辽宁君阳招标代理有限公司</w:t>
      </w:r>
    </w:p>
    <w:p w14:paraId="74524F37">
      <w:pPr>
        <w:pageBreakBefore w:val="0"/>
        <w:kinsoku/>
        <w:wordWrap w:val="0"/>
        <w:topLinePunct/>
        <w:bidi w:val="0"/>
        <w:spacing w:line="400" w:lineRule="exact"/>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地址：</w:t>
      </w:r>
      <w:r>
        <w:rPr>
          <w:rFonts w:hint="eastAsia" w:cs="Times New Roman"/>
          <w:color w:val="auto"/>
          <w:sz w:val="24"/>
          <w:szCs w:val="24"/>
          <w:highlight w:val="none"/>
          <w:u w:val="single"/>
          <w:lang w:val="en-US" w:eastAsia="zh-CN"/>
        </w:rPr>
        <w:t>沈阳市铁西区兴华北街18甲号千缘财富商汇A座15层1509室</w:t>
      </w:r>
    </w:p>
    <w:p w14:paraId="37B43B1C">
      <w:pPr>
        <w:pageBreakBefore w:val="0"/>
        <w:kinsoku/>
        <w:wordWrap w:val="0"/>
        <w:topLinePunct/>
        <w:bidi w:val="0"/>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邮编：</w:t>
      </w:r>
      <w:r>
        <w:rPr>
          <w:rFonts w:hint="eastAsia" w:cs="Times New Roman"/>
          <w:color w:val="auto"/>
          <w:sz w:val="24"/>
          <w:szCs w:val="24"/>
          <w:highlight w:val="none"/>
          <w:u w:val="single"/>
          <w:lang w:val="en-US" w:eastAsia="zh-CN"/>
        </w:rPr>
        <w:t xml:space="preserve">    110023 </w:t>
      </w:r>
      <w:r>
        <w:rPr>
          <w:rFonts w:hint="eastAsia" w:ascii="Times New Roman" w:hAnsi="Times New Roman" w:cs="Times New Roman"/>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13E60AF1">
      <w:pPr>
        <w:pageBreakBefore w:val="0"/>
        <w:kinsoku/>
        <w:wordWrap w:val="0"/>
        <w:topLinePunct/>
        <w:bidi w:val="0"/>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联系人：</w:t>
      </w:r>
      <w:r>
        <w:rPr>
          <w:rFonts w:hint="eastAsia" w:cs="Times New Roman"/>
          <w:color w:val="auto"/>
          <w:sz w:val="24"/>
          <w:szCs w:val="24"/>
          <w:highlight w:val="none"/>
          <w:u w:val="single"/>
          <w:lang w:val="en-US" w:eastAsia="zh-CN"/>
        </w:rPr>
        <w:t xml:space="preserve"> 曲育涵</w:t>
      </w:r>
      <w:r>
        <w:rPr>
          <w:rFonts w:hint="eastAsia" w:ascii="宋体" w:hAnsi="宋体" w:cs="宋体"/>
          <w:color w:val="auto"/>
          <w:sz w:val="24"/>
          <w:szCs w:val="24"/>
          <w:highlight w:val="none"/>
          <w:u w:val="single"/>
          <w:lang w:val="en-US" w:eastAsia="zh-CN"/>
        </w:rPr>
        <w:t xml:space="preserve">         </w:t>
      </w:r>
    </w:p>
    <w:p w14:paraId="089A7DC4">
      <w:pPr>
        <w:pageBreakBefore w:val="0"/>
        <w:kinsoku/>
        <w:wordWrap w:val="0"/>
        <w:topLinePunct/>
        <w:bidi w:val="0"/>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电话：</w:t>
      </w:r>
      <w:r>
        <w:rPr>
          <w:rFonts w:hint="eastAsia" w:cs="Times New Roman"/>
          <w:color w:val="auto"/>
          <w:sz w:val="24"/>
          <w:szCs w:val="24"/>
          <w:highlight w:val="none"/>
          <w:u w:val="single"/>
          <w:lang w:val="en-US" w:eastAsia="zh-CN"/>
        </w:rPr>
        <w:t xml:space="preserve">   024-22812381</w:t>
      </w:r>
      <w:r>
        <w:rPr>
          <w:rFonts w:hint="eastAsia" w:ascii="Times New Roman" w:hAnsi="Times New Roman" w:cs="Times New Roman"/>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B45DF53">
      <w:pPr>
        <w:pageBreakBefore w:val="0"/>
        <w:kinsoku/>
        <w:wordWrap w:val="0"/>
        <w:topLinePunct/>
        <w:bidi w:val="0"/>
        <w:spacing w:line="400" w:lineRule="exact"/>
        <w:ind w:firstLine="480" w:firstLineChars="200"/>
        <w:rPr>
          <w:rFonts w:hint="default" w:ascii="Times New Roman" w:hAnsi="Times New Roman" w:eastAsia="黑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w:t>
      </w:r>
      <w:r>
        <w:rPr>
          <w:rFonts w:hint="eastAsia" w:eastAsia="黑体" w:cs="Times New Roman"/>
          <w:color w:val="auto"/>
          <w:sz w:val="24"/>
          <w:szCs w:val="24"/>
          <w:highlight w:val="none"/>
          <w:u w:val="single"/>
          <w:lang w:val="en-US" w:eastAsia="zh-CN"/>
        </w:rPr>
        <w:t xml:space="preserve">/              </w:t>
      </w:r>
    </w:p>
    <w:p w14:paraId="7527DC57">
      <w:pPr>
        <w:pageBreakBefore w:val="0"/>
        <w:kinsoku/>
        <w:wordWrap w:val="0"/>
        <w:topLinePunct/>
        <w:bidi w:val="0"/>
        <w:spacing w:line="400" w:lineRule="exact"/>
        <w:ind w:firstLine="480" w:firstLineChars="2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电子邮件：</w:t>
      </w:r>
      <w:r>
        <w:rPr>
          <w:rFonts w:hint="eastAsia" w:cs="Times New Roman"/>
          <w:color w:val="auto"/>
          <w:sz w:val="24"/>
          <w:szCs w:val="24"/>
          <w:highlight w:val="none"/>
          <w:u w:val="single"/>
          <w:lang w:eastAsia="zh-CN"/>
        </w:rPr>
        <w:t>lnjunyangsy@126.com</w:t>
      </w:r>
    </w:p>
    <w:p w14:paraId="0FDCFD1A">
      <w:pPr>
        <w:pageBreakBefore w:val="0"/>
        <w:kinsoku/>
        <w:wordWrap w:val="0"/>
        <w:topLinePunct/>
        <w:bidi w:val="0"/>
        <w:spacing w:line="400" w:lineRule="atLeast"/>
        <w:ind w:firstLine="480" w:firstLineChars="200"/>
        <w:rPr>
          <w:rFonts w:hint="default" w:ascii="Times New Roman" w:hAnsi="Times New Roman" w:eastAsia="黑体" w:cs="Times New Roman"/>
          <w:color w:val="auto"/>
          <w:sz w:val="24"/>
          <w:highlight w:val="none"/>
          <w:lang w:val="en-US" w:eastAsia="zh-CN"/>
        </w:rPr>
      </w:pPr>
      <w:r>
        <w:rPr>
          <w:rFonts w:hint="default" w:ascii="Times New Roman" w:hAnsi="Times New Roman" w:cs="Times New Roman"/>
          <w:color w:val="auto"/>
          <w:sz w:val="24"/>
          <w:szCs w:val="24"/>
          <w:highlight w:val="none"/>
        </w:rPr>
        <w:t>网址：</w:t>
      </w:r>
      <w:r>
        <w:rPr>
          <w:rFonts w:hint="eastAsia" w:eastAsia="黑体" w:cs="Times New Roman"/>
          <w:color w:val="auto"/>
          <w:sz w:val="24"/>
          <w:szCs w:val="24"/>
          <w:highlight w:val="none"/>
          <w:u w:val="single"/>
          <w:lang w:val="en-US" w:eastAsia="zh-CN"/>
        </w:rPr>
        <w:t xml:space="preserve">         /          </w:t>
      </w:r>
    </w:p>
    <w:p w14:paraId="0D104629">
      <w:pPr>
        <w:pageBreakBefore w:val="0"/>
        <w:widowControl/>
        <w:kinsoku/>
        <w:wordWrap w:val="0"/>
        <w:bidi w:val="0"/>
        <w:ind w:firstLine="960" w:firstLineChars="4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6CF4ACCC">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t>　　</w:t>
      </w:r>
      <w:r>
        <w:rPr>
          <w:rFonts w:hint="eastAsia" w:cs="Times New Roman"/>
          <w:color w:val="auto"/>
          <w:sz w:val="24"/>
          <w:highlight w:val="none"/>
          <w:u w:val="single"/>
          <w:lang w:val="en-US" w:eastAsia="zh-CN"/>
        </w:rPr>
        <w:t>2026</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8FFDF8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5CC5B88F">
      <w:pP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29"/>
          <w:szCs w:val="29"/>
          <w:highlight w:val="none"/>
        </w:rPr>
        <w:br w:type="page"/>
      </w:r>
    </w:p>
    <w:p w14:paraId="50A1E67F">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4DCBFEB9">
      <w:pPr>
        <w:pageBreakBefore w:val="0"/>
        <w:kinsoku/>
        <w:wordWrap w:val="0"/>
        <w:topLinePunct/>
        <w:bidi w:val="0"/>
        <w:spacing w:line="440" w:lineRule="exact"/>
        <w:ind w:right="31" w:rightChars="15"/>
        <w:rPr>
          <w:rFonts w:hint="default" w:ascii="Times New Roman" w:hAnsi="Times New Roman" w:eastAsia="黑体" w:cs="Times New Roman"/>
          <w:color w:val="auto"/>
          <w:sz w:val="29"/>
          <w:szCs w:val="29"/>
          <w:highlight w:val="none"/>
        </w:rPr>
      </w:pPr>
    </w:p>
    <w:p w14:paraId="559286E4">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38AEB800">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16D841E8">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27CAB46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6D48F07C">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29"/>
          <w:szCs w:val="29"/>
          <w:highlight w:val="none"/>
        </w:rPr>
      </w:pPr>
    </w:p>
    <w:p w14:paraId="1CA6845E">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4502DBDE">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53293682">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56"/>
          <w:szCs w:val="56"/>
          <w:highlight w:val="none"/>
        </w:rPr>
      </w:pPr>
      <w:bookmarkStart w:id="68" w:name="_Toc31908"/>
      <w:bookmarkStart w:id="69" w:name="_Toc11201"/>
      <w:r>
        <w:rPr>
          <w:rFonts w:hint="default" w:ascii="Times New Roman" w:hAnsi="Times New Roman" w:eastAsia="黑体" w:cs="Times New Roman"/>
          <w:color w:val="auto"/>
          <w:sz w:val="56"/>
          <w:szCs w:val="56"/>
          <w:highlight w:val="none"/>
        </w:rPr>
        <w:t>第二章</w:t>
      </w:r>
      <w:r>
        <w:rPr>
          <w:rFonts w:hint="eastAsia" w:ascii="Times New Roman" w:hAnsi="Times New Roman"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投标人须知</w:t>
      </w:r>
      <w:bookmarkEnd w:id="68"/>
      <w:bookmarkEnd w:id="69"/>
    </w:p>
    <w:p w14:paraId="48702411">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pPr>
    </w:p>
    <w:p w14:paraId="48837A9A">
      <w:pPr>
        <w:pageBreakBefore w:val="0"/>
        <w:kinsoku/>
        <w:wordWrap w:val="0"/>
        <w:topLinePunct/>
        <w:bidi w:val="0"/>
        <w:spacing w:line="240" w:lineRule="atLeast"/>
        <w:ind w:right="31" w:rightChars="15"/>
        <w:jc w:val="center"/>
        <w:rPr>
          <w:rFonts w:hint="default" w:ascii="Times New Roman" w:hAnsi="Times New Roman" w:eastAsia="黑体" w:cs="Times New Roman"/>
          <w:color w:val="auto"/>
          <w:sz w:val="56"/>
          <w:szCs w:val="56"/>
          <w:highlight w:val="none"/>
        </w:rPr>
        <w:sectPr>
          <w:headerReference r:id="rId15" w:type="default"/>
          <w:footerReference r:id="rId17" w:type="default"/>
          <w:headerReference r:id="rId16" w:type="even"/>
          <w:footerReference r:id="rId18"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65E9556B">
      <w:pPr>
        <w:pageBreakBefore w:val="0"/>
        <w:kinsoku/>
        <w:wordWrap w:val="0"/>
        <w:bidi w:val="0"/>
        <w:spacing w:line="440" w:lineRule="exact"/>
        <w:jc w:val="center"/>
        <w:outlineLvl w:val="9"/>
        <w:rPr>
          <w:rStyle w:val="54"/>
          <w:rFonts w:hint="default" w:ascii="Times New Roman" w:hAnsi="Times New Roman" w:eastAsia="黑体" w:cs="Times New Roman"/>
          <w:color w:val="auto"/>
          <w:sz w:val="42"/>
          <w:szCs w:val="42"/>
          <w:highlight w:val="none"/>
        </w:rPr>
      </w:pPr>
      <w:bookmarkStart w:id="70" w:name="_Toc234832861"/>
      <w:bookmarkStart w:id="71" w:name="_Toc9806"/>
      <w:bookmarkStart w:id="72" w:name="_Toc10289"/>
      <w:bookmarkStart w:id="73" w:name="_Toc15806"/>
      <w:bookmarkStart w:id="74" w:name="_Toc22430"/>
      <w:r>
        <w:rPr>
          <w:rStyle w:val="54"/>
          <w:rFonts w:hint="default" w:ascii="Times New Roman" w:hAnsi="Times New Roman" w:eastAsia="黑体" w:cs="Times New Roman"/>
          <w:color w:val="auto"/>
          <w:sz w:val="42"/>
          <w:szCs w:val="42"/>
          <w:highlight w:val="none"/>
        </w:rPr>
        <w:t>第二章</w:t>
      </w:r>
      <w:r>
        <w:rPr>
          <w:rStyle w:val="54"/>
          <w:rFonts w:hint="eastAsia" w:eastAsia="黑体" w:cs="Times New Roman"/>
          <w:color w:val="auto"/>
          <w:sz w:val="42"/>
          <w:szCs w:val="42"/>
          <w:highlight w:val="none"/>
          <w:lang w:val="en-US"/>
        </w:rPr>
        <w:t xml:space="preserve"> </w:t>
      </w:r>
      <w:r>
        <w:rPr>
          <w:rStyle w:val="54"/>
          <w:rFonts w:hint="default" w:ascii="Times New Roman" w:hAnsi="Times New Roman" w:eastAsia="黑体" w:cs="Times New Roman"/>
          <w:color w:val="auto"/>
          <w:sz w:val="42"/>
          <w:szCs w:val="42"/>
          <w:highlight w:val="none"/>
        </w:rPr>
        <w:t>投标人须知</w:t>
      </w:r>
      <w:bookmarkEnd w:id="70"/>
      <w:bookmarkEnd w:id="71"/>
      <w:bookmarkEnd w:id="72"/>
    </w:p>
    <w:bookmarkEnd w:id="73"/>
    <w:bookmarkEnd w:id="74"/>
    <w:p w14:paraId="047A5BB3">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eastAsia" w:ascii="黑体" w:hAnsi="黑体" w:eastAsia="黑体" w:cs="黑体"/>
          <w:b w:val="0"/>
          <w:bCs/>
          <w:i w:val="0"/>
          <w:iCs w:val="0"/>
          <w:color w:val="auto"/>
          <w:sz w:val="28"/>
          <w:szCs w:val="28"/>
          <w:highlight w:val="none"/>
        </w:rPr>
      </w:pPr>
      <w:bookmarkStart w:id="75" w:name="_Toc4367"/>
      <w:bookmarkStart w:id="76" w:name="_Toc234832862"/>
      <w:bookmarkStart w:id="77" w:name="_Toc20369"/>
      <w:bookmarkStart w:id="78" w:name="_Toc29020"/>
      <w:bookmarkStart w:id="79" w:name="_Toc29274"/>
      <w:r>
        <w:rPr>
          <w:rFonts w:hint="eastAsia" w:ascii="黑体" w:hAnsi="黑体" w:eastAsia="黑体" w:cs="黑体"/>
          <w:b w:val="0"/>
          <w:bCs/>
          <w:i w:val="0"/>
          <w:iCs w:val="0"/>
          <w:color w:val="auto"/>
          <w:sz w:val="28"/>
          <w:szCs w:val="28"/>
          <w:highlight w:val="none"/>
        </w:rPr>
        <w:t>投标人须知前附表</w:t>
      </w:r>
      <w:r>
        <w:rPr>
          <w:rStyle w:val="48"/>
          <w:rFonts w:hint="eastAsia" w:ascii="黑体" w:hAnsi="黑体" w:eastAsia="黑体" w:cs="黑体"/>
          <w:b w:val="0"/>
          <w:bCs/>
          <w:i w:val="0"/>
          <w:iCs w:val="0"/>
          <w:color w:val="auto"/>
          <w:sz w:val="28"/>
          <w:szCs w:val="28"/>
          <w:highlight w:val="none"/>
        </w:rPr>
        <w:footnoteReference w:id="0"/>
      </w:r>
      <w:bookmarkEnd w:id="75"/>
      <w:bookmarkEnd w:id="76"/>
      <w:bookmarkEnd w:id="77"/>
      <w:bookmarkEnd w:id="78"/>
      <w:bookmarkEnd w:id="79"/>
    </w:p>
    <w:tbl>
      <w:tblPr>
        <w:tblStyle w:val="40"/>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779"/>
        <w:gridCol w:w="5401"/>
      </w:tblGrid>
      <w:tr w14:paraId="552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36" w:type="dxa"/>
            <w:noWrap w:val="0"/>
            <w:vAlign w:val="center"/>
          </w:tcPr>
          <w:p w14:paraId="1D557085">
            <w:pPr>
              <w:pageBreakBefore w:val="0"/>
              <w:kinsoku/>
              <w:wordWrap w:val="0"/>
              <w:bidi w:val="0"/>
              <w:spacing w:line="4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2779" w:type="dxa"/>
            <w:noWrap w:val="0"/>
            <w:vAlign w:val="center"/>
          </w:tcPr>
          <w:p w14:paraId="09766A1E">
            <w:pPr>
              <w:pageBreakBefore w:val="0"/>
              <w:kinsoku/>
              <w:wordWrap w:val="0"/>
              <w:bidi w:val="0"/>
              <w:spacing w:line="4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条款名称</w:t>
            </w:r>
          </w:p>
        </w:tc>
        <w:tc>
          <w:tcPr>
            <w:tcW w:w="5401" w:type="dxa"/>
            <w:noWrap w:val="0"/>
            <w:vAlign w:val="center"/>
          </w:tcPr>
          <w:p w14:paraId="53A7FA39">
            <w:pPr>
              <w:pageBreakBefore w:val="0"/>
              <w:kinsoku/>
              <w:wordWrap w:val="0"/>
              <w:bidi w:val="0"/>
              <w:spacing w:line="4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编列内容</w:t>
            </w:r>
          </w:p>
        </w:tc>
      </w:tr>
      <w:tr w14:paraId="4E89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D98685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1.1.2</w:t>
            </w:r>
          </w:p>
        </w:tc>
        <w:tc>
          <w:tcPr>
            <w:tcW w:w="2779" w:type="dxa"/>
            <w:noWrap w:val="0"/>
            <w:vAlign w:val="center"/>
          </w:tcPr>
          <w:p w14:paraId="6885C6C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招标人</w:t>
            </w:r>
          </w:p>
        </w:tc>
        <w:tc>
          <w:tcPr>
            <w:tcW w:w="5401" w:type="dxa"/>
            <w:noWrap w:val="0"/>
            <w:vAlign w:val="center"/>
          </w:tcPr>
          <w:p w14:paraId="5844E869">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B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656F685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1.1.3</w:t>
            </w:r>
          </w:p>
        </w:tc>
        <w:tc>
          <w:tcPr>
            <w:tcW w:w="2779" w:type="dxa"/>
            <w:noWrap w:val="0"/>
            <w:vAlign w:val="center"/>
          </w:tcPr>
          <w:p w14:paraId="3C5A1D0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招标代理机构</w:t>
            </w:r>
          </w:p>
        </w:tc>
        <w:tc>
          <w:tcPr>
            <w:tcW w:w="5401" w:type="dxa"/>
            <w:noWrap w:val="0"/>
            <w:vAlign w:val="center"/>
          </w:tcPr>
          <w:p w14:paraId="5A8E4169">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CA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420FA89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1.1.4</w:t>
            </w:r>
          </w:p>
        </w:tc>
        <w:tc>
          <w:tcPr>
            <w:tcW w:w="2779" w:type="dxa"/>
            <w:noWrap w:val="0"/>
            <w:vAlign w:val="center"/>
          </w:tcPr>
          <w:p w14:paraId="00DED3C6">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招标项目名称</w:t>
            </w:r>
          </w:p>
        </w:tc>
        <w:tc>
          <w:tcPr>
            <w:tcW w:w="5401" w:type="dxa"/>
            <w:noWrap w:val="0"/>
            <w:vAlign w:val="center"/>
          </w:tcPr>
          <w:p w14:paraId="2135690F">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7C9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291477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1.1.5</w:t>
            </w:r>
          </w:p>
        </w:tc>
        <w:tc>
          <w:tcPr>
            <w:tcW w:w="2779" w:type="dxa"/>
            <w:noWrap w:val="0"/>
            <w:vAlign w:val="center"/>
          </w:tcPr>
          <w:p w14:paraId="15A1C83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标段建设地点</w:t>
            </w:r>
          </w:p>
        </w:tc>
        <w:tc>
          <w:tcPr>
            <w:tcW w:w="5401" w:type="dxa"/>
            <w:noWrap w:val="0"/>
            <w:vAlign w:val="center"/>
          </w:tcPr>
          <w:p w14:paraId="7B2A82C5">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4862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66B626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1.2.1</w:t>
            </w:r>
          </w:p>
        </w:tc>
        <w:tc>
          <w:tcPr>
            <w:tcW w:w="2779" w:type="dxa"/>
            <w:noWrap w:val="0"/>
            <w:vAlign w:val="center"/>
          </w:tcPr>
          <w:p w14:paraId="32323CF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资金来源及比例</w:t>
            </w:r>
          </w:p>
        </w:tc>
        <w:tc>
          <w:tcPr>
            <w:tcW w:w="5401" w:type="dxa"/>
            <w:noWrap w:val="0"/>
            <w:vAlign w:val="center"/>
          </w:tcPr>
          <w:p w14:paraId="549D12B6">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0BBC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5AC8A0A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1.2.2</w:t>
            </w:r>
          </w:p>
        </w:tc>
        <w:tc>
          <w:tcPr>
            <w:tcW w:w="2779" w:type="dxa"/>
            <w:noWrap w:val="0"/>
            <w:vAlign w:val="center"/>
          </w:tcPr>
          <w:p w14:paraId="47CFB58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资金落实情况</w:t>
            </w:r>
          </w:p>
        </w:tc>
        <w:tc>
          <w:tcPr>
            <w:tcW w:w="5401" w:type="dxa"/>
            <w:noWrap w:val="0"/>
            <w:vAlign w:val="center"/>
          </w:tcPr>
          <w:p w14:paraId="0C4BF00B">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06B0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0EF4B411">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1.3.1</w:t>
            </w:r>
          </w:p>
        </w:tc>
        <w:tc>
          <w:tcPr>
            <w:tcW w:w="2779" w:type="dxa"/>
            <w:noWrap w:val="0"/>
            <w:vAlign w:val="center"/>
          </w:tcPr>
          <w:p w14:paraId="5E25540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招标范围</w:t>
            </w:r>
          </w:p>
        </w:tc>
        <w:tc>
          <w:tcPr>
            <w:tcW w:w="5401" w:type="dxa"/>
            <w:noWrap w:val="0"/>
            <w:vAlign w:val="center"/>
          </w:tcPr>
          <w:p w14:paraId="07F3ED51">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0F28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EED933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1.3.2</w:t>
            </w:r>
          </w:p>
        </w:tc>
        <w:tc>
          <w:tcPr>
            <w:tcW w:w="2779" w:type="dxa"/>
            <w:noWrap w:val="0"/>
            <w:vAlign w:val="center"/>
          </w:tcPr>
          <w:p w14:paraId="1EE47A8C">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计划工期</w:t>
            </w:r>
          </w:p>
        </w:tc>
        <w:tc>
          <w:tcPr>
            <w:tcW w:w="5401" w:type="dxa"/>
            <w:noWrap w:val="0"/>
            <w:vAlign w:val="center"/>
          </w:tcPr>
          <w:p w14:paraId="5C507577">
            <w:pP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1F2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57403B1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1.3.3</w:t>
            </w:r>
          </w:p>
        </w:tc>
        <w:tc>
          <w:tcPr>
            <w:tcW w:w="2779" w:type="dxa"/>
            <w:noWrap w:val="0"/>
            <w:vAlign w:val="center"/>
          </w:tcPr>
          <w:p w14:paraId="3980BB56">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质量要求</w:t>
            </w:r>
          </w:p>
        </w:tc>
        <w:tc>
          <w:tcPr>
            <w:tcW w:w="5401" w:type="dxa"/>
            <w:noWrap w:val="0"/>
            <w:vAlign w:val="center"/>
          </w:tcPr>
          <w:p w14:paraId="34652800">
            <w:pPr>
              <w:pStyle w:val="16"/>
              <w:pageBreakBefore w:val="0"/>
              <w:kinsoku/>
              <w:wordWrap w:val="0"/>
              <w:topLinePunct/>
              <w:bidi w:val="0"/>
              <w:spacing w:line="360" w:lineRule="atLeast"/>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标段工程交工验收的质量评定：</w:t>
            </w:r>
            <w:r>
              <w:rPr>
                <w:rFonts w:hint="default" w:ascii="Times New Roman" w:hAnsi="Times New Roman" w:cs="Times New Roman"/>
                <w:color w:val="auto"/>
                <w:sz w:val="24"/>
                <w:szCs w:val="24"/>
                <w:highlight w:val="none"/>
                <w:u w:val="single"/>
              </w:rPr>
              <w:t>合格</w:t>
            </w:r>
          </w:p>
          <w:p w14:paraId="2F9128B5">
            <w:pPr>
              <w:pStyle w:val="16"/>
              <w:pageBreakBefore w:val="0"/>
              <w:kinsoku/>
              <w:wordWrap w:val="0"/>
              <w:topLinePunct/>
              <w:bidi w:val="0"/>
              <w:spacing w:line="440" w:lineRule="exact"/>
              <w:rPr>
                <w:rFonts w:hint="eastAsia"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竣工验收的质量评定：</w:t>
            </w:r>
            <w:r>
              <w:rPr>
                <w:rFonts w:hint="default" w:ascii="Times New Roman" w:hAnsi="Times New Roman" w:cs="Times New Roman"/>
                <w:color w:val="auto"/>
                <w:sz w:val="24"/>
                <w:szCs w:val="24"/>
                <w:highlight w:val="none"/>
                <w:u w:val="single"/>
              </w:rPr>
              <w:t>合格</w:t>
            </w:r>
          </w:p>
        </w:tc>
      </w:tr>
      <w:tr w14:paraId="7B47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6A54CC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1.3.4</w:t>
            </w:r>
          </w:p>
        </w:tc>
        <w:tc>
          <w:tcPr>
            <w:tcW w:w="2779" w:type="dxa"/>
            <w:noWrap w:val="0"/>
            <w:vAlign w:val="center"/>
          </w:tcPr>
          <w:p w14:paraId="104DDED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安全目标</w:t>
            </w:r>
            <w:r>
              <w:rPr>
                <w:rStyle w:val="48"/>
                <w:rFonts w:hint="default" w:ascii="Times New Roman" w:hAnsi="Times New Roman" w:eastAsia="黑体" w:cs="Times New Roman"/>
                <w:color w:val="auto"/>
                <w:sz w:val="24"/>
                <w:szCs w:val="24"/>
                <w:highlight w:val="none"/>
              </w:rPr>
              <w:footnoteReference w:id="1"/>
            </w:r>
          </w:p>
        </w:tc>
        <w:tc>
          <w:tcPr>
            <w:tcW w:w="5401" w:type="dxa"/>
            <w:noWrap w:val="0"/>
            <w:vAlign w:val="center"/>
          </w:tcPr>
          <w:p w14:paraId="2817854B">
            <w:pPr>
              <w:pStyle w:val="16"/>
              <w:pageBreakBefore w:val="0"/>
              <w:numPr>
                <w:ilvl w:val="0"/>
                <w:numId w:val="0"/>
              </w:numPr>
              <w:kinsoku/>
              <w:wordWrap w:val="0"/>
              <w:topLinePunct/>
              <w:bidi w:val="0"/>
              <w:spacing w:line="360" w:lineRule="atLeast"/>
              <w:rPr>
                <w:rFonts w:hint="eastAsia" w:asci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（1）安全生产“零死亡”；</w:t>
            </w:r>
          </w:p>
          <w:p w14:paraId="0646D0AA">
            <w:pPr>
              <w:pStyle w:val="16"/>
              <w:pageBreakBefore w:val="0"/>
              <w:numPr>
                <w:ilvl w:val="-1"/>
                <w:numId w:val="0"/>
              </w:numPr>
              <w:kinsoku/>
              <w:wordWrap w:val="0"/>
              <w:topLinePunct/>
              <w:bidi w:val="0"/>
              <w:spacing w:line="440" w:lineRule="exact"/>
              <w:rPr>
                <w:rFonts w:hint="default" w:ascii="Times New Roman" w:cs="Times New Roman"/>
                <w:color w:val="auto"/>
                <w:sz w:val="24"/>
                <w:szCs w:val="24"/>
                <w:highlight w:val="none"/>
                <w:lang w:val="en-US" w:eastAsia="zh-CN"/>
              </w:rPr>
            </w:pPr>
            <w:r>
              <w:rPr>
                <w:rFonts w:hint="eastAsia" w:ascii="Times New Roman" w:cs="Times New Roman"/>
                <w:color w:val="auto"/>
                <w:sz w:val="24"/>
                <w:szCs w:val="24"/>
                <w:highlight w:val="none"/>
                <w:lang w:val="en-US" w:eastAsia="zh-CN"/>
              </w:rPr>
              <w:t>（2）其他：</w:t>
            </w:r>
            <w:r>
              <w:rPr>
                <w:rFonts w:hint="eastAsia" w:ascii="Times New Roman" w:cs="Times New Roman"/>
                <w:color w:val="auto"/>
                <w:sz w:val="24"/>
                <w:szCs w:val="24"/>
                <w:highlight w:val="none"/>
                <w:u w:val="single"/>
                <w:lang w:val="en-US" w:eastAsia="zh-CN"/>
              </w:rPr>
              <w:t xml:space="preserve">     /       </w:t>
            </w:r>
          </w:p>
        </w:tc>
      </w:tr>
      <w:tr w14:paraId="3DFF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745F097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1.4.1</w:t>
            </w:r>
          </w:p>
        </w:tc>
        <w:tc>
          <w:tcPr>
            <w:tcW w:w="2779" w:type="dxa"/>
            <w:noWrap w:val="0"/>
            <w:vAlign w:val="center"/>
          </w:tcPr>
          <w:p w14:paraId="0C30638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投标人资质条件、能力和信誉</w:t>
            </w:r>
          </w:p>
        </w:tc>
        <w:tc>
          <w:tcPr>
            <w:tcW w:w="5401" w:type="dxa"/>
            <w:noWrap w:val="0"/>
            <w:vAlign w:val="center"/>
          </w:tcPr>
          <w:p w14:paraId="0E7EFDA6">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资质要求</w:t>
            </w:r>
            <w:r>
              <w:rPr>
                <w:rFonts w:hint="default" w:ascii="Times New Roman" w:hAnsi="Times New Roman" w:eastAsia="宋体" w:cs="Times New Roman"/>
                <w:color w:val="auto"/>
                <w:sz w:val="24"/>
                <w:szCs w:val="24"/>
                <w:highlight w:val="none"/>
              </w:rPr>
              <w:t>：见附录1</w:t>
            </w:r>
          </w:p>
          <w:p w14:paraId="7B77EB4D">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财务要求：见附录2</w:t>
            </w:r>
          </w:p>
          <w:p w14:paraId="313858D6">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业绩要求：见附录3</w:t>
            </w:r>
          </w:p>
          <w:p w14:paraId="05BAA2C6">
            <w:pPr>
              <w:pStyle w:val="16"/>
              <w:pageBreakBefore w:val="0"/>
              <w:kinsoku/>
              <w:wordWrap w:val="0"/>
              <w:topLinePunct/>
              <w:bidi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信誉要求：见附录4</w:t>
            </w:r>
          </w:p>
          <w:p w14:paraId="5555C800">
            <w:pPr>
              <w:pStyle w:val="16"/>
              <w:pageBreakBefore w:val="0"/>
              <w:kinsoku/>
              <w:wordWrap w:val="0"/>
              <w:topLinePunct/>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项目经理和项目总工资格</w:t>
            </w:r>
            <w:r>
              <w:rPr>
                <w:rFonts w:hint="default" w:ascii="Times New Roman" w:hAnsi="Times New Roman" w:eastAsia="宋体" w:cs="Times New Roman"/>
                <w:color w:val="auto"/>
                <w:sz w:val="24"/>
                <w:szCs w:val="24"/>
                <w:highlight w:val="none"/>
              </w:rPr>
              <w:t>：见附录5</w:t>
            </w:r>
          </w:p>
          <w:p w14:paraId="56B1F652">
            <w:pPr>
              <w:pageBreakBefore w:val="0"/>
              <w:kinsoku/>
              <w:wordWrap w:val="0"/>
              <w:bidi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其他要求：</w:t>
            </w:r>
            <w:r>
              <w:rPr>
                <w:rStyle w:val="48"/>
                <w:rFonts w:hint="default" w:ascii="Times New Roman" w:hAnsi="Times New Roman" w:eastAsia="黑体" w:cs="Times New Roman"/>
                <w:color w:val="auto"/>
                <w:sz w:val="24"/>
                <w:szCs w:val="24"/>
                <w:highlight w:val="none"/>
              </w:rPr>
              <w:footnoteReference w:id="2"/>
            </w:r>
            <w:r>
              <w:rPr>
                <w:rFonts w:hint="eastAsia" w:cs="Times New Roman"/>
                <w:color w:val="auto"/>
                <w:sz w:val="24"/>
                <w:szCs w:val="24"/>
                <w:highlight w:val="none"/>
                <w:u w:val="single"/>
                <w:lang w:val="en-US" w:eastAsia="zh-CN"/>
              </w:rPr>
              <w:t xml:space="preserve"> / </w:t>
            </w:r>
          </w:p>
        </w:tc>
      </w:tr>
      <w:tr w14:paraId="620F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53F252B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1.4.2</w:t>
            </w:r>
          </w:p>
        </w:tc>
        <w:tc>
          <w:tcPr>
            <w:tcW w:w="2779" w:type="dxa"/>
            <w:noWrap w:val="0"/>
            <w:vAlign w:val="center"/>
          </w:tcPr>
          <w:p w14:paraId="66131086">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是否接受联合体投标</w:t>
            </w:r>
          </w:p>
        </w:tc>
        <w:tc>
          <w:tcPr>
            <w:tcW w:w="5401" w:type="dxa"/>
            <w:noWrap w:val="0"/>
            <w:vAlign w:val="center"/>
          </w:tcPr>
          <w:p w14:paraId="3BC1E7AB">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不接受</w:t>
            </w:r>
          </w:p>
        </w:tc>
      </w:tr>
      <w:tr w14:paraId="4C5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6C7E622C">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1.4.3</w:t>
            </w:r>
          </w:p>
        </w:tc>
        <w:tc>
          <w:tcPr>
            <w:tcW w:w="2779" w:type="dxa"/>
            <w:noWrap w:val="0"/>
            <w:vAlign w:val="center"/>
          </w:tcPr>
          <w:p w14:paraId="7BF1A6D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投标人不得存在的其他关联情形</w:t>
            </w:r>
          </w:p>
        </w:tc>
        <w:tc>
          <w:tcPr>
            <w:tcW w:w="5401" w:type="dxa"/>
            <w:shd w:val="clear" w:color="auto" w:fill="auto"/>
            <w:noWrap w:val="0"/>
            <w:vAlign w:val="center"/>
          </w:tcPr>
          <w:p w14:paraId="5E71652E">
            <w:pPr>
              <w:pageBreakBefore w:val="0"/>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与招标人存在利害关系可能影响招标公正性的单位，不得参加投标。单位负责人为同一人或存在控股、管理关系的不同单位，不得参加同</w:t>
            </w:r>
            <w:r>
              <w:rPr>
                <w:rFonts w:hint="eastAsia" w:cs="Times New Roman"/>
                <w:color w:val="auto"/>
                <w:sz w:val="24"/>
                <w:szCs w:val="24"/>
                <w:highlight w:val="none"/>
                <w:lang w:val="en-US" w:eastAsia="zh-CN"/>
              </w:rPr>
              <w:t>一标段</w:t>
            </w:r>
            <w:r>
              <w:rPr>
                <w:rFonts w:hint="eastAsia" w:ascii="Times New Roman" w:hAnsi="Times New Roman" w:eastAsia="宋体" w:cs="Times New Roman"/>
                <w:color w:val="auto"/>
                <w:sz w:val="24"/>
                <w:szCs w:val="24"/>
                <w:highlight w:val="none"/>
                <w:lang w:val="en-US" w:eastAsia="zh-CN"/>
              </w:rPr>
              <w:t>投标，否则相关投标均无效。</w:t>
            </w:r>
          </w:p>
        </w:tc>
      </w:tr>
      <w:tr w14:paraId="39EE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582BA5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1.4.4</w:t>
            </w:r>
          </w:p>
        </w:tc>
        <w:tc>
          <w:tcPr>
            <w:tcW w:w="2779" w:type="dxa"/>
            <w:noWrap w:val="0"/>
            <w:vAlign w:val="center"/>
          </w:tcPr>
          <w:p w14:paraId="2DE9F4B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投标人不得存在的其他不良状况或不良信用记录</w:t>
            </w:r>
          </w:p>
        </w:tc>
        <w:tc>
          <w:tcPr>
            <w:tcW w:w="5401" w:type="dxa"/>
            <w:shd w:val="clear" w:color="auto" w:fill="auto"/>
            <w:noWrap w:val="0"/>
            <w:vAlign w:val="center"/>
          </w:tcPr>
          <w:p w14:paraId="17DB40A1">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（1）</w:t>
            </w:r>
            <w:r>
              <w:rPr>
                <w:rFonts w:hint="default" w:ascii="Times New Roman" w:hAnsi="Times New Roman" w:cs="Times New Roman"/>
                <w:color w:val="auto"/>
                <w:sz w:val="24"/>
                <w:szCs w:val="24"/>
                <w:highlight w:val="none"/>
              </w:rPr>
              <w:t>被省级及以上交通运输主管部门取消招标项目所在地的投标资格且处于有效期内；</w:t>
            </w:r>
          </w:p>
          <w:p w14:paraId="65B49EFC">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（2）被责令停业，暂扣或吊销执照，或吊销资质证书；</w:t>
            </w:r>
          </w:p>
          <w:p w14:paraId="4B6C438E">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（3）进入清算程序，或被宣告破产，或其他丧失履约能力的情形；</w:t>
            </w:r>
          </w:p>
          <w:p w14:paraId="5B0BE75A">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（4）在国家企业信用信息公示系统（http：//www.gsxt.gov.cn）中被列入严重违法失信企业名单；</w:t>
            </w:r>
          </w:p>
          <w:p w14:paraId="1E408DB3">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（5）在“信用中国”网站（http：//www.creditchina.gov.cn）中被列入失信被执行人名单；</w:t>
            </w:r>
          </w:p>
          <w:p w14:paraId="3FA86B52">
            <w:pPr>
              <w:pageBreakBefore w:val="0"/>
              <w:numPr>
                <w:ilvl w:val="0"/>
                <w:numId w:val="0"/>
              </w:numPr>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（6）投标人或其法定代表人、拟委任的项目经理在近三年内有行贿犯罪行为的；</w:t>
            </w:r>
          </w:p>
          <w:p w14:paraId="4DFFCBFF">
            <w:pPr>
              <w:pageBreakBefore w:val="0"/>
              <w:numPr>
                <w:ilvl w:val="0"/>
                <w:numId w:val="0"/>
              </w:numPr>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（7）投标人在以往工程未因拖欠农民工工资、材料采购、工程分包款等，而受到省级有关部门的通报；</w:t>
            </w:r>
          </w:p>
          <w:p w14:paraId="397CAE71">
            <w:pPr>
              <w:pageBreakBefore w:val="0"/>
              <w:numPr>
                <w:ilvl w:val="0"/>
                <w:numId w:val="0"/>
              </w:numPr>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（8）法律法规或投标人须知前附表规定的其他情形。</w:t>
            </w:r>
          </w:p>
        </w:tc>
      </w:tr>
      <w:tr w14:paraId="7E2A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vMerge w:val="restart"/>
            <w:noWrap w:val="0"/>
            <w:vAlign w:val="center"/>
          </w:tcPr>
          <w:p w14:paraId="01F7BAF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1.10.2</w:t>
            </w:r>
          </w:p>
        </w:tc>
        <w:tc>
          <w:tcPr>
            <w:tcW w:w="2779" w:type="dxa"/>
            <w:vMerge w:val="restart"/>
            <w:noWrap w:val="0"/>
            <w:vAlign w:val="center"/>
          </w:tcPr>
          <w:p w14:paraId="78E2CC0F">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401" w:type="dxa"/>
            <w:shd w:val="clear" w:color="auto" w:fill="auto"/>
            <w:noWrap w:val="0"/>
            <w:vAlign w:val="center"/>
          </w:tcPr>
          <w:p w14:paraId="0BB6C4D9">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06BA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vMerge w:val="continue"/>
            <w:noWrap w:val="0"/>
            <w:vAlign w:val="center"/>
          </w:tcPr>
          <w:p w14:paraId="2FAB4984">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2779" w:type="dxa"/>
            <w:vMerge w:val="continue"/>
            <w:noWrap w:val="0"/>
            <w:vAlign w:val="center"/>
          </w:tcPr>
          <w:p w14:paraId="04C36145">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5401" w:type="dxa"/>
            <w:shd w:val="clear" w:color="auto" w:fill="auto"/>
            <w:noWrap w:val="0"/>
            <w:vAlign w:val="center"/>
          </w:tcPr>
          <w:p w14:paraId="4C0C8A34">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58DA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260A1B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1.11.1</w:t>
            </w:r>
          </w:p>
        </w:tc>
        <w:tc>
          <w:tcPr>
            <w:tcW w:w="2779" w:type="dxa"/>
            <w:noWrap w:val="0"/>
            <w:vAlign w:val="center"/>
          </w:tcPr>
          <w:p w14:paraId="6200ECE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分包</w:t>
            </w:r>
          </w:p>
        </w:tc>
        <w:tc>
          <w:tcPr>
            <w:tcW w:w="5401" w:type="dxa"/>
            <w:shd w:val="clear" w:color="auto" w:fill="auto"/>
            <w:noWrap w:val="0"/>
            <w:vAlign w:val="center"/>
          </w:tcPr>
          <w:p w14:paraId="15321693">
            <w:pPr>
              <w:pageBreakBefore w:val="0"/>
              <w:kinsoku/>
              <w:wordWrap w:val="0"/>
              <w:bidi w:val="0"/>
              <w:spacing w:line="360" w:lineRule="atLeast"/>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不允许</w:t>
            </w:r>
          </w:p>
          <w:p w14:paraId="4227F737">
            <w:pPr>
              <w:pStyle w:val="15"/>
              <w:pageBreakBefore w:val="0"/>
              <w:kinsoku/>
              <w:wordWrap w:val="0"/>
              <w:bidi w:val="0"/>
              <w:spacing w:line="360" w:lineRule="atLeast"/>
              <w:ind w:firstLine="120" w:firstLineChars="50"/>
              <w:jc w:val="both"/>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eastAsia="zh-CN"/>
              </w:rPr>
              <w:t>□</w:t>
            </w:r>
            <w:r>
              <w:rPr>
                <w:rFonts w:hint="eastAsia" w:ascii="宋体" w:hAnsi="宋体" w:eastAsia="宋体" w:cs="宋体"/>
                <w:color w:val="auto"/>
                <w:sz w:val="24"/>
                <w:szCs w:val="24"/>
                <w:highlight w:val="none"/>
                <w:lang w:val="en-US" w:eastAsia="zh-CN"/>
              </w:rPr>
              <w:t>允许，</w:t>
            </w:r>
            <w:r>
              <w:rPr>
                <w:rFonts w:hint="eastAsia" w:ascii="宋体" w:hAnsi="宋体" w:eastAsia="宋体" w:cs="宋体"/>
                <w:color w:val="auto"/>
                <w:sz w:val="24"/>
                <w:szCs w:val="24"/>
                <w:highlight w:val="none"/>
              </w:rPr>
              <w:t>承包人按照合同约定或者经发包人书面同意，可以将中标项目中负面清单以外的部分单位工程、分部工程或者分项工程分包给满足相应条件的其他专业施工单位完成。</w:t>
            </w:r>
          </w:p>
        </w:tc>
      </w:tr>
      <w:tr w14:paraId="50C2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A1FED9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w:t>
            </w:r>
          </w:p>
        </w:tc>
        <w:tc>
          <w:tcPr>
            <w:tcW w:w="2779" w:type="dxa"/>
            <w:noWrap w:val="0"/>
            <w:vAlign w:val="center"/>
          </w:tcPr>
          <w:p w14:paraId="3B44E00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构成招标文件的其他资料</w:t>
            </w:r>
          </w:p>
        </w:tc>
        <w:tc>
          <w:tcPr>
            <w:tcW w:w="5401" w:type="dxa"/>
            <w:shd w:val="clear" w:color="auto" w:fill="auto"/>
            <w:noWrap w:val="0"/>
            <w:vAlign w:val="center"/>
          </w:tcPr>
          <w:p w14:paraId="4675538F">
            <w:pPr>
              <w:pageBreakBefore w:val="0"/>
              <w:kinsoku/>
              <w:wordWrap w:val="0"/>
              <w:bidi w:val="0"/>
              <w:spacing w:line="360" w:lineRule="atLeas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4314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vMerge w:val="restart"/>
            <w:noWrap w:val="0"/>
            <w:vAlign w:val="center"/>
          </w:tcPr>
          <w:p w14:paraId="0A27F56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w:t>
            </w:r>
          </w:p>
        </w:tc>
        <w:tc>
          <w:tcPr>
            <w:tcW w:w="2779" w:type="dxa"/>
            <w:vMerge w:val="restart"/>
            <w:noWrap w:val="0"/>
            <w:vAlign w:val="center"/>
          </w:tcPr>
          <w:p w14:paraId="377CF16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投标人要求澄清招标文件</w:t>
            </w:r>
          </w:p>
        </w:tc>
        <w:tc>
          <w:tcPr>
            <w:tcW w:w="5401" w:type="dxa"/>
            <w:shd w:val="clear" w:color="auto" w:fill="auto"/>
            <w:noWrap w:val="0"/>
            <w:vAlign w:val="center"/>
          </w:tcPr>
          <w:p w14:paraId="0DA4FC1C">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时间：递交投标文件截止之日</w:t>
            </w:r>
            <w:r>
              <w:rPr>
                <w:rFonts w:hint="eastAsia" w:cs="Times New Roman"/>
                <w:color w:val="auto"/>
                <w:sz w:val="24"/>
                <w:szCs w:val="24"/>
                <w:highlight w:val="none"/>
                <w:u w:val="single"/>
                <w:lang w:val="en-US" w:eastAsia="zh-CN"/>
              </w:rPr>
              <w:t>10</w:t>
            </w:r>
            <w:r>
              <w:rPr>
                <w:rFonts w:hint="default" w:ascii="Times New Roman" w:hAnsi="Times New Roman" w:cs="Times New Roman"/>
                <w:color w:val="auto"/>
                <w:sz w:val="24"/>
                <w:szCs w:val="24"/>
                <w:highlight w:val="none"/>
              </w:rPr>
              <w:t>天前（以发出时间为准）</w:t>
            </w:r>
          </w:p>
        </w:tc>
      </w:tr>
      <w:tr w14:paraId="0FD5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vMerge w:val="continue"/>
            <w:noWrap w:val="0"/>
            <w:vAlign w:val="center"/>
          </w:tcPr>
          <w:p w14:paraId="6DB1C808">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2779" w:type="dxa"/>
            <w:vMerge w:val="continue"/>
            <w:noWrap w:val="0"/>
            <w:vAlign w:val="center"/>
          </w:tcPr>
          <w:p w14:paraId="7187FEAE">
            <w:pPr>
              <w:pageBreakBefore w:val="0"/>
              <w:kinsoku/>
              <w:wordWrap w:val="0"/>
              <w:bidi w:val="0"/>
              <w:spacing w:line="440" w:lineRule="exact"/>
              <w:jc w:val="center"/>
              <w:rPr>
                <w:rFonts w:hint="default" w:ascii="Times New Roman" w:hAnsi="Times New Roman" w:cs="Times New Roman"/>
                <w:color w:val="auto"/>
                <w:sz w:val="24"/>
                <w:szCs w:val="24"/>
                <w:highlight w:val="none"/>
              </w:rPr>
            </w:pPr>
          </w:p>
        </w:tc>
        <w:tc>
          <w:tcPr>
            <w:tcW w:w="5401" w:type="dxa"/>
            <w:shd w:val="clear" w:color="auto" w:fill="auto"/>
            <w:noWrap w:val="0"/>
            <w:vAlign w:val="center"/>
          </w:tcPr>
          <w:p w14:paraId="34E60952">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6C72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2832CB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w:t>
            </w:r>
          </w:p>
        </w:tc>
        <w:tc>
          <w:tcPr>
            <w:tcW w:w="2779" w:type="dxa"/>
            <w:noWrap w:val="0"/>
            <w:vAlign w:val="center"/>
          </w:tcPr>
          <w:p w14:paraId="00F89870">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招标文件澄清发出的形式</w:t>
            </w:r>
          </w:p>
        </w:tc>
        <w:tc>
          <w:tcPr>
            <w:tcW w:w="5401" w:type="dxa"/>
            <w:noWrap w:val="0"/>
            <w:vAlign w:val="center"/>
          </w:tcPr>
          <w:p w14:paraId="15FAD5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发出招标文件澄清</w:t>
            </w:r>
          </w:p>
        </w:tc>
      </w:tr>
      <w:tr w14:paraId="2A5A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36" w:type="dxa"/>
            <w:noWrap w:val="0"/>
            <w:vAlign w:val="center"/>
          </w:tcPr>
          <w:p w14:paraId="216ACD2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w:t>
            </w:r>
          </w:p>
        </w:tc>
        <w:tc>
          <w:tcPr>
            <w:tcW w:w="2779" w:type="dxa"/>
            <w:noWrap w:val="0"/>
            <w:vAlign w:val="center"/>
          </w:tcPr>
          <w:p w14:paraId="7FB20322">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投标人确认收到招标文件澄清</w:t>
            </w:r>
          </w:p>
        </w:tc>
        <w:tc>
          <w:tcPr>
            <w:tcW w:w="5401" w:type="dxa"/>
            <w:noWrap w:val="0"/>
            <w:vAlign w:val="center"/>
          </w:tcPr>
          <w:p w14:paraId="782EE4CF">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w:t>
            </w:r>
            <w:r>
              <w:rPr>
                <w:rFonts w:hint="default" w:ascii="Times New Roman" w:hAnsi="Times New Roman" w:cs="Times New Roman"/>
                <w:color w:val="auto"/>
                <w:sz w:val="24"/>
                <w:szCs w:val="24"/>
                <w:highlight w:val="none"/>
                <w:lang w:val="en-US" w:eastAsia="zh-CN"/>
              </w:rPr>
              <w:t>澄清</w:t>
            </w: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发出完成即视为潜在投标人已收悉，无</w:t>
            </w:r>
            <w:r>
              <w:rPr>
                <w:rFonts w:hint="default" w:ascii="Times New Roman" w:hAnsi="Times New Roman" w:cs="Times New Roman"/>
                <w:color w:val="auto"/>
                <w:sz w:val="24"/>
                <w:szCs w:val="24"/>
                <w:highlight w:val="none"/>
                <w:lang w:val="en-US" w:eastAsia="zh-CN"/>
              </w:rPr>
              <w:t>需</w:t>
            </w:r>
            <w:r>
              <w:rPr>
                <w:rFonts w:hint="default" w:ascii="Times New Roman" w:hAnsi="Times New Roman" w:cs="Times New Roman"/>
                <w:color w:val="auto"/>
                <w:sz w:val="24"/>
                <w:szCs w:val="24"/>
                <w:highlight w:val="none"/>
              </w:rPr>
              <w:t>回函确认。</w:t>
            </w:r>
          </w:p>
        </w:tc>
      </w:tr>
      <w:tr w14:paraId="387C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4CA7C1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w:t>
            </w:r>
          </w:p>
        </w:tc>
        <w:tc>
          <w:tcPr>
            <w:tcW w:w="2779" w:type="dxa"/>
            <w:noWrap w:val="0"/>
            <w:vAlign w:val="center"/>
          </w:tcPr>
          <w:p w14:paraId="25972558">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w:t>
            </w:r>
            <w:r>
              <w:rPr>
                <w:rFonts w:hint="eastAsia" w:cs="Times New Roman"/>
                <w:color w:val="auto"/>
                <w:sz w:val="24"/>
                <w:szCs w:val="24"/>
                <w:highlight w:val="none"/>
                <w:lang w:val="en-US" w:eastAsia="zh-CN"/>
              </w:rPr>
              <w:t>澄清</w:t>
            </w:r>
            <w:r>
              <w:rPr>
                <w:rFonts w:hint="default" w:ascii="Times New Roman" w:hAnsi="Times New Roman" w:cs="Times New Roman"/>
                <w:color w:val="auto"/>
                <w:sz w:val="24"/>
                <w:szCs w:val="24"/>
                <w:highlight w:val="none"/>
              </w:rPr>
              <w:t>发出的形式</w:t>
            </w:r>
          </w:p>
        </w:tc>
        <w:tc>
          <w:tcPr>
            <w:tcW w:w="5401" w:type="dxa"/>
            <w:noWrap w:val="0"/>
            <w:vAlign w:val="center"/>
          </w:tcPr>
          <w:p w14:paraId="395ADC98">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发出招标文件</w:t>
            </w:r>
            <w:r>
              <w:rPr>
                <w:rFonts w:hint="eastAsia" w:cs="Times New Roman"/>
                <w:color w:val="auto"/>
                <w:sz w:val="24"/>
                <w:szCs w:val="24"/>
                <w:highlight w:val="none"/>
                <w:lang w:val="en-US" w:eastAsia="zh-CN"/>
              </w:rPr>
              <w:t>澄清</w:t>
            </w:r>
          </w:p>
        </w:tc>
      </w:tr>
      <w:tr w14:paraId="3C56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36" w:type="dxa"/>
            <w:noWrap w:val="0"/>
            <w:vAlign w:val="center"/>
          </w:tcPr>
          <w:p w14:paraId="007C2D2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w:t>
            </w:r>
          </w:p>
        </w:tc>
        <w:tc>
          <w:tcPr>
            <w:tcW w:w="2779" w:type="dxa"/>
            <w:noWrap w:val="0"/>
            <w:vAlign w:val="center"/>
          </w:tcPr>
          <w:p w14:paraId="24890002">
            <w:pPr>
              <w:pageBreakBefore w:val="0"/>
              <w:kinsoku/>
              <w:wordWrap w:val="0"/>
              <w:bidi w:val="0"/>
              <w:spacing w:line="44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投标人确认收到招标文件</w:t>
            </w:r>
            <w:r>
              <w:rPr>
                <w:rFonts w:hint="eastAsia" w:cs="Times New Roman"/>
                <w:color w:val="auto"/>
                <w:sz w:val="24"/>
                <w:szCs w:val="24"/>
                <w:highlight w:val="none"/>
                <w:lang w:val="en-US" w:eastAsia="zh-CN"/>
              </w:rPr>
              <w:t>澄清</w:t>
            </w:r>
          </w:p>
        </w:tc>
        <w:tc>
          <w:tcPr>
            <w:tcW w:w="5401" w:type="dxa"/>
            <w:noWrap w:val="0"/>
            <w:vAlign w:val="center"/>
          </w:tcPr>
          <w:p w14:paraId="247BF4CD">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招标文件</w:t>
            </w:r>
            <w:r>
              <w:rPr>
                <w:rFonts w:hint="eastAsia" w:cs="Times New Roman"/>
                <w:color w:val="auto"/>
                <w:sz w:val="24"/>
                <w:szCs w:val="24"/>
                <w:highlight w:val="none"/>
                <w:lang w:val="en-US" w:eastAsia="zh-CN"/>
              </w:rPr>
              <w:t>澄清</w:t>
            </w:r>
            <w:r>
              <w:rPr>
                <w:rFonts w:hint="default" w:ascii="Times New Roman" w:hAnsi="Times New Roman" w:cs="Times New Roman"/>
                <w:color w:val="auto"/>
                <w:sz w:val="24"/>
                <w:szCs w:val="24"/>
                <w:highlight w:val="none"/>
              </w:rPr>
              <w:t>通过</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发出完成即视为潜在投标人已收悉，无</w:t>
            </w:r>
            <w:r>
              <w:rPr>
                <w:rFonts w:hint="default" w:ascii="Times New Roman" w:hAnsi="Times New Roman" w:cs="Times New Roman"/>
                <w:color w:val="auto"/>
                <w:sz w:val="24"/>
                <w:szCs w:val="24"/>
                <w:highlight w:val="none"/>
                <w:lang w:val="en-US" w:eastAsia="zh-CN"/>
              </w:rPr>
              <w:t>需</w:t>
            </w:r>
            <w:r>
              <w:rPr>
                <w:rFonts w:hint="default" w:ascii="Times New Roman" w:hAnsi="Times New Roman" w:cs="Times New Roman"/>
                <w:color w:val="auto"/>
                <w:sz w:val="24"/>
                <w:szCs w:val="24"/>
                <w:highlight w:val="none"/>
              </w:rPr>
              <w:t>回函确认。</w:t>
            </w:r>
          </w:p>
        </w:tc>
      </w:tr>
      <w:tr w14:paraId="69A1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7AD3E8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w:t>
            </w:r>
          </w:p>
        </w:tc>
        <w:tc>
          <w:tcPr>
            <w:tcW w:w="2779" w:type="dxa"/>
            <w:noWrap w:val="0"/>
            <w:vAlign w:val="center"/>
          </w:tcPr>
          <w:p w14:paraId="1487532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构成投标文件的其他资料</w:t>
            </w:r>
          </w:p>
        </w:tc>
        <w:tc>
          <w:tcPr>
            <w:tcW w:w="5401" w:type="dxa"/>
            <w:noWrap w:val="0"/>
            <w:vAlign w:val="center"/>
          </w:tcPr>
          <w:p w14:paraId="3F853416">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ascii="宋体" w:hAnsi="宋体" w:eastAsia="宋体" w:cs="宋体"/>
                <w:color w:val="auto"/>
                <w:sz w:val="24"/>
                <w:szCs w:val="24"/>
                <w:highlight w:val="none"/>
                <w:lang w:eastAsia="zh-CN"/>
              </w:rPr>
              <w:t>无</w:t>
            </w:r>
          </w:p>
        </w:tc>
      </w:tr>
      <w:tr w14:paraId="5141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4EE87C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w:t>
            </w:r>
          </w:p>
        </w:tc>
        <w:tc>
          <w:tcPr>
            <w:tcW w:w="2779" w:type="dxa"/>
            <w:noWrap w:val="0"/>
            <w:vAlign w:val="center"/>
          </w:tcPr>
          <w:p w14:paraId="674D6D5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增值税税金的计算方法</w:t>
            </w:r>
          </w:p>
        </w:tc>
        <w:tc>
          <w:tcPr>
            <w:tcW w:w="5401" w:type="dxa"/>
            <w:noWrap w:val="0"/>
            <w:vAlign w:val="center"/>
          </w:tcPr>
          <w:p w14:paraId="33461EB6">
            <w:pPr>
              <w:spacing w:line="440" w:lineRule="exact"/>
              <w:rPr>
                <w:rFonts w:hint="eastAsia" w:ascii="宋体" w:hAnsi="宋体" w:eastAsia="宋体" w:cs="宋体"/>
                <w:color w:val="auto"/>
                <w:sz w:val="24"/>
                <w:szCs w:val="24"/>
                <w:highlight w:val="none"/>
              </w:rPr>
            </w:pPr>
            <w:r>
              <w:rPr>
                <w:rFonts w:hint="eastAsia"/>
                <w:color w:val="auto"/>
                <w:sz w:val="24"/>
                <w:highlight w:val="none"/>
                <w:lang w:eastAsia="zh-CN"/>
              </w:rPr>
              <w:t>☑</w:t>
            </w:r>
            <w:r>
              <w:rPr>
                <w:rFonts w:hint="eastAsia" w:ascii="宋体" w:hAnsi="宋体" w:eastAsia="宋体" w:cs="宋体"/>
                <w:color w:val="auto"/>
                <w:sz w:val="24"/>
                <w:szCs w:val="24"/>
                <w:highlight w:val="none"/>
              </w:rPr>
              <w:t>一般计税法</w:t>
            </w:r>
          </w:p>
          <w:p w14:paraId="19E99B92">
            <w:pPr>
              <w:spacing w:line="440" w:lineRule="exact"/>
              <w:rPr>
                <w:rFonts w:hint="eastAsia" w:ascii="宋体" w:hAnsi="宋体" w:eastAsia="宋体" w:cs="宋体"/>
                <w:color w:val="auto"/>
                <w:sz w:val="24"/>
                <w:szCs w:val="24"/>
                <w:highlight w:val="none"/>
              </w:rPr>
            </w:pPr>
            <w:r>
              <w:rPr>
                <w:rFonts w:hint="eastAsia"/>
                <w:color w:val="auto"/>
                <w:sz w:val="24"/>
                <w:highlight w:val="none"/>
                <w:lang w:eastAsia="zh-CN"/>
              </w:rPr>
              <w:t>□</w:t>
            </w:r>
            <w:r>
              <w:rPr>
                <w:rFonts w:hint="eastAsia" w:ascii="宋体" w:hAnsi="宋体" w:eastAsia="宋体" w:cs="宋体"/>
                <w:color w:val="auto"/>
                <w:sz w:val="24"/>
                <w:szCs w:val="24"/>
                <w:highlight w:val="none"/>
              </w:rPr>
              <w:t>简易计税法</w:t>
            </w:r>
          </w:p>
          <w:p w14:paraId="5C4FEE46">
            <w:pPr>
              <w:spacing w:line="440" w:lineRule="exact"/>
              <w:rPr>
                <w:rFonts w:hint="eastAsia" w:ascii="宋体" w:hAnsi="宋体" w:eastAsia="宋体" w:cs="宋体"/>
                <w:color w:val="auto"/>
                <w:sz w:val="24"/>
                <w:szCs w:val="24"/>
                <w:highlight w:val="none"/>
              </w:rPr>
            </w:pPr>
            <w:r>
              <w:rPr>
                <w:rFonts w:hint="eastAsia"/>
                <w:color w:val="auto"/>
                <w:sz w:val="24"/>
                <w:highlight w:val="none"/>
                <w:lang w:eastAsia="zh-CN"/>
              </w:rPr>
              <w:t>□</w:t>
            </w:r>
            <w:r>
              <w:rPr>
                <w:rFonts w:hint="eastAsia" w:ascii="宋体" w:hAnsi="宋体" w:eastAsia="宋体" w:cs="宋体"/>
                <w:color w:val="auto"/>
                <w:sz w:val="24"/>
                <w:szCs w:val="24"/>
                <w:highlight w:val="none"/>
              </w:rPr>
              <w:t>扣缴计税法</w:t>
            </w:r>
          </w:p>
          <w:p w14:paraId="68F9C27B">
            <w:pPr>
              <w:pageBreakBefore w:val="0"/>
              <w:kinsoku/>
              <w:wordWrap w:val="0"/>
              <w:bidi w:val="0"/>
              <w:spacing w:line="440" w:lineRule="exact"/>
              <w:ind w:left="460" w:hanging="480" w:hangingChars="200"/>
              <w:rPr>
                <w:rFonts w:hint="default" w:ascii="Times New Roman" w:hAnsi="Times New Roman" w:cs="Times New Roman"/>
                <w:color w:val="auto"/>
                <w:spacing w:val="10"/>
                <w:sz w:val="24"/>
                <w:szCs w:val="24"/>
                <w:highlight w:val="none"/>
                <w:bdr w:val="single" w:color="auto" w:sz="4" w:space="0"/>
              </w:rPr>
            </w:pPr>
            <w:r>
              <w:rPr>
                <w:rFonts w:hint="eastAsia"/>
                <w:color w:val="auto"/>
                <w:sz w:val="24"/>
                <w:highlight w:val="none"/>
                <w:lang w:eastAsia="zh-CN"/>
              </w:rPr>
              <w:t>□</w:t>
            </w:r>
            <w:r>
              <w:rPr>
                <w:rFonts w:hint="eastAsia" w:ascii="宋体" w:hAnsi="宋体" w:eastAsia="宋体" w:cs="宋体"/>
                <w:color w:val="auto"/>
                <w:sz w:val="24"/>
                <w:szCs w:val="24"/>
                <w:highlight w:val="none"/>
              </w:rPr>
              <w:t>其他计税法</w:t>
            </w:r>
          </w:p>
        </w:tc>
      </w:tr>
      <w:tr w14:paraId="42E2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724FDB41">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w:t>
            </w:r>
          </w:p>
        </w:tc>
        <w:tc>
          <w:tcPr>
            <w:tcW w:w="2779" w:type="dxa"/>
            <w:noWrap w:val="0"/>
            <w:vAlign w:val="center"/>
          </w:tcPr>
          <w:p w14:paraId="2A40335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工程量清单的填写方式</w:t>
            </w:r>
          </w:p>
        </w:tc>
        <w:tc>
          <w:tcPr>
            <w:tcW w:w="5401" w:type="dxa"/>
            <w:noWrap w:val="0"/>
            <w:vAlign w:val="center"/>
          </w:tcPr>
          <w:p w14:paraId="2E78D9F7">
            <w:pPr>
              <w:pageBreakBefore w:val="0"/>
              <w:kinsoku/>
              <w:wordWrap w:val="0"/>
              <w:bidi w:val="0"/>
              <w:spacing w:line="440" w:lineRule="exact"/>
              <w:ind w:left="160" w:hanging="120" w:hangingChars="50"/>
              <w:rPr>
                <w:rFonts w:hint="default" w:ascii="Times New Roman" w:hAnsi="Times New Roman" w:cs="Times New Roman"/>
                <w:color w:val="auto"/>
                <w:sz w:val="24"/>
                <w:szCs w:val="24"/>
                <w:highlight w:val="none"/>
                <w:u w:val="single"/>
                <w:lang w:val="en-US"/>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投标人按照招标人提供的工程量清单电子文件填写工程量清单，下载网站：</w:t>
            </w:r>
            <w:r>
              <w:rPr>
                <w:rFonts w:hint="default" w:ascii="Times New Roman" w:hAnsi="Times New Roman" w:cs="Times New Roman"/>
                <w:color w:val="auto"/>
                <w:sz w:val="24"/>
                <w:szCs w:val="24"/>
                <w:highlight w:val="none"/>
                <w:u w:val="single"/>
              </w:rPr>
              <w:t>通过</w:t>
            </w:r>
            <w:r>
              <w:rPr>
                <w:rFonts w:hint="eastAsia" w:ascii="宋体" w:hAnsi="宋体" w:eastAsia="宋体" w:cs="宋体"/>
                <w:color w:val="auto"/>
                <w:sz w:val="24"/>
                <w:szCs w:val="24"/>
                <w:highlight w:val="none"/>
                <w:u w:val="single"/>
              </w:rPr>
              <w:t>“</w:t>
            </w:r>
            <w:r>
              <w:rPr>
                <w:rFonts w:hint="eastAsia" w:cs="Times New Roman"/>
                <w:color w:val="auto"/>
                <w:sz w:val="24"/>
                <w:szCs w:val="24"/>
                <w:highlight w:val="none"/>
                <w:u w:val="single"/>
                <w:lang w:eastAsia="zh-CN"/>
              </w:rPr>
              <w:t>电子交易平台</w:t>
            </w:r>
            <w:r>
              <w:rPr>
                <w:rFonts w:hint="eastAsia" w:ascii="宋体" w:hAnsi="宋体" w:eastAsia="宋体" w:cs="宋体"/>
                <w:color w:val="auto"/>
                <w:sz w:val="24"/>
                <w:szCs w:val="24"/>
                <w:highlight w:val="none"/>
                <w:u w:val="single"/>
              </w:rPr>
              <w:t>”</w:t>
            </w:r>
            <w:r>
              <w:rPr>
                <w:rFonts w:hint="default" w:ascii="Times New Roman" w:hAnsi="Times New Roman" w:cs="Times New Roman"/>
                <w:color w:val="auto"/>
                <w:sz w:val="24"/>
                <w:szCs w:val="24"/>
                <w:highlight w:val="none"/>
                <w:u w:val="single"/>
              </w:rPr>
              <w:t>发出</w:t>
            </w:r>
          </w:p>
        </w:tc>
      </w:tr>
      <w:tr w14:paraId="2D6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7154104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w:t>
            </w:r>
          </w:p>
        </w:tc>
        <w:tc>
          <w:tcPr>
            <w:tcW w:w="2779" w:type="dxa"/>
            <w:noWrap w:val="0"/>
            <w:vAlign w:val="center"/>
          </w:tcPr>
          <w:p w14:paraId="7C3A4020">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报价方式</w:t>
            </w:r>
          </w:p>
        </w:tc>
        <w:tc>
          <w:tcPr>
            <w:tcW w:w="5401" w:type="dxa"/>
            <w:noWrap w:val="0"/>
            <w:vAlign w:val="center"/>
          </w:tcPr>
          <w:p w14:paraId="29EEC2BF">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单价</w:t>
            </w:r>
          </w:p>
          <w:p w14:paraId="134DCE89">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总价</w:t>
            </w:r>
          </w:p>
        </w:tc>
      </w:tr>
      <w:tr w14:paraId="40E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7F055FBB">
            <w:pPr>
              <w:pageBreakBefore w:val="0"/>
              <w:kinsoku/>
              <w:wordWrap w:val="0"/>
              <w:bidi w:val="0"/>
              <w:spacing w:line="440" w:lineRule="exact"/>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3.2.</w:t>
            </w:r>
            <w:r>
              <w:rPr>
                <w:rFonts w:hint="eastAsia" w:cs="Times New Roman"/>
                <w:color w:val="auto"/>
                <w:sz w:val="24"/>
                <w:szCs w:val="24"/>
                <w:highlight w:val="none"/>
                <w:lang w:val="en-US" w:eastAsia="zh-CN"/>
              </w:rPr>
              <w:t>7</w:t>
            </w:r>
          </w:p>
        </w:tc>
        <w:tc>
          <w:tcPr>
            <w:tcW w:w="2779" w:type="dxa"/>
            <w:noWrap w:val="0"/>
            <w:vAlign w:val="center"/>
          </w:tcPr>
          <w:p w14:paraId="32AD9A98">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最高投标限价</w:t>
            </w:r>
          </w:p>
        </w:tc>
        <w:tc>
          <w:tcPr>
            <w:tcW w:w="5401" w:type="dxa"/>
            <w:noWrap w:val="0"/>
            <w:vAlign w:val="center"/>
          </w:tcPr>
          <w:p w14:paraId="0B58AAA1">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无</w:t>
            </w:r>
          </w:p>
          <w:p w14:paraId="3C2AE1BE">
            <w:pPr>
              <w:pageBreakBefore w:val="0"/>
              <w:kinsoku/>
              <w:wordWrap w:val="0"/>
              <w:bidi w:val="0"/>
              <w:spacing w:line="440" w:lineRule="exact"/>
              <w:rPr>
                <w:rFonts w:hint="default" w:cs="Times New Roman"/>
                <w:color w:val="auto"/>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有</w:t>
            </w:r>
            <w:r>
              <w:rPr>
                <w:rFonts w:hint="default" w:ascii="Times New Roman" w:hAnsi="Times New Roman" w:cs="Times New Roman"/>
                <w:color w:val="auto"/>
                <w:sz w:val="24"/>
                <w:szCs w:val="24"/>
                <w:highlight w:val="none"/>
                <w:shd w:val="clear"/>
              </w:rPr>
              <w:t>，最高投标限价：</w:t>
            </w:r>
            <w:r>
              <w:rPr>
                <w:rFonts w:hint="eastAsia" w:cs="Times New Roman"/>
                <w:color w:val="auto"/>
                <w:sz w:val="24"/>
                <w:szCs w:val="24"/>
                <w:highlight w:val="none"/>
                <w:shd w:val="clear"/>
                <w:lang w:val="en-US" w:eastAsia="zh-CN"/>
              </w:rPr>
              <w:t>¥15,203,992.00元（大写人民币壹仟伍佰贰拾万叁仟玖佰玖拾贰元整）</w:t>
            </w:r>
          </w:p>
          <w:p w14:paraId="775B64F8">
            <w:pPr>
              <w:pStyle w:val="16"/>
              <w:pageBreakBefore w:val="0"/>
              <w:kinsoku/>
              <w:wordWrap w:val="0"/>
              <w:overflowPunct/>
              <w:topLinePunct/>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有，最高投标限价以补遗书的形式通过</w:t>
            </w:r>
            <w:r>
              <w:rPr>
                <w:rFonts w:hint="eastAsia" w:ascii="宋体" w:hAnsi="宋体" w:eastAsia="宋体" w:cs="宋体"/>
                <w:color w:val="auto"/>
                <w:sz w:val="24"/>
                <w:szCs w:val="24"/>
                <w:highlight w:val="none"/>
              </w:rPr>
              <w:t>“</w:t>
            </w:r>
            <w:r>
              <w:rPr>
                <w:rFonts w:hint="eastAsia" w:ascii="Times New Roman"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发布</w:t>
            </w:r>
          </w:p>
        </w:tc>
      </w:tr>
      <w:tr w14:paraId="7548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1036" w:type="dxa"/>
            <w:noWrap w:val="0"/>
            <w:vAlign w:val="center"/>
          </w:tcPr>
          <w:p w14:paraId="19DE04C0">
            <w:pPr>
              <w:pageBreakBefore w:val="0"/>
              <w:kinsoku/>
              <w:wordWrap w:val="0"/>
              <w:bidi w:val="0"/>
              <w:spacing w:line="440" w:lineRule="exact"/>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3.2.</w:t>
            </w:r>
            <w:r>
              <w:rPr>
                <w:rFonts w:hint="eastAsia" w:cs="Times New Roman"/>
                <w:color w:val="auto"/>
                <w:sz w:val="24"/>
                <w:szCs w:val="24"/>
                <w:highlight w:val="none"/>
                <w:lang w:val="en-US" w:eastAsia="zh-CN"/>
              </w:rPr>
              <w:t>8</w:t>
            </w:r>
          </w:p>
        </w:tc>
        <w:tc>
          <w:tcPr>
            <w:tcW w:w="2779" w:type="dxa"/>
            <w:noWrap w:val="0"/>
            <w:vAlign w:val="center"/>
          </w:tcPr>
          <w:p w14:paraId="63852EB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投标报价的其他要求</w:t>
            </w:r>
          </w:p>
        </w:tc>
        <w:tc>
          <w:tcPr>
            <w:tcW w:w="5401" w:type="dxa"/>
            <w:noWrap w:val="0"/>
            <w:vAlign w:val="center"/>
          </w:tcPr>
          <w:p w14:paraId="0C5D1530">
            <w:pPr>
              <w:pageBreakBefore w:val="0"/>
              <w:kinsoku/>
              <w:wordWrap w:val="0"/>
              <w:bidi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2813B6AF">
            <w:pPr>
              <w:pageBreakBefore w:val="0"/>
              <w:kinsoku/>
              <w:wordWrap w:val="0"/>
              <w:bidi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本项目最高投标限价</w:t>
            </w:r>
            <w:r>
              <w:rPr>
                <w:rFonts w:hint="eastAsia" w:cs="Times New Roman"/>
                <w:b/>
                <w:bCs/>
                <w:color w:val="auto"/>
                <w:sz w:val="24"/>
                <w:szCs w:val="24"/>
                <w:highlight w:val="none"/>
                <w:u w:val="single"/>
                <w:lang w:val="en-US" w:eastAsia="zh-CN"/>
              </w:rPr>
              <w:t xml:space="preserve"> 15,203,992.00 </w:t>
            </w:r>
            <w:r>
              <w:rPr>
                <w:rFonts w:hint="default" w:ascii="Times New Roman" w:hAnsi="Times New Roman" w:cs="Times New Roman"/>
                <w:b/>
                <w:bCs/>
                <w:color w:val="auto"/>
                <w:sz w:val="24"/>
                <w:szCs w:val="24"/>
                <w:highlight w:val="none"/>
                <w:lang w:val="en-US" w:eastAsia="zh-CN"/>
              </w:rPr>
              <w:t>元</w:t>
            </w:r>
            <w:r>
              <w:rPr>
                <w:rFonts w:hint="default" w:ascii="Times New Roman" w:hAnsi="Times New Roman" w:cs="Times New Roman"/>
                <w:b/>
                <w:bCs/>
                <w:color w:val="auto"/>
                <w:sz w:val="24"/>
                <w:szCs w:val="24"/>
                <w:highlight w:val="none"/>
              </w:rPr>
              <w:t>，其中安全生产费用</w:t>
            </w:r>
            <w:r>
              <w:rPr>
                <w:rFonts w:hint="default" w:ascii="Times New Roman" w:hAnsi="Times New Roman" w:cs="Times New Roman"/>
                <w:b/>
                <w:bCs/>
                <w:color w:val="auto"/>
                <w:sz w:val="24"/>
                <w:szCs w:val="24"/>
                <w:highlight w:val="none"/>
                <w:lang w:eastAsia="zh-CN"/>
              </w:rPr>
              <w:t>：</w:t>
            </w:r>
            <w:r>
              <w:rPr>
                <w:rFonts w:hint="eastAsia" w:cs="Times New Roman"/>
                <w:b/>
                <w:bCs/>
                <w:color w:val="auto"/>
                <w:sz w:val="24"/>
                <w:szCs w:val="24"/>
                <w:highlight w:val="none"/>
                <w:u w:val="single"/>
                <w:lang w:val="en-US" w:eastAsia="zh-CN"/>
              </w:rPr>
              <w:t xml:space="preserve"> 228,060.00 </w:t>
            </w:r>
            <w:r>
              <w:rPr>
                <w:rFonts w:hint="default" w:ascii="Times New Roman" w:hAnsi="Times New Roman" w:cs="Times New Roman"/>
                <w:b/>
                <w:bCs/>
                <w:color w:val="auto"/>
                <w:sz w:val="24"/>
                <w:szCs w:val="24"/>
                <w:highlight w:val="none"/>
                <w:lang w:val="en-US" w:eastAsia="zh-CN"/>
              </w:rPr>
              <w:t>元</w:t>
            </w:r>
            <w:r>
              <w:rPr>
                <w:rFonts w:hint="default" w:ascii="Times New Roman" w:hAnsi="Times New Roman" w:cs="Times New Roman"/>
                <w:b/>
                <w:bCs/>
                <w:color w:val="auto"/>
                <w:sz w:val="24"/>
                <w:szCs w:val="24"/>
                <w:highlight w:val="none"/>
              </w:rPr>
              <w:t>。</w:t>
            </w:r>
          </w:p>
          <w:p w14:paraId="484B2657">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施工用电和水应由投标人自行调查解决，所需费用均应已含入工程量清单各支付子目的单价或总额价中，并计入签约合同价，招标人将不另行支付。</w:t>
            </w:r>
          </w:p>
          <w:p w14:paraId="7C53FBF0">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中标人应根据工程实际情况确定临时占地最长使用期限，临时占地的租地费用由投标人在投标阶段综合考虑并计入相关清单子目报价中，招标人将不另行支付。</w:t>
            </w:r>
          </w:p>
          <w:p w14:paraId="0F35C49E">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投标人的投标报价中应含各类保险费。各类保险费均应已含入工程量清单各支付子目的单价中，并计入签约合同价，招标人将不另行支付。</w:t>
            </w:r>
          </w:p>
          <w:p w14:paraId="42EF0707">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投标人的投标价应包括投标人完成本招标项目施工、缺陷修复工作的全部费用。投标人应依据相应的工程量计算规则和定额等计价依据计算报价。</w:t>
            </w:r>
          </w:p>
          <w:p w14:paraId="3679B349">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5</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投标人应自行踏勘现场以充分了解工地位置、情况、道路、储存空间、装卸限制及任何其他足以影响投标报价的情况，任何因忽视或误解工地情况而导致的索赔或工期延长申请将不被批准。</w:t>
            </w:r>
          </w:p>
          <w:p w14:paraId="27CB45D8">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施工期间承包人必须严格执行国家、地方政府有关施工安全管理方面的法律、法规及规章制度，同时严格执行发包人制订的本项目安全生产管理方面的规章制度、安全检查程序及施工安全管理要求，所需费用均已含入工程量清单各支付子目的单价或总额价中，并计入签约合同价，招标人将不另行支付。</w:t>
            </w:r>
          </w:p>
          <w:p w14:paraId="120156C2">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7</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投标人应充分考虑采购满足招标人要求的材料所需的一切费用，所需费用均应已含入工程量清单各支付子目的单价或总额价中，并计入签约合同价，招标人将不另行支付。</w:t>
            </w:r>
          </w:p>
          <w:p w14:paraId="43687BCC">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8</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将本项目旧钢护栏、旧标志标牌等原有设施(如有)运送到招标人指定地点以及对已有的里程碑、百米桩进行维护所需的一切费用，上述材料及设施归招标人所有，所需运输费用均已含入工程量清单各支付子目的单价或总额价中，并计入签约合同价，招标人将不另行支付。投标人在投标报价时无需单独考虑该部分费用。</w:t>
            </w:r>
          </w:p>
          <w:p w14:paraId="762CB89E">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9</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投标人应充分考虑本项目施工过程中为保证道路通行所采取的各项必要措施，所需费用均已含入工程量清单各支付子目的单价或总额价中，并计入签约合同价，招标人将不另行支付。</w:t>
            </w:r>
          </w:p>
          <w:p w14:paraId="56B92B85">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10</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投标人应充分考虑不间断施工所需的生产生活相关费用，所需费用均已含入工程量清单各支付子目的单价或总额价中，并计入签约合同价，招标人将不另行支付。</w:t>
            </w:r>
          </w:p>
          <w:p w14:paraId="31729380">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11</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本项目承包人的临时用地选址应由投标人自行调查解决，各投标人应对临时用地位置和面积合理设置施工所需的生产生活设施，所需费用均已含入工程量清单各支付子目的单价或总额价中，并计入签约合同价，招标人将不另行支付。</w:t>
            </w:r>
          </w:p>
          <w:p w14:paraId="4A4B7FB1">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12</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投标人应充分考虑本项目施工可能与其他工程等发生的干扰与交叉，并将因此带来的费用含入工程量清单各支付子目的单价或总额价中，并计入签约合同价，招标人将不另行支付。</w:t>
            </w:r>
          </w:p>
          <w:p w14:paraId="6D1DCC64">
            <w:pPr>
              <w:pageBreakBefore w:val="0"/>
              <w:kinsoku/>
              <w:wordWrap w:val="0"/>
              <w:bidi w:val="0"/>
              <w:spacing w:line="360" w:lineRule="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13</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除招标文件另有规定外，根据国家和辽宁省有关的法律、法规的规定，以投标人作为征收对象的所有税费，包括因国家实行营业税改增值税征收税费而引起的费用的变化，均包含在投标人的工程量清单各子目的综合单价中，并计入签约合同价，招标人不另行支付(增加或扣减)，中标人按照国家相关税收法律、法规出具各支付款项的增值税专用(或普通)发票。</w:t>
            </w:r>
          </w:p>
        </w:tc>
      </w:tr>
      <w:tr w14:paraId="412C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D2B37B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w:t>
            </w:r>
          </w:p>
        </w:tc>
        <w:tc>
          <w:tcPr>
            <w:tcW w:w="2779" w:type="dxa"/>
            <w:noWrap w:val="0"/>
            <w:vAlign w:val="center"/>
          </w:tcPr>
          <w:p w14:paraId="2F13450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投标有效期</w:t>
            </w:r>
          </w:p>
        </w:tc>
        <w:tc>
          <w:tcPr>
            <w:tcW w:w="5401" w:type="dxa"/>
            <w:noWrap w:val="0"/>
            <w:vAlign w:val="center"/>
          </w:tcPr>
          <w:p w14:paraId="29116EFB">
            <w:pPr>
              <w:pageBreakBefore w:val="0"/>
              <w:kinsoku/>
              <w:wordWrap w:val="0"/>
              <w:bidi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自投标人提交投标文件截止之日起计算</w:t>
            </w:r>
            <w:r>
              <w:rPr>
                <w:rFonts w:hint="eastAsia" w:cs="Times New Roman"/>
                <w:color w:val="auto"/>
                <w:sz w:val="24"/>
                <w:szCs w:val="24"/>
                <w:highlight w:val="none"/>
                <w:u w:val="single"/>
                <w:lang w:val="en-US" w:eastAsia="zh-CN"/>
              </w:rPr>
              <w:t>90</w:t>
            </w:r>
            <w:r>
              <w:rPr>
                <w:rFonts w:hint="default" w:ascii="Times New Roman" w:hAnsi="Times New Roman" w:cs="Times New Roman"/>
                <w:color w:val="auto"/>
                <w:sz w:val="24"/>
                <w:szCs w:val="24"/>
                <w:highlight w:val="none"/>
              </w:rPr>
              <w:t>日</w:t>
            </w:r>
          </w:p>
        </w:tc>
      </w:tr>
      <w:tr w14:paraId="33D9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93DDA2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3.4.1</w:t>
            </w:r>
          </w:p>
        </w:tc>
        <w:tc>
          <w:tcPr>
            <w:tcW w:w="2779" w:type="dxa"/>
            <w:noWrap w:val="0"/>
            <w:vAlign w:val="center"/>
          </w:tcPr>
          <w:p w14:paraId="7E673530">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投标保证金</w:t>
            </w:r>
          </w:p>
        </w:tc>
        <w:tc>
          <w:tcPr>
            <w:tcW w:w="5401" w:type="dxa"/>
            <w:noWrap w:val="0"/>
            <w:vAlign w:val="center"/>
          </w:tcPr>
          <w:p w14:paraId="6CB215D6">
            <w:pPr>
              <w:pStyle w:val="16"/>
              <w:topLinePunct/>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是否要求投标人递交投标保证金：</w:t>
            </w:r>
          </w:p>
          <w:p w14:paraId="1E7F4CFA">
            <w:pPr>
              <w:pStyle w:val="16"/>
              <w:topLinePunct/>
              <w:spacing w:line="360" w:lineRule="auto"/>
              <w:rPr>
                <w:rFonts w:hint="default" w:ascii="Times New Roman" w:hAnsi="Times New Roman" w:cs="Times New Roman"/>
                <w:color w:val="auto"/>
                <w:sz w:val="24"/>
                <w:szCs w:val="24"/>
                <w:highlight w:val="none"/>
                <w:lang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要求</w:t>
            </w:r>
            <w:r>
              <w:rPr>
                <w:rFonts w:hint="default" w:ascii="Times New Roman" w:hAnsi="Times New Roman" w:cs="Times New Roman"/>
                <w:color w:val="auto"/>
                <w:sz w:val="24"/>
                <w:szCs w:val="24"/>
                <w:highlight w:val="none"/>
                <w:lang w:eastAsia="zh-CN"/>
              </w:rPr>
              <w:t>：</w:t>
            </w:r>
          </w:p>
          <w:p w14:paraId="0CE868F4">
            <w:pPr>
              <w:pStyle w:val="16"/>
              <w:topLinePunct/>
              <w:spacing w:line="360" w:lineRule="auto"/>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投标保证金的金额：</w:t>
            </w:r>
            <w:r>
              <w:rPr>
                <w:rFonts w:hint="eastAsia" w:ascii="Times New Roman" w:cs="Times New Roman"/>
                <w:color w:val="auto"/>
                <w:sz w:val="24"/>
                <w:szCs w:val="24"/>
                <w:highlight w:val="none"/>
                <w:u w:val="single"/>
                <w:lang w:val="en-US" w:eastAsia="zh-CN"/>
              </w:rPr>
              <w:t>15万元</w:t>
            </w:r>
          </w:p>
          <w:p w14:paraId="2482C74F">
            <w:pPr>
              <w:pStyle w:val="16"/>
              <w:topLinePunct/>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投标保证金</w:t>
            </w:r>
            <w:r>
              <w:rPr>
                <w:rFonts w:hint="default" w:ascii="Times New Roman" w:hAnsi="Times New Roman" w:cs="Times New Roman"/>
                <w:color w:val="auto"/>
                <w:sz w:val="24"/>
                <w:szCs w:val="24"/>
                <w:highlight w:val="none"/>
                <w:lang w:eastAsia="zh-CN"/>
              </w:rPr>
              <w:t>的</w:t>
            </w:r>
            <w:r>
              <w:rPr>
                <w:rFonts w:hint="default" w:ascii="Times New Roman" w:hAnsi="Times New Roman" w:cs="Times New Roman"/>
                <w:color w:val="auto"/>
                <w:sz w:val="24"/>
                <w:szCs w:val="24"/>
                <w:highlight w:val="none"/>
              </w:rPr>
              <w:t>形式</w:t>
            </w:r>
          </w:p>
          <w:p w14:paraId="1A82FE7E">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采用现金（银行电汇或网银转账或转账支票）形式：</w:t>
            </w:r>
          </w:p>
          <w:p w14:paraId="663B2717">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default" w:ascii="Times New Roman" w:hAnsi="Times New Roman" w:eastAsia="黑体" w:cs="Times New Roman"/>
                <w:bCs/>
                <w:i/>
                <w:iCs/>
                <w:color w:val="auto"/>
                <w:sz w:val="24"/>
                <w:szCs w:val="24"/>
                <w:highlight w:val="none"/>
              </w:rPr>
            </w:pPr>
            <w:r>
              <w:rPr>
                <w:rFonts w:hint="default" w:ascii="Times New Roman" w:hAnsi="Times New Roman" w:cs="Times New Roman"/>
                <w:color w:val="auto"/>
                <w:sz w:val="24"/>
                <w:szCs w:val="24"/>
                <w:highlight w:val="none"/>
              </w:rPr>
              <w:t>招标人指定的开户银行及账号如下：</w:t>
            </w:r>
          </w:p>
          <w:p w14:paraId="70AFFEE5">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开户银行：</w:t>
            </w:r>
            <w:r>
              <w:rPr>
                <w:rFonts w:hint="eastAsia" w:cs="Times New Roman"/>
                <w:color w:val="auto"/>
                <w:sz w:val="24"/>
                <w:szCs w:val="24"/>
                <w:highlight w:val="none"/>
                <w:u w:val="single"/>
                <w:lang w:eastAsia="zh-CN"/>
              </w:rPr>
              <w:t>中国光大银行沈阳南湖科技开发区支行（开户行行号：303221006711）</w:t>
            </w:r>
          </w:p>
          <w:p w14:paraId="5758FDEB">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账户名称：</w:t>
            </w:r>
            <w:r>
              <w:rPr>
                <w:rFonts w:hint="eastAsia" w:cs="Times New Roman"/>
                <w:color w:val="auto"/>
                <w:sz w:val="24"/>
                <w:szCs w:val="24"/>
                <w:highlight w:val="none"/>
                <w:u w:val="single"/>
                <w:lang w:eastAsia="zh-CN"/>
              </w:rPr>
              <w:t>辽宁君阳招标代理有限公司</w:t>
            </w:r>
          </w:p>
          <w:p w14:paraId="5AF3A010">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rPr>
              <w:t>账号：</w:t>
            </w:r>
            <w:r>
              <w:rPr>
                <w:rFonts w:hint="eastAsia" w:cs="Times New Roman"/>
                <w:color w:val="auto"/>
                <w:sz w:val="24"/>
                <w:szCs w:val="24"/>
                <w:highlight w:val="none"/>
                <w:u w:val="single"/>
                <w:lang w:val="en-US" w:eastAsia="zh-CN"/>
              </w:rPr>
              <w:t>75680188000191778</w:t>
            </w:r>
          </w:p>
          <w:p w14:paraId="45ECC0DD">
            <w:pPr>
              <w:keepNext w:val="0"/>
              <w:keepLines w:val="0"/>
              <w:pageBreakBefore w:val="0"/>
              <w:widowControl w:val="0"/>
              <w:kinsoku/>
              <w:wordWrap/>
              <w:overflow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为确保在</w:t>
            </w:r>
            <w:r>
              <w:rPr>
                <w:rFonts w:hint="default" w:ascii="Times New Roman" w:hAnsi="Times New Roman" w:cs="Times New Roman"/>
                <w:color w:val="auto"/>
                <w:sz w:val="24"/>
                <w:szCs w:val="24"/>
                <w:highlight w:val="none"/>
                <w:lang w:val="en-US" w:eastAsia="zh-CN"/>
              </w:rPr>
              <w:t>规定</w:t>
            </w:r>
            <w:r>
              <w:rPr>
                <w:rFonts w:hint="default" w:ascii="Times New Roman" w:hAnsi="Times New Roman" w:cs="Times New Roman"/>
                <w:color w:val="auto"/>
                <w:sz w:val="24"/>
                <w:szCs w:val="24"/>
                <w:highlight w:val="none"/>
              </w:rPr>
              <w:t>时间前投标保证金能到达招标人指定账户，投标人在汇款时须充分考虑银行汇款的时间误差风险，否则所造成的后果由投标人自负。</w:t>
            </w:r>
          </w:p>
          <w:p w14:paraId="6D3ED587">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pacing w:val="-8"/>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pacing w:val="-8"/>
                <w:sz w:val="24"/>
                <w:szCs w:val="24"/>
                <w:highlight w:val="none"/>
              </w:rPr>
              <w:t>采用银行保函</w:t>
            </w:r>
            <w:r>
              <w:rPr>
                <w:rFonts w:hint="default" w:ascii="Times New Roman" w:hAnsi="Times New Roman" w:cs="Times New Roman"/>
                <w:color w:val="auto"/>
                <w:spacing w:val="-8"/>
                <w:sz w:val="24"/>
                <w:szCs w:val="24"/>
                <w:highlight w:val="none"/>
                <w:lang w:val="en-US" w:eastAsia="zh-CN"/>
              </w:rPr>
              <w:t>形式：</w:t>
            </w:r>
          </w:p>
          <w:p w14:paraId="6F2747E2">
            <w:pPr>
              <w:pStyle w:val="16"/>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出具保函的银行级别：</w:t>
            </w:r>
            <w:r>
              <w:rPr>
                <w:rFonts w:hint="eastAsia" w:ascii="Times New Roman" w:cs="Times New Roman"/>
                <w:color w:val="auto"/>
                <w:sz w:val="24"/>
                <w:szCs w:val="24"/>
                <w:highlight w:val="none"/>
                <w:u w:val="single"/>
                <w:lang w:val="en-US" w:eastAsia="zh-CN"/>
              </w:rPr>
              <w:t xml:space="preserve">  /   </w:t>
            </w:r>
          </w:p>
          <w:p w14:paraId="38300250">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银行保函应采用招标文件提供的格式，若采用银行自有格式，其提交的银行保函内容不得对担保金额、担保范围、担保期限、担保内容作出降低担保效力的实质性修改。</w:t>
            </w:r>
          </w:p>
          <w:p w14:paraId="1F62C2B4">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采用电子保函形式：</w:t>
            </w:r>
          </w:p>
          <w:p w14:paraId="652A6F42">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保函应由投标人自主</w:t>
            </w:r>
            <w:r>
              <w:rPr>
                <w:rFonts w:hint="eastAsia" w:ascii="Times New Roman" w:cs="Times New Roman"/>
                <w:b w:val="0"/>
                <w:bCs w:val="0"/>
                <w:color w:val="auto"/>
                <w:sz w:val="24"/>
                <w:szCs w:val="24"/>
                <w:highlight w:val="none"/>
                <w:lang w:val="en-US" w:eastAsia="zh-CN"/>
              </w:rPr>
              <w:t>选择</w:t>
            </w:r>
            <w:r>
              <w:rPr>
                <w:rFonts w:hint="default" w:ascii="Times New Roman" w:hAnsi="Times New Roman" w:cs="Times New Roman"/>
                <w:b w:val="0"/>
                <w:bCs w:val="0"/>
                <w:color w:val="auto"/>
                <w:sz w:val="24"/>
                <w:szCs w:val="24"/>
                <w:highlight w:val="none"/>
                <w:lang w:val="en-US" w:eastAsia="zh-CN"/>
              </w:rPr>
              <w:t>具有金融服务担保能力的机构出具，保函办理机构应提供电子化保函验真渠道和保函财务费用支付</w:t>
            </w:r>
            <w:r>
              <w:rPr>
                <w:rFonts w:hint="eastAsia" w:ascii="Times New Roman" w:cs="Times New Roman"/>
                <w:b w:val="0"/>
                <w:bCs w:val="0"/>
                <w:color w:val="auto"/>
                <w:sz w:val="24"/>
                <w:szCs w:val="24"/>
                <w:highlight w:val="none"/>
                <w:lang w:val="en-US" w:eastAsia="zh-CN"/>
              </w:rPr>
              <w:t>凭证（保函财务费用应从投标人基本账户支出）</w:t>
            </w:r>
            <w:r>
              <w:rPr>
                <w:rFonts w:hint="default" w:ascii="Times New Roman" w:hAnsi="Times New Roman" w:cs="Times New Roman"/>
                <w:b w:val="0"/>
                <w:bCs w:val="0"/>
                <w:color w:val="auto"/>
                <w:sz w:val="24"/>
                <w:szCs w:val="24"/>
                <w:highlight w:val="none"/>
                <w:lang w:val="en-US" w:eastAsia="zh-CN"/>
              </w:rPr>
              <w:t>。</w:t>
            </w:r>
          </w:p>
          <w:p w14:paraId="5704067A">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Times New Roman" w:cs="Times New Roman"/>
                <w:color w:val="auto"/>
                <w:sz w:val="24"/>
                <w:szCs w:val="24"/>
                <w:highlight w:val="none"/>
                <w:u w:val="singl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其他</w:t>
            </w:r>
            <w:r>
              <w:rPr>
                <w:rFonts w:hint="eastAsia" w:ascii="Times New Roman" w:cs="Times New Roman"/>
                <w:color w:val="auto"/>
                <w:sz w:val="24"/>
                <w:szCs w:val="24"/>
                <w:highlight w:val="none"/>
                <w:lang w:val="en-US" w:eastAsia="zh-CN"/>
              </w:rPr>
              <w:t>要求</w:t>
            </w:r>
            <w:r>
              <w:rPr>
                <w:rFonts w:hint="default" w:ascii="Times New Roman" w:hAnsi="Times New Roman" w:cs="Times New Roman"/>
                <w:color w:val="auto"/>
                <w:sz w:val="24"/>
                <w:szCs w:val="24"/>
                <w:highlight w:val="none"/>
                <w:lang w:val="en-US" w:eastAsia="zh-CN"/>
              </w:rPr>
              <w:t>：</w:t>
            </w:r>
            <w:r>
              <w:rPr>
                <w:rFonts w:hint="eastAsia" w:ascii="Times New Roman" w:cs="Times New Roman"/>
                <w:color w:val="auto"/>
                <w:sz w:val="24"/>
                <w:szCs w:val="24"/>
                <w:highlight w:val="none"/>
                <w:u w:val="single"/>
                <w:lang w:val="en-US" w:eastAsia="zh-CN"/>
              </w:rPr>
              <w:t>1.采用电汇或转账方式缴纳的，应在投标截止时间前通过企业基本户缴纳至指定账户，并按照招标文件中投标文件格式要求填写缴纳信息和上传缴纳凭证、基本户开户许可证等证明材料，投标保证金截止时间之后递交的投标保证金将被拒绝。请投标人在汇款时务必注明所投标项目名称及标段（可简写），否则因款项用途不明导致投标无效等后果由投标人自行承担；</w:t>
            </w:r>
          </w:p>
          <w:p w14:paraId="7AC928FF">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Times New Roman" w:cs="Times New Roman"/>
                <w:color w:val="auto"/>
                <w:sz w:val="24"/>
                <w:szCs w:val="24"/>
                <w:highlight w:val="none"/>
                <w:u w:val="single"/>
                <w:lang w:val="en-US" w:eastAsia="zh-CN"/>
              </w:rPr>
            </w:pPr>
            <w:r>
              <w:rPr>
                <w:rFonts w:hint="eastAsia" w:ascii="Times New Roman" w:cs="Times New Roman"/>
                <w:color w:val="auto"/>
                <w:sz w:val="24"/>
                <w:szCs w:val="24"/>
                <w:highlight w:val="none"/>
                <w:u w:val="single"/>
                <w:lang w:val="en-US" w:eastAsia="zh-CN"/>
              </w:rPr>
              <w:t>2.使用银行保函或担保保函形式缴纳投标保证金，保函需制作为电子图片，附加在“投标文件格式”指定位置。投标人提供的保函需注明所投标项目、标段名称，否则，由此导致投标无效等后果由投标人自行承担。保函的有效期应与投标有效期一致或长于投标有效期；</w:t>
            </w:r>
          </w:p>
          <w:p w14:paraId="6658F0C0">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Times New Roman" w:cs="Times New Roman"/>
                <w:color w:val="auto"/>
                <w:sz w:val="24"/>
                <w:szCs w:val="24"/>
                <w:highlight w:val="none"/>
                <w:u w:val="single"/>
                <w:lang w:val="en-US" w:eastAsia="zh-CN"/>
              </w:rPr>
            </w:pPr>
            <w:r>
              <w:rPr>
                <w:rFonts w:hint="eastAsia" w:ascii="Times New Roman" w:cs="Times New Roman"/>
                <w:color w:val="auto"/>
                <w:sz w:val="24"/>
                <w:szCs w:val="24"/>
                <w:highlight w:val="none"/>
                <w:u w:val="single"/>
                <w:lang w:val="en-US" w:eastAsia="zh-CN"/>
              </w:rPr>
              <w:t>3.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w:t>
            </w:r>
          </w:p>
          <w:p w14:paraId="024EE7FD">
            <w:pPr>
              <w:pStyle w:val="16"/>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Times New Roman" w:hAnsi="Times New Roman" w:cs="Times New Roman"/>
                <w:color w:val="auto"/>
                <w:sz w:val="24"/>
                <w:szCs w:val="24"/>
                <w:highlight w:val="none"/>
                <w:u w:val="single"/>
                <w:lang w:val="en-US" w:eastAsia="zh-CN"/>
              </w:rPr>
            </w:pPr>
            <w:r>
              <w:rPr>
                <w:rFonts w:hint="eastAsia" w:ascii="Times New Roman" w:cs="Times New Roman"/>
                <w:color w:val="auto"/>
                <w:sz w:val="24"/>
                <w:szCs w:val="24"/>
                <w:highlight w:val="none"/>
                <w:u w:val="single"/>
                <w:lang w:val="en-US" w:eastAsia="zh-CN"/>
              </w:rPr>
              <w:t>4.投标人应按照招标文件中给定的投标文件格式完整准确填写投标保证金缴纳信息、缴纳凭证等证明材料，否则由此造成的不一致或错误由投标人自行承担。</w:t>
            </w:r>
          </w:p>
          <w:p w14:paraId="7B27CA9A">
            <w:pPr>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不要求</w:t>
            </w:r>
          </w:p>
        </w:tc>
      </w:tr>
      <w:tr w14:paraId="7A5B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021E7C1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3.4.3</w:t>
            </w:r>
          </w:p>
        </w:tc>
        <w:tc>
          <w:tcPr>
            <w:tcW w:w="2779" w:type="dxa"/>
            <w:noWrap w:val="0"/>
            <w:vAlign w:val="center"/>
          </w:tcPr>
          <w:p w14:paraId="06211757">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投标保证金利息计算原则</w:t>
            </w:r>
          </w:p>
        </w:tc>
        <w:tc>
          <w:tcPr>
            <w:tcW w:w="5401" w:type="dxa"/>
            <w:noWrap w:val="0"/>
            <w:vAlign w:val="center"/>
          </w:tcPr>
          <w:p w14:paraId="0B9F1783">
            <w:pPr>
              <w:pStyle w:val="16"/>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eastAsia" w:hAnsi="宋体" w:cs="宋体"/>
                <w:color w:val="auto"/>
                <w:spacing w:val="-6"/>
                <w:highlight w:val="none"/>
                <w:u w:val="single"/>
                <w:lang w:val="en-US" w:eastAsia="zh-CN"/>
              </w:rPr>
              <w:t xml:space="preserve">  /  </w:t>
            </w:r>
          </w:p>
        </w:tc>
      </w:tr>
      <w:tr w14:paraId="0C4D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B0942D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3.4.4</w:t>
            </w:r>
          </w:p>
        </w:tc>
        <w:tc>
          <w:tcPr>
            <w:tcW w:w="2779" w:type="dxa"/>
            <w:noWrap w:val="0"/>
            <w:vAlign w:val="center"/>
          </w:tcPr>
          <w:p w14:paraId="6427A45C">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其他可以不予退还投标保证金的情形</w:t>
            </w:r>
          </w:p>
        </w:tc>
        <w:tc>
          <w:tcPr>
            <w:tcW w:w="5401" w:type="dxa"/>
            <w:noWrap w:val="0"/>
            <w:vAlign w:val="center"/>
          </w:tcPr>
          <w:p w14:paraId="21188BAC">
            <w:pPr>
              <w:pStyle w:val="16"/>
              <w:pageBreakBefore w:val="0"/>
              <w:kinsoku/>
              <w:wordWrap w:val="0"/>
              <w:topLinePunct/>
              <w:bidi w:val="0"/>
              <w:spacing w:line="440" w:lineRule="exact"/>
              <w:rPr>
                <w:rFonts w:hint="eastAsia"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有下列情形之一的，投标保证金可不予退还：（1）投标人不接受依据评标办法的规定对其投标文件中细微偏差进行澄清和补正；</w:t>
            </w:r>
          </w:p>
          <w:p w14:paraId="17CB32D1">
            <w:pPr>
              <w:pStyle w:val="16"/>
              <w:pageBreakBefore w:val="0"/>
              <w:numPr>
                <w:ilvl w:val="0"/>
                <w:numId w:val="0"/>
              </w:numPr>
              <w:kinsoku/>
              <w:wordWrap w:val="0"/>
              <w:topLinePunct/>
              <w:bidi w:val="0"/>
              <w:spacing w:line="440" w:lineRule="exact"/>
              <w:rPr>
                <w:rFonts w:hint="eastAsia" w:ascii="宋体" w:hAnsi="宋体" w:eastAsia="宋体" w:cs="宋体"/>
                <w:color w:val="auto"/>
                <w:spacing w:val="2"/>
                <w:sz w:val="23"/>
                <w:szCs w:val="23"/>
                <w:highlight w:val="none"/>
              </w:rPr>
            </w:pPr>
            <w:r>
              <w:rPr>
                <w:rFonts w:hint="eastAsia" w:ascii="宋体" w:hAnsi="宋体" w:eastAsia="宋体" w:cs="宋体"/>
                <w:color w:val="auto"/>
                <w:spacing w:val="2"/>
                <w:kern w:val="2"/>
                <w:sz w:val="23"/>
                <w:szCs w:val="23"/>
                <w:highlight w:val="none"/>
                <w:lang w:val="en-US" w:eastAsia="zh-CN" w:bidi="ar-SA"/>
              </w:rPr>
              <w:t>（</w:t>
            </w:r>
            <w:r>
              <w:rPr>
                <w:rFonts w:hint="eastAsia" w:hAnsi="宋体" w:cs="宋体"/>
                <w:color w:val="auto"/>
                <w:spacing w:val="2"/>
                <w:kern w:val="2"/>
                <w:sz w:val="23"/>
                <w:szCs w:val="23"/>
                <w:highlight w:val="none"/>
                <w:lang w:val="en-US" w:eastAsia="zh-CN" w:bidi="ar-SA"/>
              </w:rPr>
              <w:t>2</w:t>
            </w:r>
            <w:r>
              <w:rPr>
                <w:rFonts w:hint="eastAsia" w:ascii="宋体" w:hAnsi="宋体" w:eastAsia="宋体" w:cs="宋体"/>
                <w:color w:val="auto"/>
                <w:spacing w:val="2"/>
                <w:kern w:val="2"/>
                <w:sz w:val="23"/>
                <w:szCs w:val="23"/>
                <w:highlight w:val="none"/>
                <w:lang w:val="en-US" w:eastAsia="zh-CN" w:bidi="ar-SA"/>
              </w:rPr>
              <w:t>）</w:t>
            </w:r>
            <w:r>
              <w:rPr>
                <w:rFonts w:hint="eastAsia" w:ascii="宋体" w:hAnsi="宋体" w:eastAsia="宋体" w:cs="宋体"/>
                <w:color w:val="auto"/>
                <w:spacing w:val="2"/>
                <w:sz w:val="23"/>
                <w:szCs w:val="23"/>
                <w:highlight w:val="none"/>
              </w:rPr>
              <w:t>投标人在规定的投标有效期内撤销或修改其投标文件，包括在收到中标通知书前放弃中标候选人资格的情形；</w:t>
            </w:r>
          </w:p>
          <w:p w14:paraId="36825166">
            <w:pPr>
              <w:pStyle w:val="16"/>
              <w:pageBreakBefore w:val="0"/>
              <w:numPr>
                <w:ilvl w:val="0"/>
                <w:numId w:val="0"/>
              </w:numPr>
              <w:kinsoku/>
              <w:wordWrap w:val="0"/>
              <w:topLinePunct/>
              <w:bidi w:val="0"/>
              <w:spacing w:line="440" w:lineRule="exact"/>
              <w:rPr>
                <w:rFonts w:hint="eastAsia"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（3）中标人在收到中标通知书后，无正当理由拒签合同协议书；</w:t>
            </w:r>
          </w:p>
          <w:p w14:paraId="1AA4A176">
            <w:pPr>
              <w:pStyle w:val="16"/>
              <w:pageBreakBefore w:val="0"/>
              <w:numPr>
                <w:ilvl w:val="0"/>
                <w:numId w:val="0"/>
              </w:numPr>
              <w:kinsoku/>
              <w:wordWrap w:val="0"/>
              <w:topLinePunct/>
              <w:bidi w:val="0"/>
              <w:spacing w:line="440" w:lineRule="exact"/>
              <w:rPr>
                <w:rFonts w:hint="eastAsia"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（4）中标人在签订合同时向招标人提出附加条件，或不按照招标文件要求提交履约保证金；</w:t>
            </w:r>
          </w:p>
          <w:p w14:paraId="3A81C00B">
            <w:pPr>
              <w:pStyle w:val="16"/>
              <w:pageBreakBefore w:val="0"/>
              <w:numPr>
                <w:ilvl w:val="0"/>
                <w:numId w:val="0"/>
              </w:numPr>
              <w:kinsoku/>
              <w:wordWrap w:val="0"/>
              <w:topLinePunct/>
              <w:bidi w:val="0"/>
              <w:spacing w:line="440" w:lineRule="exact"/>
              <w:rPr>
                <w:rFonts w:hint="eastAsia" w:ascii="宋体" w:hAnsi="宋体" w:eastAsia="宋体" w:cs="宋体"/>
                <w:color w:val="auto"/>
                <w:spacing w:val="2"/>
                <w:sz w:val="23"/>
                <w:szCs w:val="23"/>
                <w:highlight w:val="none"/>
              </w:rPr>
            </w:pPr>
            <w:r>
              <w:rPr>
                <w:rFonts w:hint="eastAsia" w:ascii="宋体" w:hAnsi="宋体" w:eastAsia="宋体" w:cs="宋体"/>
                <w:color w:val="auto"/>
                <w:spacing w:val="2"/>
                <w:sz w:val="23"/>
                <w:szCs w:val="23"/>
                <w:highlight w:val="none"/>
              </w:rPr>
              <w:t>（5）投标人提交了虚假资料；</w:t>
            </w:r>
          </w:p>
          <w:p w14:paraId="577FF709">
            <w:pPr>
              <w:pStyle w:val="16"/>
              <w:pageBreakBefore w:val="0"/>
              <w:numPr>
                <w:ilvl w:val="0"/>
                <w:numId w:val="0"/>
              </w:numPr>
              <w:kinsoku/>
              <w:wordWrap w:val="0"/>
              <w:topLinePunct/>
              <w:bidi w:val="0"/>
              <w:spacing w:line="440" w:lineRule="exact"/>
              <w:rPr>
                <w:rFonts w:hint="eastAsia" w:ascii="Times New Roman" w:hAnsi="Times New Roman" w:eastAsia="宋体" w:cs="Times New Roman"/>
                <w:color w:val="auto"/>
                <w:sz w:val="24"/>
                <w:szCs w:val="24"/>
                <w:highlight w:val="none"/>
                <w:u w:val="single"/>
                <w:lang w:eastAsia="zh-CN"/>
              </w:rPr>
            </w:pPr>
            <w:r>
              <w:rPr>
                <w:rFonts w:hint="eastAsia" w:ascii="宋体" w:hAnsi="宋体" w:eastAsia="宋体" w:cs="宋体"/>
                <w:color w:val="auto"/>
                <w:spacing w:val="2"/>
                <w:sz w:val="23"/>
                <w:szCs w:val="23"/>
                <w:highlight w:val="none"/>
              </w:rPr>
              <w:t>（6）投标人有串标、围标、“挂靠”其他单位参与投标，贿赂评标专家或招标工作人员，以及其他违反国家招标投标管理有关规定的行为</w:t>
            </w:r>
            <w:r>
              <w:rPr>
                <w:rFonts w:hint="eastAsia" w:hAnsi="宋体" w:cs="宋体"/>
                <w:color w:val="auto"/>
                <w:spacing w:val="2"/>
                <w:sz w:val="23"/>
                <w:szCs w:val="23"/>
                <w:highlight w:val="none"/>
                <w:lang w:eastAsia="zh-CN"/>
              </w:rPr>
              <w:t>。</w:t>
            </w:r>
          </w:p>
        </w:tc>
      </w:tr>
      <w:tr w14:paraId="3A99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64632F6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w:t>
            </w:r>
          </w:p>
        </w:tc>
        <w:tc>
          <w:tcPr>
            <w:tcW w:w="2779" w:type="dxa"/>
            <w:noWrap w:val="0"/>
            <w:vAlign w:val="center"/>
          </w:tcPr>
          <w:p w14:paraId="4CD232C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资格审查资料的特殊要求</w:t>
            </w:r>
          </w:p>
        </w:tc>
        <w:tc>
          <w:tcPr>
            <w:tcW w:w="5401" w:type="dxa"/>
            <w:noWrap w:val="0"/>
            <w:vAlign w:val="center"/>
          </w:tcPr>
          <w:p w14:paraId="2FCD4E41">
            <w:pPr>
              <w:pStyle w:val="16"/>
              <w:pageBreakBefore w:val="0"/>
              <w:kinsoku/>
              <w:wordWrap w:val="0"/>
              <w:topLinePunct/>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无</w:t>
            </w:r>
          </w:p>
          <w:p w14:paraId="07F4B17A">
            <w:pPr>
              <w:pStyle w:val="16"/>
              <w:pageBreakBefore w:val="0"/>
              <w:kinsoku/>
              <w:wordWrap w:val="0"/>
              <w:topLinePunct/>
              <w:bidi w:val="0"/>
              <w:spacing w:line="440" w:lineRule="exact"/>
              <w:rPr>
                <w:rFonts w:hint="default" w:ascii="Times New Roman" w:hAnsi="Times New Roman" w:cs="Times New Roman"/>
                <w:color w:val="auto"/>
                <w:sz w:val="24"/>
                <w:szCs w:val="24"/>
                <w:highlight w:val="none"/>
                <w:u w:val="singl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有，具体要求：</w:t>
            </w:r>
            <w:r>
              <w:rPr>
                <w:rFonts w:hint="default" w:ascii="Times New Roman" w:hAnsi="Times New Roman" w:cs="Times New Roman"/>
                <w:color w:val="auto"/>
                <w:sz w:val="24"/>
                <w:szCs w:val="24"/>
                <w:highlight w:val="none"/>
                <w:u w:val="single"/>
                <w:lang w:val="en-US" w:eastAsia="zh-CN"/>
              </w:rPr>
              <w:t>投标文件“资格审查资料”各项表格应提供的证明材料以本附表各附录中的规定为准</w:t>
            </w:r>
            <w:r>
              <w:rPr>
                <w:rFonts w:hint="eastAsia" w:ascii="Times New Roman" w:cs="Times New Roman"/>
                <w:color w:val="auto"/>
                <w:sz w:val="24"/>
                <w:szCs w:val="24"/>
                <w:highlight w:val="none"/>
                <w:u w:val="single"/>
                <w:lang w:val="en-US" w:eastAsia="zh-CN"/>
              </w:rPr>
              <w:t>。</w:t>
            </w:r>
          </w:p>
        </w:tc>
      </w:tr>
      <w:tr w14:paraId="43F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CC8574D">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w:t>
            </w:r>
          </w:p>
        </w:tc>
        <w:tc>
          <w:tcPr>
            <w:tcW w:w="2779" w:type="dxa"/>
            <w:noWrap w:val="0"/>
            <w:vAlign w:val="center"/>
          </w:tcPr>
          <w:p w14:paraId="63957D59">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近年财务状况的年份要求</w:t>
            </w:r>
          </w:p>
        </w:tc>
        <w:tc>
          <w:tcPr>
            <w:tcW w:w="5401" w:type="dxa"/>
            <w:noWrap w:val="0"/>
            <w:vAlign w:val="center"/>
          </w:tcPr>
          <w:p w14:paraId="5E0C7DE6">
            <w:pPr>
              <w:pageBreakBefore w:val="0"/>
              <w:kinsoku/>
              <w:wordWrap w:val="0"/>
              <w:bidi w:val="0"/>
              <w:spacing w:line="360" w:lineRule="atLeast"/>
              <w:rPr>
                <w:rFonts w:hint="default" w:ascii="Times New Roman" w:hAnsi="Times New Roman" w:cs="Times New Roman"/>
                <w:color w:val="auto"/>
                <w:sz w:val="24"/>
                <w:szCs w:val="24"/>
                <w:highlight w:val="none"/>
              </w:rPr>
            </w:pPr>
            <w:r>
              <w:rPr>
                <w:rFonts w:hint="default" w:ascii="Times New Roman" w:hAnsi="Times New Roman" w:eastAsia="黑体" w:cs="Times New Roman"/>
                <w:color w:val="auto"/>
                <w:sz w:val="24"/>
                <w:szCs w:val="24"/>
                <w:highlight w:val="none"/>
                <w:u w:val="single"/>
              </w:rPr>
              <w:t xml:space="preserve">  </w:t>
            </w:r>
            <w:r>
              <w:rPr>
                <w:rFonts w:hint="eastAsia" w:eastAsia="黑体" w:cs="Times New Roman"/>
                <w:color w:val="auto"/>
                <w:sz w:val="24"/>
                <w:szCs w:val="24"/>
                <w:highlight w:val="none"/>
                <w:u w:val="single"/>
                <w:lang w:val="en-US" w:eastAsia="zh-CN"/>
              </w:rPr>
              <w:t>/</w:t>
            </w:r>
            <w:r>
              <w:rPr>
                <w:rFonts w:hint="default" w:ascii="Times New Roman" w:hAnsi="Times New Roman" w:eastAsia="黑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年至</w:t>
            </w:r>
            <w:r>
              <w:rPr>
                <w:rFonts w:hint="default" w:ascii="Times New Roman" w:hAnsi="Times New Roman" w:eastAsia="黑体" w:cs="Times New Roman"/>
                <w:color w:val="auto"/>
                <w:sz w:val="24"/>
                <w:szCs w:val="24"/>
                <w:highlight w:val="none"/>
                <w:u w:val="single"/>
              </w:rPr>
              <w:t xml:space="preserve">   </w:t>
            </w:r>
            <w:r>
              <w:rPr>
                <w:rFonts w:hint="eastAsia" w:eastAsia="黑体" w:cs="Times New Roman"/>
                <w:color w:val="auto"/>
                <w:sz w:val="24"/>
                <w:szCs w:val="24"/>
                <w:highlight w:val="none"/>
                <w:u w:val="single"/>
                <w:lang w:val="en-US" w:eastAsia="zh-CN"/>
              </w:rPr>
              <w:t xml:space="preserve">/ </w:t>
            </w:r>
            <w:r>
              <w:rPr>
                <w:rFonts w:hint="default" w:ascii="Times New Roman" w:hAnsi="Times New Roman" w:eastAsia="黑体"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p>
        </w:tc>
      </w:tr>
      <w:tr w14:paraId="53AE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0A7020B">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w:t>
            </w:r>
          </w:p>
        </w:tc>
        <w:tc>
          <w:tcPr>
            <w:tcW w:w="2779" w:type="dxa"/>
            <w:noWrap w:val="0"/>
            <w:vAlign w:val="center"/>
          </w:tcPr>
          <w:p w14:paraId="2428FB7F">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近年完成的类似项目情况的时间要求</w:t>
            </w:r>
          </w:p>
        </w:tc>
        <w:tc>
          <w:tcPr>
            <w:tcW w:w="5401" w:type="dxa"/>
            <w:noWrap w:val="0"/>
            <w:vAlign w:val="center"/>
          </w:tcPr>
          <w:p w14:paraId="5E90396A">
            <w:pPr>
              <w:pageBreakBefore w:val="0"/>
              <w:kinsoku/>
              <w:wordWrap w:val="0"/>
              <w:bidi w:val="0"/>
              <w:spacing w:line="360" w:lineRule="atLeast"/>
              <w:rPr>
                <w:rFonts w:hint="default" w:ascii="Times New Roman" w:hAnsi="Times New Roman" w:cs="Times New Roman"/>
                <w:color w:val="auto"/>
                <w:sz w:val="24"/>
                <w:szCs w:val="24"/>
                <w:highlight w:val="none"/>
                <w:shd w:val="clear" w:color="auto" w:fill="auto"/>
              </w:rPr>
            </w:pPr>
            <w:r>
              <w:rPr>
                <w:rFonts w:hint="default" w:ascii="Times New Roman" w:hAnsi="Times New Roman" w:eastAsia="黑体" w:cs="Times New Roman"/>
                <w:color w:val="auto"/>
                <w:sz w:val="24"/>
                <w:szCs w:val="24"/>
                <w:highlight w:val="none"/>
                <w:u w:val="single"/>
                <w:shd w:val="clear" w:color="auto" w:fill="auto"/>
              </w:rPr>
              <w:t xml:space="preserve">  </w:t>
            </w:r>
            <w:r>
              <w:rPr>
                <w:rFonts w:hint="eastAsia" w:eastAsia="黑体" w:cs="Times New Roman"/>
                <w:color w:val="auto"/>
                <w:sz w:val="24"/>
                <w:szCs w:val="24"/>
                <w:highlight w:val="none"/>
                <w:u w:val="single"/>
                <w:shd w:val="clear" w:color="auto" w:fill="auto"/>
                <w:lang w:val="en-US" w:eastAsia="zh-CN"/>
              </w:rPr>
              <w:t>2023</w:t>
            </w:r>
            <w:r>
              <w:rPr>
                <w:rFonts w:hint="default" w:ascii="Times New Roman" w:hAnsi="Times New Roman" w:eastAsia="黑体" w:cs="Times New Roman"/>
                <w:color w:val="auto"/>
                <w:sz w:val="24"/>
                <w:szCs w:val="24"/>
                <w:highlight w:val="none"/>
                <w:u w:val="single"/>
                <w:shd w:val="clear" w:color="auto" w:fill="auto"/>
              </w:rPr>
              <w:t xml:space="preserve"> </w:t>
            </w:r>
            <w:r>
              <w:rPr>
                <w:rFonts w:hint="default" w:ascii="Times New Roman" w:hAnsi="Times New Roman" w:cs="Times New Roman"/>
                <w:color w:val="auto"/>
                <w:sz w:val="24"/>
                <w:szCs w:val="24"/>
                <w:highlight w:val="none"/>
                <w:shd w:val="clear" w:color="auto" w:fill="auto"/>
              </w:rPr>
              <w:t>年</w:t>
            </w:r>
            <w:r>
              <w:rPr>
                <w:rFonts w:hint="default" w:ascii="Times New Roman" w:hAnsi="Times New Roman" w:eastAsia="黑体" w:cs="Times New Roman"/>
                <w:color w:val="auto"/>
                <w:sz w:val="24"/>
                <w:szCs w:val="24"/>
                <w:highlight w:val="none"/>
                <w:u w:val="single"/>
                <w:shd w:val="clear" w:color="auto" w:fill="auto"/>
              </w:rPr>
              <w:t xml:space="preserve">  </w:t>
            </w:r>
            <w:r>
              <w:rPr>
                <w:rFonts w:hint="eastAsia" w:eastAsia="黑体" w:cs="Times New Roman"/>
                <w:color w:val="auto"/>
                <w:sz w:val="24"/>
                <w:szCs w:val="24"/>
                <w:highlight w:val="none"/>
                <w:u w:val="single"/>
                <w:shd w:val="clear" w:color="auto" w:fill="auto"/>
                <w:lang w:val="en-US" w:eastAsia="zh-CN"/>
              </w:rPr>
              <w:t>01</w:t>
            </w:r>
            <w:r>
              <w:rPr>
                <w:rFonts w:hint="default" w:ascii="Times New Roman" w:hAnsi="Times New Roman" w:eastAsia="黑体" w:cs="Times New Roman"/>
                <w:color w:val="auto"/>
                <w:sz w:val="24"/>
                <w:szCs w:val="24"/>
                <w:highlight w:val="none"/>
                <w:u w:val="single"/>
                <w:shd w:val="clear" w:color="auto" w:fill="auto"/>
              </w:rPr>
              <w:t xml:space="preserve"> </w:t>
            </w:r>
            <w:r>
              <w:rPr>
                <w:rFonts w:hint="default" w:ascii="Times New Roman" w:hAnsi="Times New Roman" w:cs="Times New Roman"/>
                <w:color w:val="auto"/>
                <w:sz w:val="24"/>
                <w:szCs w:val="24"/>
                <w:highlight w:val="none"/>
                <w:shd w:val="clear" w:color="auto" w:fill="auto"/>
              </w:rPr>
              <w:t>月</w:t>
            </w:r>
            <w:r>
              <w:rPr>
                <w:rFonts w:hint="default" w:ascii="Times New Roman" w:hAnsi="Times New Roman" w:eastAsia="黑体" w:cs="Times New Roman"/>
                <w:color w:val="auto"/>
                <w:sz w:val="24"/>
                <w:szCs w:val="24"/>
                <w:highlight w:val="none"/>
                <w:u w:val="single"/>
                <w:shd w:val="clear" w:color="auto" w:fill="auto"/>
              </w:rPr>
              <w:t xml:space="preserve">  </w:t>
            </w:r>
            <w:r>
              <w:rPr>
                <w:rFonts w:hint="eastAsia" w:eastAsia="黑体" w:cs="Times New Roman"/>
                <w:color w:val="auto"/>
                <w:sz w:val="24"/>
                <w:szCs w:val="24"/>
                <w:highlight w:val="none"/>
                <w:u w:val="single"/>
                <w:shd w:val="clear" w:color="auto" w:fill="auto"/>
                <w:lang w:val="en-US" w:eastAsia="zh-CN"/>
              </w:rPr>
              <w:t>01</w:t>
            </w:r>
            <w:r>
              <w:rPr>
                <w:rFonts w:hint="default" w:ascii="Times New Roman" w:hAnsi="Times New Roman" w:eastAsia="黑体" w:cs="Times New Roman"/>
                <w:color w:val="auto"/>
                <w:sz w:val="24"/>
                <w:szCs w:val="24"/>
                <w:highlight w:val="none"/>
                <w:u w:val="single"/>
                <w:shd w:val="clear" w:color="auto" w:fill="auto"/>
              </w:rPr>
              <w:t xml:space="preserve"> </w:t>
            </w:r>
            <w:r>
              <w:rPr>
                <w:rFonts w:hint="default" w:ascii="Times New Roman" w:hAnsi="Times New Roman" w:cs="Times New Roman"/>
                <w:color w:val="auto"/>
                <w:sz w:val="24"/>
                <w:szCs w:val="24"/>
                <w:highlight w:val="none"/>
                <w:shd w:val="clear" w:color="auto" w:fill="auto"/>
              </w:rPr>
              <w:t>日至投标文件递交截止日</w:t>
            </w:r>
          </w:p>
        </w:tc>
      </w:tr>
      <w:tr w14:paraId="6FA4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68BDCAD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w:t>
            </w:r>
          </w:p>
        </w:tc>
        <w:tc>
          <w:tcPr>
            <w:tcW w:w="2779" w:type="dxa"/>
            <w:noWrap w:val="0"/>
            <w:vAlign w:val="center"/>
          </w:tcPr>
          <w:p w14:paraId="381B3AA1">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是否允许递交备选投标方案</w:t>
            </w:r>
          </w:p>
        </w:tc>
        <w:tc>
          <w:tcPr>
            <w:tcW w:w="5401" w:type="dxa"/>
            <w:noWrap w:val="0"/>
            <w:vAlign w:val="center"/>
          </w:tcPr>
          <w:p w14:paraId="76A64DA6">
            <w:pPr>
              <w:pStyle w:val="16"/>
              <w:pageBreakBefore w:val="0"/>
              <w:kinsoku/>
              <w:wordWrap w:val="0"/>
              <w:topLinePunct/>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不允许</w:t>
            </w:r>
          </w:p>
          <w:p w14:paraId="58FF1E35">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允许</w:t>
            </w:r>
          </w:p>
        </w:tc>
      </w:tr>
      <w:tr w14:paraId="7028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0B3ED631">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br w:type="page"/>
            </w:r>
            <w:r>
              <w:rPr>
                <w:rFonts w:hint="default" w:ascii="Times New Roman" w:hAnsi="Times New Roman" w:cs="Times New Roman"/>
                <w:color w:val="auto"/>
                <w:sz w:val="24"/>
                <w:szCs w:val="24"/>
                <w:highlight w:val="none"/>
              </w:rPr>
              <w:t>3.7.</w:t>
            </w:r>
            <w:r>
              <w:rPr>
                <w:rFonts w:hint="default" w:ascii="Times New Roman" w:hAnsi="Times New Roman" w:cs="Times New Roman"/>
                <w:color w:val="auto"/>
                <w:sz w:val="24"/>
                <w:szCs w:val="24"/>
                <w:highlight w:val="none"/>
                <w:lang w:val="en-US" w:eastAsia="zh-CN"/>
              </w:rPr>
              <w:t>5</w:t>
            </w:r>
          </w:p>
        </w:tc>
        <w:tc>
          <w:tcPr>
            <w:tcW w:w="2779" w:type="dxa"/>
            <w:noWrap w:val="0"/>
            <w:vAlign w:val="center"/>
          </w:tcPr>
          <w:p w14:paraId="4C413421">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投标文件</w:t>
            </w:r>
            <w:r>
              <w:rPr>
                <w:rFonts w:hint="default" w:ascii="Times New Roman" w:hAnsi="Times New Roman" w:cs="Times New Roman"/>
                <w:color w:val="auto"/>
                <w:sz w:val="24"/>
                <w:szCs w:val="24"/>
                <w:highlight w:val="none"/>
                <w:lang w:val="en-US" w:eastAsia="zh-CN"/>
              </w:rPr>
              <w:t>上传</w:t>
            </w:r>
            <w:r>
              <w:rPr>
                <w:rFonts w:hint="default" w:ascii="Times New Roman" w:hAnsi="Times New Roman" w:cs="Times New Roman"/>
                <w:color w:val="auto"/>
                <w:sz w:val="24"/>
                <w:szCs w:val="24"/>
                <w:highlight w:val="none"/>
              </w:rPr>
              <w:t>要求</w:t>
            </w:r>
          </w:p>
        </w:tc>
        <w:tc>
          <w:tcPr>
            <w:tcW w:w="5401" w:type="dxa"/>
            <w:noWrap w:val="0"/>
            <w:vAlign w:val="center"/>
          </w:tcPr>
          <w:p w14:paraId="3CE6FB7C">
            <w:pPr>
              <w:pStyle w:val="16"/>
              <w:pageBreakBefore w:val="0"/>
              <w:kinsoku/>
              <w:wordWrap w:val="0"/>
              <w:topLinePunct/>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投标人应在规定的投标截止时间前，通过互联网</w:t>
            </w:r>
            <w:r>
              <w:rPr>
                <w:rFonts w:hint="eastAsia" w:ascii="Times New Roman"/>
                <w:color w:val="auto"/>
                <w:sz w:val="24"/>
                <w:szCs w:val="32"/>
                <w:highlight w:val="none"/>
                <w:lang w:val="en-US" w:eastAsia="zh-CN"/>
              </w:rPr>
              <w:t>使用</w:t>
            </w:r>
            <w:r>
              <w:rPr>
                <w:rFonts w:hint="default" w:ascii="Times New Roman" w:hAnsi="Times New Roman" w:cs="Times New Roman"/>
                <w:color w:val="auto"/>
                <w:sz w:val="24"/>
                <w:szCs w:val="24"/>
                <w:highlight w:val="none"/>
              </w:rPr>
              <w:t>CA数字证书登录</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）将拒绝接收。</w:t>
            </w:r>
          </w:p>
        </w:tc>
      </w:tr>
      <w:tr w14:paraId="70C6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5BD390CA">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3.7.</w:t>
            </w:r>
            <w:r>
              <w:rPr>
                <w:rFonts w:hint="default" w:ascii="Times New Roman" w:hAnsi="Times New Roman" w:cs="Times New Roman"/>
                <w:color w:val="auto"/>
                <w:sz w:val="24"/>
                <w:szCs w:val="24"/>
                <w:highlight w:val="none"/>
                <w:lang w:val="en-US" w:eastAsia="zh-CN"/>
              </w:rPr>
              <w:t>6</w:t>
            </w:r>
          </w:p>
        </w:tc>
        <w:tc>
          <w:tcPr>
            <w:tcW w:w="2779" w:type="dxa"/>
            <w:noWrap w:val="0"/>
            <w:vAlign w:val="center"/>
          </w:tcPr>
          <w:p w14:paraId="4E39B399">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投标文件其他要求</w:t>
            </w:r>
          </w:p>
        </w:tc>
        <w:tc>
          <w:tcPr>
            <w:tcW w:w="5401" w:type="dxa"/>
            <w:noWrap w:val="0"/>
            <w:vAlign w:val="center"/>
          </w:tcPr>
          <w:p w14:paraId="5C6BB211">
            <w:pPr>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本项目采用电子招标投标形式，投标期间不需提供纸质投标文件。中标人在合同签订前需向招标人提交资料：</w:t>
            </w:r>
          </w:p>
          <w:p w14:paraId="64BFB142">
            <w:pPr>
              <w:spacing w:line="440" w:lineRule="exact"/>
              <w:jc w:val="lef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纸质版投标文件：</w:t>
            </w:r>
            <w:r>
              <w:rPr>
                <w:rFonts w:hint="eastAsia" w:cs="Times New Roman"/>
                <w:color w:val="auto"/>
                <w:sz w:val="24"/>
                <w:szCs w:val="24"/>
                <w:highlight w:val="none"/>
                <w:u w:val="single"/>
                <w:lang w:val="en-US" w:eastAsia="zh-CN"/>
              </w:rPr>
              <w:t xml:space="preserve">  6  </w:t>
            </w:r>
            <w:r>
              <w:rPr>
                <w:rFonts w:hint="default" w:ascii="Times New Roman" w:hAnsi="Times New Roman" w:cs="Times New Roman"/>
                <w:color w:val="auto"/>
                <w:sz w:val="24"/>
                <w:szCs w:val="24"/>
                <w:highlight w:val="none"/>
              </w:rPr>
              <w:t>套；</w:t>
            </w:r>
          </w:p>
          <w:p w14:paraId="00C70B82">
            <w:pPr>
              <w:pStyle w:val="16"/>
              <w:pageBreakBefore w:val="0"/>
              <w:kinsoku/>
              <w:wordWrap w:val="0"/>
              <w:topLinePunct/>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Cs w:val="24"/>
                <w:highlight w:val="none"/>
              </w:rPr>
              <w:t>电子版投标文件，具体要求为：</w:t>
            </w:r>
            <w:r>
              <w:rPr>
                <w:rFonts w:hint="default" w:ascii="Times New Roman" w:hAnsi="Times New Roman" w:cs="Times New Roman"/>
                <w:color w:val="auto"/>
                <w:szCs w:val="24"/>
                <w:highlight w:val="none"/>
                <w:u w:val="single"/>
              </w:rPr>
              <w:t>电子投标文件U盘2份(PDF格式）。</w:t>
            </w:r>
          </w:p>
        </w:tc>
      </w:tr>
      <w:tr w14:paraId="0094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4809BE5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w:t>
            </w:r>
          </w:p>
        </w:tc>
        <w:tc>
          <w:tcPr>
            <w:tcW w:w="2779" w:type="dxa"/>
            <w:noWrap w:val="0"/>
            <w:vAlign w:val="center"/>
          </w:tcPr>
          <w:p w14:paraId="20350A4A">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401" w:type="dxa"/>
            <w:noWrap w:val="0"/>
            <w:vAlign w:val="center"/>
          </w:tcPr>
          <w:p w14:paraId="1667D74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r>
              <w:rPr>
                <w:rFonts w:hint="eastAsia" w:cs="Times New Roman"/>
                <w:color w:val="auto"/>
                <w:kern w:val="2"/>
                <w:sz w:val="24"/>
                <w:szCs w:val="24"/>
                <w:highlight w:val="none"/>
                <w:lang w:val="en-US" w:eastAsia="zh-CN" w:bidi="ar-SA"/>
              </w:rPr>
              <w:t>。</w:t>
            </w:r>
          </w:p>
          <w:p w14:paraId="75BBAE71">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r>
              <w:rPr>
                <w:rFonts w:hint="eastAsia" w:cs="Times New Roman"/>
                <w:color w:val="auto"/>
                <w:kern w:val="2"/>
                <w:sz w:val="24"/>
                <w:szCs w:val="24"/>
                <w:highlight w:val="none"/>
                <w:lang w:val="en-US" w:eastAsia="zh-CN" w:bidi="ar-SA"/>
              </w:rPr>
              <w:t>。</w:t>
            </w:r>
          </w:p>
          <w:p w14:paraId="5E6309B2">
            <w:pPr>
              <w:shd w:val="clear"/>
              <w:spacing w:line="44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color w:val="auto"/>
                <w:kern w:val="2"/>
                <w:sz w:val="24"/>
                <w:szCs w:val="24"/>
                <w:highlight w:val="none"/>
                <w:u w:val="single"/>
                <w:lang w:val="en-US" w:eastAsia="zh-CN" w:bidi="ar-SA"/>
              </w:rPr>
              <w:t>辽宁省公共资源交易中心不见面开标大厅</w:t>
            </w:r>
          </w:p>
          <w:p w14:paraId="497E7C28">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（https://www.lnsggzy.com/BidOpeningHall/bidhall/dqliaoning/login）</w:t>
            </w:r>
          </w:p>
        </w:tc>
      </w:tr>
      <w:tr w14:paraId="5F7F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64C919DA">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w:t>
            </w:r>
          </w:p>
        </w:tc>
        <w:tc>
          <w:tcPr>
            <w:tcW w:w="2779" w:type="dxa"/>
            <w:noWrap w:val="0"/>
            <w:vAlign w:val="center"/>
          </w:tcPr>
          <w:p w14:paraId="554BACAD">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第一个信封（商务及技术文件）开标程序</w:t>
            </w:r>
          </w:p>
        </w:tc>
        <w:tc>
          <w:tcPr>
            <w:tcW w:w="5401" w:type="dxa"/>
            <w:noWrap w:val="0"/>
            <w:vAlign w:val="center"/>
          </w:tcPr>
          <w:p w14:paraId="09FD28A8">
            <w:pPr>
              <w:pageBreakBefore w:val="0"/>
              <w:numPr>
                <w:ilvl w:val="0"/>
                <w:numId w:val="0"/>
              </w:numPr>
              <w:kinsoku/>
              <w:wordWrap w:val="0"/>
              <w:bidi w:val="0"/>
              <w:spacing w:line="440" w:lineRule="exact"/>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lang w:val="en-US" w:eastAsia="zh-CN"/>
              </w:rPr>
              <w:t>第一个信封</w:t>
            </w:r>
            <w:r>
              <w:rPr>
                <w:rFonts w:hint="default" w:ascii="Times New Roman" w:hAnsi="Times New Roman" w:cs="Times New Roman"/>
                <w:color w:val="auto"/>
                <w:sz w:val="24"/>
                <w:szCs w:val="24"/>
                <w:highlight w:val="none"/>
              </w:rPr>
              <w:t>（商务及技术文件）</w:t>
            </w:r>
            <w:r>
              <w:rPr>
                <w:rFonts w:hint="default" w:ascii="Times New Roman" w:hAnsi="Times New Roman" w:cs="Times New Roman"/>
                <w:color w:val="auto"/>
                <w:sz w:val="24"/>
                <w:szCs w:val="24"/>
                <w:highlight w:val="none"/>
                <w:lang w:eastAsia="zh-CN"/>
              </w:rPr>
              <w:t>解密</w:t>
            </w:r>
            <w:r>
              <w:rPr>
                <w:rFonts w:hint="eastAsia" w:cs="Times New Roman"/>
                <w:color w:val="auto"/>
                <w:sz w:val="24"/>
                <w:szCs w:val="24"/>
                <w:highlight w:val="none"/>
                <w:lang w:val="en-US" w:eastAsia="zh-CN"/>
              </w:rPr>
              <w:t>时长：</w:t>
            </w:r>
            <w:r>
              <w:rPr>
                <w:rFonts w:hint="eastAsia" w:cs="Times New Roman"/>
                <w:color w:val="auto"/>
                <w:sz w:val="24"/>
                <w:szCs w:val="24"/>
                <w:highlight w:val="none"/>
                <w:u w:val="single"/>
                <w:lang w:val="en-US" w:eastAsia="zh-CN"/>
              </w:rPr>
              <w:t>30</w:t>
            </w:r>
            <w:r>
              <w:rPr>
                <w:rFonts w:hint="eastAsia" w:cs="Times New Roman"/>
                <w:color w:val="auto"/>
                <w:sz w:val="24"/>
                <w:szCs w:val="24"/>
                <w:highlight w:val="none"/>
                <w:u w:val="none"/>
                <w:lang w:val="en-US" w:eastAsia="zh-CN"/>
              </w:rPr>
              <w:t>分钟，当所有上传的电子投标文件均完成解密时，时长相应缩短。</w:t>
            </w:r>
          </w:p>
          <w:p w14:paraId="7650775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投标人必须在规定解密时间内完成投标文件的远程解密。</w:t>
            </w:r>
            <w:r>
              <w:rPr>
                <w:rFonts w:hint="eastAsia" w:ascii="宋体" w:hAnsi="宋体" w:eastAsia="宋体" w:cs="宋体"/>
                <w:color w:val="auto"/>
                <w:sz w:val="24"/>
                <w:szCs w:val="24"/>
                <w:highlight w:val="none"/>
                <w:lang w:val="en-US" w:eastAsia="zh-CN"/>
              </w:rPr>
              <w:t>除特殊说明情况外，若出现在规定时间未成功解密的情况，视为撤销投标文件</w:t>
            </w:r>
            <w:r>
              <w:rPr>
                <w:rFonts w:hint="eastAsia" w:ascii="宋体" w:hAnsi="宋体" w:eastAsia="宋体" w:cs="宋体"/>
                <w:color w:val="auto"/>
                <w:sz w:val="24"/>
                <w:szCs w:val="24"/>
                <w:highlight w:val="none"/>
                <w:lang w:eastAsia="zh-CN"/>
              </w:rPr>
              <w:t>。</w:t>
            </w:r>
          </w:p>
        </w:tc>
      </w:tr>
      <w:tr w14:paraId="38D7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B073DC5">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5.2.1</w:t>
            </w:r>
          </w:p>
        </w:tc>
        <w:tc>
          <w:tcPr>
            <w:tcW w:w="2779" w:type="dxa"/>
            <w:noWrap w:val="0"/>
            <w:vAlign w:val="center"/>
          </w:tcPr>
          <w:p w14:paraId="3587ED1B">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投标人参与详细评审的具体标段号的随机确定程序</w:t>
            </w:r>
            <w:r>
              <w:rPr>
                <w:rStyle w:val="48"/>
                <w:rFonts w:hint="default" w:ascii="Times New Roman" w:hAnsi="Times New Roman" w:cs="Times New Roman"/>
                <w:color w:val="auto"/>
                <w:sz w:val="24"/>
                <w:szCs w:val="24"/>
                <w:highlight w:val="none"/>
              </w:rPr>
              <w:footnoteReference w:id="3"/>
            </w:r>
          </w:p>
        </w:tc>
        <w:tc>
          <w:tcPr>
            <w:tcW w:w="5401" w:type="dxa"/>
            <w:noWrap w:val="0"/>
            <w:vAlign w:val="center"/>
          </w:tcPr>
          <w:p w14:paraId="07E1535F">
            <w:pPr>
              <w:pageBreakBefore w:val="0"/>
              <w:kinsoku/>
              <w:wordWrap w:val="0"/>
              <w:bidi w:val="0"/>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适用，随机确定投标标段：</w:t>
            </w:r>
            <w:r>
              <w:rPr>
                <w:rFonts w:hint="eastAsia" w:ascii="宋体" w:hAnsi="宋体" w:eastAsia="宋体" w:cs="宋体"/>
                <w:color w:val="auto"/>
                <w:sz w:val="24"/>
                <w:szCs w:val="24"/>
                <w:highlight w:val="none"/>
                <w:u w:val="single"/>
                <w:lang w:val="en-US" w:eastAsia="zh-CN"/>
              </w:rPr>
              <w:t xml:space="preserve">        </w:t>
            </w:r>
          </w:p>
          <w:p w14:paraId="017385A0">
            <w:pPr>
              <w:pageBreakBefore w:val="0"/>
              <w:kinsoku/>
              <w:wordWrap w:val="0"/>
              <w:bidi w:val="0"/>
              <w:spacing w:line="440" w:lineRule="exact"/>
              <w:ind w:firstLine="0" w:firstLineChars="0"/>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不适用</w:t>
            </w:r>
          </w:p>
        </w:tc>
      </w:tr>
      <w:tr w14:paraId="5842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A8F0FC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w:t>
            </w:r>
          </w:p>
        </w:tc>
        <w:tc>
          <w:tcPr>
            <w:tcW w:w="2779" w:type="dxa"/>
            <w:noWrap w:val="0"/>
            <w:vAlign w:val="center"/>
          </w:tcPr>
          <w:p w14:paraId="421DB37B">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第二个信封（报价文件）开标程序</w:t>
            </w:r>
          </w:p>
        </w:tc>
        <w:tc>
          <w:tcPr>
            <w:tcW w:w="5401" w:type="dxa"/>
            <w:noWrap w:val="0"/>
            <w:vAlign w:val="center"/>
          </w:tcPr>
          <w:p w14:paraId="3177BDC2">
            <w:pPr>
              <w:wordWrap w:val="0"/>
              <w:spacing w:line="440" w:lineRule="exact"/>
              <w:rPr>
                <w:color w:val="auto"/>
                <w:sz w:val="24"/>
                <w:highlight w:val="none"/>
                <w:lang w:eastAsia="zh"/>
              </w:rPr>
            </w:pP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sz w:val="24"/>
                <w:szCs w:val="24"/>
                <w:highlight w:val="none"/>
                <w:lang w:eastAsia="zh-CN"/>
              </w:rPr>
              <w:t>投标文件</w:t>
            </w:r>
            <w:r>
              <w:rPr>
                <w:rFonts w:hint="default" w:ascii="Times New Roman" w:hAnsi="Times New Roman" w:cs="Times New Roman"/>
                <w:color w:val="auto"/>
                <w:sz w:val="24"/>
                <w:szCs w:val="24"/>
                <w:highlight w:val="none"/>
              </w:rPr>
              <w:t>第二个信封（报价文件）</w:t>
            </w:r>
            <w:r>
              <w:rPr>
                <w:rFonts w:hint="default" w:ascii="Times New Roman" w:hAnsi="Times New Roman" w:cs="Times New Roman"/>
                <w:color w:val="auto"/>
                <w:sz w:val="24"/>
                <w:szCs w:val="24"/>
                <w:highlight w:val="none"/>
                <w:lang w:eastAsia="zh-CN"/>
              </w:rPr>
              <w:t>解密</w:t>
            </w:r>
            <w:r>
              <w:rPr>
                <w:rFonts w:hint="eastAsia" w:cs="Times New Roman"/>
                <w:color w:val="auto"/>
                <w:sz w:val="24"/>
                <w:szCs w:val="24"/>
                <w:highlight w:val="none"/>
                <w:lang w:val="en-US" w:eastAsia="zh-CN"/>
              </w:rPr>
              <w:t>时长：</w:t>
            </w:r>
            <w:r>
              <w:rPr>
                <w:rFonts w:hint="eastAsia" w:cs="Times New Roman"/>
                <w:color w:val="auto"/>
                <w:sz w:val="24"/>
                <w:szCs w:val="24"/>
                <w:highlight w:val="none"/>
                <w:u w:val="single"/>
                <w:lang w:val="en-US" w:eastAsia="zh-CN"/>
              </w:rPr>
              <w:t>30</w:t>
            </w:r>
            <w:r>
              <w:rPr>
                <w:rFonts w:hint="eastAsia"/>
                <w:color w:val="auto"/>
                <w:sz w:val="24"/>
                <w:highlight w:val="none"/>
                <w:u w:val="none"/>
                <w:lang w:eastAsia="zh"/>
              </w:rPr>
              <w:t>分钟，当所有参与第二个信封评审的电子投标文件均完成解密时，时长相应缩短。</w:t>
            </w:r>
          </w:p>
          <w:p w14:paraId="61571D77">
            <w:pPr>
              <w:pageBreakBefore w:val="0"/>
              <w:kinsoku/>
              <w:wordWrap w:val="0"/>
              <w:bidi w:val="0"/>
              <w:spacing w:line="44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人必须在规定解密时间内完成投标文件的远程解密。除特殊说明情况外，若出现在规定时间未成功解密的情况，视为撤销投标文件。投标人应确保“不见面开标大厅”所留项目联系方式正确且开评标期间全程畅通。如若投标人未解密文件或投标人电话未接通或投标人所留联系方式不正确，均视为自动放弃，按未递交处理。</w:t>
            </w:r>
          </w:p>
        </w:tc>
      </w:tr>
      <w:tr w14:paraId="2E9E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37D7FBC">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5.3.1</w:t>
            </w:r>
          </w:p>
        </w:tc>
        <w:tc>
          <w:tcPr>
            <w:tcW w:w="2779" w:type="dxa"/>
            <w:noWrap w:val="0"/>
            <w:vAlign w:val="center"/>
          </w:tcPr>
          <w:p w14:paraId="0B549FD2">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开标补救措施</w:t>
            </w:r>
          </w:p>
        </w:tc>
        <w:tc>
          <w:tcPr>
            <w:tcW w:w="5401" w:type="dxa"/>
            <w:noWrap w:val="0"/>
            <w:vAlign w:val="center"/>
          </w:tcPr>
          <w:p w14:paraId="1082F8B3">
            <w:pPr>
              <w:pageBreakBefore w:val="0"/>
              <w:kinsoku/>
              <w:wordWrap w:val="0"/>
              <w:bidi w:val="0"/>
              <w:spacing w:line="440" w:lineRule="exact"/>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086A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C94406E">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6.1.1</w:t>
            </w:r>
          </w:p>
        </w:tc>
        <w:tc>
          <w:tcPr>
            <w:tcW w:w="2779" w:type="dxa"/>
            <w:noWrap w:val="0"/>
            <w:vAlign w:val="center"/>
          </w:tcPr>
          <w:p w14:paraId="36F3865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评标委员会的组建</w:t>
            </w:r>
            <w:r>
              <w:rPr>
                <w:rStyle w:val="48"/>
                <w:rFonts w:hint="default" w:ascii="Times New Roman" w:hAnsi="Times New Roman" w:cs="Times New Roman"/>
                <w:color w:val="auto"/>
                <w:sz w:val="24"/>
                <w:szCs w:val="24"/>
                <w:highlight w:val="none"/>
              </w:rPr>
              <w:footnoteReference w:id="4"/>
            </w:r>
          </w:p>
        </w:tc>
        <w:tc>
          <w:tcPr>
            <w:tcW w:w="5401" w:type="dxa"/>
            <w:noWrap w:val="0"/>
            <w:vAlign w:val="center"/>
          </w:tcPr>
          <w:p w14:paraId="28998106">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评标委员会构成：</w:t>
            </w:r>
            <w:r>
              <w:rPr>
                <w:rFonts w:hint="eastAsia"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rPr>
              <w:t>人，其中招标人代表</w:t>
            </w:r>
            <w:r>
              <w:rPr>
                <w:rFonts w:hint="eastAsia" w:cs="Times New Roman"/>
                <w:color w:val="auto"/>
                <w:sz w:val="24"/>
                <w:szCs w:val="24"/>
                <w:highlight w:val="none"/>
                <w:u w:val="single"/>
                <w:lang w:val="en-US" w:eastAsia="zh-CN"/>
              </w:rPr>
              <w:t>0</w:t>
            </w:r>
            <w:r>
              <w:rPr>
                <w:rFonts w:hint="default" w:ascii="Times New Roman" w:hAnsi="Times New Roman" w:cs="Times New Roman"/>
                <w:color w:val="auto"/>
                <w:sz w:val="24"/>
                <w:szCs w:val="24"/>
                <w:highlight w:val="none"/>
              </w:rPr>
              <w:t>人，专家</w:t>
            </w:r>
            <w:r>
              <w:rPr>
                <w:rFonts w:hint="eastAsia"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rPr>
              <w:t>人；</w:t>
            </w:r>
          </w:p>
          <w:p w14:paraId="46303E64">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评标专家确定方式：</w:t>
            </w:r>
            <w:r>
              <w:rPr>
                <w:rFonts w:hint="default" w:ascii="Times New Roman" w:hAnsi="Times New Roman" w:cs="Times New Roman"/>
                <w:color w:val="auto"/>
                <w:sz w:val="24"/>
                <w:szCs w:val="24"/>
                <w:highlight w:val="none"/>
                <w:u w:val="single"/>
              </w:rPr>
              <w:t>依法从相应评标专家库中随机抽取</w:t>
            </w:r>
          </w:p>
        </w:tc>
      </w:tr>
      <w:tr w14:paraId="03BD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4D52C7C7">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6.3.2</w:t>
            </w:r>
          </w:p>
        </w:tc>
        <w:tc>
          <w:tcPr>
            <w:tcW w:w="2779" w:type="dxa"/>
            <w:noWrap w:val="0"/>
            <w:vAlign w:val="center"/>
          </w:tcPr>
          <w:p w14:paraId="5B5F565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评标委员会推荐中标候选人的人数</w:t>
            </w:r>
          </w:p>
        </w:tc>
        <w:tc>
          <w:tcPr>
            <w:tcW w:w="5401" w:type="dxa"/>
            <w:noWrap w:val="0"/>
            <w:vAlign w:val="center"/>
          </w:tcPr>
          <w:p w14:paraId="313A0AAB">
            <w:pPr>
              <w:pageBreakBefore w:val="0"/>
              <w:kinsoku/>
              <w:wordWrap w:val="0"/>
              <w:bidi w:val="0"/>
              <w:spacing w:line="440" w:lineRule="exact"/>
              <w:rPr>
                <w:rFonts w:hint="default" w:ascii="Times New Roman" w:hAnsi="Times New Roman" w:cs="Times New Roman"/>
                <w:color w:val="auto"/>
                <w:spacing w:val="10"/>
                <w:sz w:val="24"/>
                <w:szCs w:val="24"/>
                <w:highlight w:val="none"/>
                <w:bdr w:val="single" w:color="auto" w:sz="4" w:space="0"/>
              </w:rPr>
            </w:pPr>
            <w:r>
              <w:rPr>
                <w:rFonts w:hint="eastAsia" w:cs="Times New Roman"/>
                <w:color w:val="auto"/>
                <w:sz w:val="24"/>
                <w:szCs w:val="24"/>
                <w:highlight w:val="none"/>
                <w:lang w:val="en-US" w:eastAsia="zh-CN"/>
              </w:rPr>
              <w:t>3名</w:t>
            </w:r>
          </w:p>
        </w:tc>
      </w:tr>
      <w:tr w14:paraId="0ABC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0745E8A4">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w:t>
            </w:r>
          </w:p>
        </w:tc>
        <w:tc>
          <w:tcPr>
            <w:tcW w:w="2779" w:type="dxa"/>
            <w:noWrap w:val="0"/>
            <w:vAlign w:val="center"/>
          </w:tcPr>
          <w:p w14:paraId="63E1E01A">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中标候选人公示媒介及期限</w:t>
            </w:r>
          </w:p>
        </w:tc>
        <w:tc>
          <w:tcPr>
            <w:tcW w:w="5401" w:type="dxa"/>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公示媒介：同发布招标公告媒介</w:t>
            </w:r>
          </w:p>
          <w:p w14:paraId="51ED97C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公示期限：</w:t>
            </w:r>
            <w:r>
              <w:rPr>
                <w:rFonts w:hint="default" w:ascii="Times New Roman" w:hAnsi="Times New Roman" w:cs="Times New Roman"/>
                <w:color w:val="auto"/>
                <w:sz w:val="24"/>
                <w:szCs w:val="24"/>
                <w:highlight w:val="none"/>
                <w:u w:val="single"/>
              </w:rPr>
              <w:t>不少于3</w:t>
            </w:r>
            <w:r>
              <w:rPr>
                <w:rFonts w:hint="default" w:ascii="Times New Roman" w:hAnsi="Times New Roman" w:cs="Times New Roman"/>
                <w:color w:val="auto"/>
                <w:sz w:val="24"/>
                <w:szCs w:val="24"/>
                <w:highlight w:val="none"/>
              </w:rPr>
              <w:t>日</w:t>
            </w:r>
          </w:p>
          <w:p w14:paraId="0AFBAAEE">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公示的其他内容：</w:t>
            </w:r>
          </w:p>
          <w:p w14:paraId="3781BBD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highlight w:val="none"/>
                <w:u w:val="single"/>
                <w:lang w:val="en-US" w:eastAsia="zh-CN"/>
              </w:rPr>
            </w:pPr>
            <w:r>
              <w:rPr>
                <w:rFonts w:hint="eastAsia"/>
                <w:color w:val="auto"/>
                <w:sz w:val="24"/>
                <w:highlight w:val="none"/>
                <w:lang w:eastAsia="zh-CN"/>
              </w:rPr>
              <w:t>□</w:t>
            </w:r>
            <w:r>
              <w:rPr>
                <w:rFonts w:hint="eastAsia" w:cs="Times New Roman"/>
                <w:color w:val="auto"/>
                <w:sz w:val="24"/>
                <w:szCs w:val="24"/>
                <w:highlight w:val="none"/>
                <w:u w:val="single"/>
                <w:lang w:val="en-US" w:eastAsia="zh-CN"/>
              </w:rPr>
              <w:t xml:space="preserve">   /   </w:t>
            </w:r>
          </w:p>
          <w:p w14:paraId="65BCCD4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u w:val="none"/>
              </w:rPr>
              <w:t>如发现投标人存在弄虚作假行为，招标人将取消其中标候选人资格，并上报省级交通主管部门，作为不良记录纳入</w:t>
            </w:r>
            <w:r>
              <w:rPr>
                <w:rFonts w:hint="eastAsia" w:cs="Times New Roman"/>
                <w:color w:val="auto"/>
                <w:sz w:val="24"/>
                <w:szCs w:val="24"/>
                <w:highlight w:val="none"/>
                <w:u w:val="none"/>
                <w:lang w:eastAsia="zh-CN"/>
              </w:rPr>
              <w:t>全国公路建设市场监督管理系统</w:t>
            </w:r>
            <w:r>
              <w:rPr>
                <w:rFonts w:hint="default" w:ascii="Times New Roman" w:hAnsi="Times New Roman" w:cs="Times New Roman"/>
                <w:color w:val="auto"/>
                <w:sz w:val="24"/>
                <w:szCs w:val="24"/>
                <w:highlight w:val="none"/>
                <w:u w:val="none"/>
              </w:rPr>
              <w:t>。</w:t>
            </w:r>
          </w:p>
        </w:tc>
      </w:tr>
      <w:tr w14:paraId="68F6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62420E92">
            <w:pPr>
              <w:pageBreakBefore w:val="0"/>
              <w:kinsoku/>
              <w:wordWrap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7.4</w:t>
            </w:r>
            <w:r>
              <w:rPr>
                <w:rFonts w:hint="eastAsia" w:cs="Times New Roman"/>
                <w:color w:val="auto"/>
                <w:sz w:val="24"/>
                <w:szCs w:val="24"/>
                <w:highlight w:val="none"/>
                <w:lang w:val="en-US" w:eastAsia="zh-CN"/>
              </w:rPr>
              <w:t>.1</w:t>
            </w:r>
          </w:p>
        </w:tc>
        <w:tc>
          <w:tcPr>
            <w:tcW w:w="2779" w:type="dxa"/>
            <w:noWrap w:val="0"/>
            <w:vAlign w:val="center"/>
          </w:tcPr>
          <w:p w14:paraId="3D01A706">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是否授权评标委员会确定中标人</w:t>
            </w:r>
          </w:p>
        </w:tc>
        <w:tc>
          <w:tcPr>
            <w:tcW w:w="5401" w:type="dxa"/>
            <w:noWrap w:val="0"/>
            <w:vAlign w:val="center"/>
          </w:tcPr>
          <w:p w14:paraId="0461DE1B">
            <w:pPr>
              <w:pageBreakBefore w:val="0"/>
              <w:kinsoku/>
              <w:wordWrap w:val="0"/>
              <w:bidi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是</w:t>
            </w:r>
          </w:p>
          <w:p w14:paraId="65690AA5">
            <w:pPr>
              <w:pageBreakBefore w:val="0"/>
              <w:kinsoku/>
              <w:wordWrap w:val="0"/>
              <w:bidi w:val="0"/>
              <w:snapToGrid w:val="0"/>
              <w:spacing w:line="440" w:lineRule="exact"/>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否</w:t>
            </w:r>
          </w:p>
        </w:tc>
      </w:tr>
      <w:tr w14:paraId="6A0B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21C2546">
            <w:pPr>
              <w:pageBreakBefore w:val="0"/>
              <w:kinsoku/>
              <w:wordWrap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7.4.2</w:t>
            </w:r>
          </w:p>
        </w:tc>
        <w:tc>
          <w:tcPr>
            <w:tcW w:w="2779" w:type="dxa"/>
            <w:noWrap w:val="0"/>
            <w:vAlign w:val="center"/>
          </w:tcPr>
          <w:p w14:paraId="2A18B24E">
            <w:pPr>
              <w:pageBreakBefore w:val="0"/>
              <w:kinsoku/>
              <w:wordWrap w:val="0"/>
              <w:bidi w:val="0"/>
              <w:spacing w:line="440" w:lineRule="exact"/>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定标规则</w:t>
            </w:r>
            <w:r>
              <w:rPr>
                <w:rStyle w:val="48"/>
                <w:rFonts w:hint="eastAsia" w:cs="Times New Roman"/>
                <w:color w:val="auto"/>
                <w:sz w:val="24"/>
                <w:szCs w:val="24"/>
                <w:highlight w:val="none"/>
                <w:lang w:val="en-US" w:eastAsia="zh-CN"/>
              </w:rPr>
              <w:footnoteReference w:id="5"/>
            </w:r>
          </w:p>
        </w:tc>
        <w:tc>
          <w:tcPr>
            <w:tcW w:w="5401" w:type="dxa"/>
            <w:noWrap w:val="0"/>
            <w:vAlign w:val="center"/>
          </w:tcPr>
          <w:p w14:paraId="49C25DDD">
            <w:pPr>
              <w:pageBreakBefore w:val="0"/>
              <w:kinsoku/>
              <w:wordWrap w:val="0"/>
              <w:bidi w:val="0"/>
              <w:snapToGrid w:val="0"/>
              <w:spacing w:line="440" w:lineRule="exact"/>
              <w:rPr>
                <w:rFonts w:hint="default"/>
                <w:color w:val="auto"/>
                <w:sz w:val="24"/>
                <w:highlight w:val="none"/>
                <w:lang w:val="en-US" w:eastAsia="zh-CN"/>
              </w:rPr>
            </w:pPr>
            <w:r>
              <w:rPr>
                <w:rFonts w:hint="eastAsia" w:ascii="宋体" w:hAnsi="宋体" w:eastAsia="宋体" w:cs="宋体"/>
                <w:color w:val="auto"/>
                <w:sz w:val="24"/>
                <w:highlight w:val="none"/>
                <w:lang w:val="en-US" w:eastAsia="zh-CN"/>
              </w:rPr>
              <w:t>招标人根据</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highlight w:val="none"/>
                <w:lang w:val="en-US" w:eastAsia="zh-CN"/>
              </w:rPr>
              <w:t>推荐的中标候选人排序，‌确定排名第一的中标候选人为中标人‌‌‌。</w:t>
            </w:r>
          </w:p>
        </w:tc>
      </w:tr>
      <w:tr w14:paraId="6E90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0AAA3B8">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7.5</w:t>
            </w:r>
          </w:p>
        </w:tc>
        <w:tc>
          <w:tcPr>
            <w:tcW w:w="2779" w:type="dxa"/>
            <w:noWrap w:val="0"/>
            <w:vAlign w:val="center"/>
          </w:tcPr>
          <w:p w14:paraId="431F10A0">
            <w:pPr>
              <w:pageBreakBefore w:val="0"/>
              <w:kinsoku/>
              <w:wordWrap w:val="0"/>
              <w:overflowPunct/>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中标通知书的形式</w:t>
            </w:r>
          </w:p>
        </w:tc>
        <w:tc>
          <w:tcPr>
            <w:tcW w:w="5401" w:type="dxa"/>
            <w:noWrap w:val="0"/>
            <w:vAlign w:val="center"/>
          </w:tcPr>
          <w:p w14:paraId="20D94815">
            <w:pPr>
              <w:pageBreakBefore w:val="0"/>
              <w:kinsoku/>
              <w:wordWrap w:val="0"/>
              <w:bidi w:val="0"/>
              <w:spacing w:line="440" w:lineRule="exact"/>
              <w:rPr>
                <w:rFonts w:hint="default" w:ascii="Times New Roman" w:hAnsi="Times New Roman" w:eastAsia="宋体" w:cs="Times New Roman"/>
                <w:color w:val="auto"/>
                <w:sz w:val="24"/>
                <w:szCs w:val="24"/>
                <w:highlight w:val="none"/>
                <w:lang w:val="en-US" w:eastAsia="zh-CN"/>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书面形式</w:t>
            </w:r>
          </w:p>
          <w:p w14:paraId="61F5B63E">
            <w:pPr>
              <w:pageBreakBefore w:val="0"/>
              <w:kinsoku/>
              <w:wordWrap w:val="0"/>
              <w:overflowPunct/>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lang w:val="en-US" w:eastAsia="zh-CN"/>
              </w:rPr>
              <w:t>电子形式：</w:t>
            </w:r>
          </w:p>
        </w:tc>
      </w:tr>
      <w:tr w14:paraId="6A22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25E0CB2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7.6</w:t>
            </w:r>
          </w:p>
        </w:tc>
        <w:tc>
          <w:tcPr>
            <w:tcW w:w="2779" w:type="dxa"/>
            <w:noWrap w:val="0"/>
            <w:vAlign w:val="center"/>
          </w:tcPr>
          <w:p w14:paraId="3B2F0853">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中标结果公告媒介及期限</w:t>
            </w:r>
          </w:p>
        </w:tc>
        <w:tc>
          <w:tcPr>
            <w:tcW w:w="5401" w:type="dxa"/>
            <w:noWrap w:val="0"/>
            <w:vAlign w:val="center"/>
          </w:tcPr>
          <w:p w14:paraId="1BE70171">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公告媒介：同发布招标公告媒介</w:t>
            </w:r>
          </w:p>
          <w:p w14:paraId="7BCC0869">
            <w:pPr>
              <w:pageBreakBefore w:val="0"/>
              <w:kinsoku/>
              <w:wordWrap w:val="0"/>
              <w:bidi w:val="0"/>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c>
      </w:tr>
      <w:tr w14:paraId="5894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10C2CEBF">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7.7.1</w:t>
            </w:r>
          </w:p>
        </w:tc>
        <w:tc>
          <w:tcPr>
            <w:tcW w:w="2779" w:type="dxa"/>
            <w:noWrap w:val="0"/>
            <w:vAlign w:val="center"/>
          </w:tcPr>
          <w:p w14:paraId="647F904F">
            <w:pP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履约保证金</w:t>
            </w:r>
          </w:p>
        </w:tc>
        <w:tc>
          <w:tcPr>
            <w:tcW w:w="5401" w:type="dxa"/>
            <w:noWrap w:val="0"/>
            <w:vAlign w:val="center"/>
          </w:tcPr>
          <w:p w14:paraId="5EE28A3F">
            <w:pPr>
              <w:pStyle w:val="16"/>
              <w:topLinePunct/>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是否要求中标人提交履约保证金：</w:t>
            </w:r>
          </w:p>
          <w:p w14:paraId="0B674437">
            <w:pPr>
              <w:pStyle w:val="16"/>
              <w:keepNext w:val="0"/>
              <w:keepLines w:val="0"/>
              <w:pageBreakBefore w:val="0"/>
              <w:widowControl w:val="0"/>
              <w:kinsoku/>
              <w:wordWrap w:val="0"/>
              <w:overflowPunct/>
              <w:topLinePunct/>
              <w:autoSpaceDE/>
              <w:autoSpaceDN/>
              <w:bidi w:val="0"/>
              <w:adjustRightInd/>
              <w:snapToGrid/>
              <w:spacing w:line="440" w:lineRule="exact"/>
              <w:textAlignment w:val="auto"/>
              <w:rPr>
                <w:rFonts w:hint="default" w:ascii="Times New Roman" w:hAnsi="Times New Roman" w:cs="Times New Roman"/>
                <w:color w:val="auto"/>
                <w:sz w:val="24"/>
                <w:szCs w:val="24"/>
                <w:highlight w:val="none"/>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要求，履约保证金的形式：</w:t>
            </w:r>
            <w:r>
              <w:rPr>
                <w:rFonts w:hint="default" w:ascii="Times New Roman" w:hAnsi="Times New Roman" w:cs="Times New Roman"/>
                <w:color w:val="auto"/>
                <w:sz w:val="24"/>
                <w:szCs w:val="24"/>
                <w:highlight w:val="none"/>
                <w:u w:val="single"/>
              </w:rPr>
              <w:t>由中标人自主选择银行保函或者现金、支票等招标人可接受的支付形式。</w:t>
            </w:r>
            <w:r>
              <w:rPr>
                <w:rStyle w:val="48"/>
                <w:rFonts w:hint="default" w:ascii="Times New Roman" w:hAnsi="Times New Roman" w:cs="Times New Roman"/>
                <w:color w:val="auto"/>
                <w:sz w:val="24"/>
                <w:szCs w:val="24"/>
                <w:highlight w:val="none"/>
              </w:rPr>
              <w:footnoteReference w:id="6"/>
            </w:r>
          </w:p>
          <w:p w14:paraId="76695955">
            <w:pPr>
              <w:wordWrap w:val="0"/>
              <w:spacing w:line="440" w:lineRule="exact"/>
              <w:ind w:firstLine="480" w:firstLineChars="200"/>
              <w:rPr>
                <w:color w:val="auto"/>
                <w:sz w:val="24"/>
                <w:highlight w:val="none"/>
              </w:rPr>
            </w:pPr>
            <w:r>
              <w:rPr>
                <w:color w:val="auto"/>
                <w:sz w:val="24"/>
                <w:highlight w:val="none"/>
              </w:rPr>
              <w:t>履约保证金的金额：</w:t>
            </w:r>
            <w:r>
              <w:rPr>
                <w:rFonts w:hint="eastAsia" w:ascii="宋体" w:hAnsi="宋体" w:eastAsia="宋体" w:cs="宋体"/>
                <w:b w:val="0"/>
                <w:bCs w:val="0"/>
                <w:color w:val="auto"/>
                <w:sz w:val="24"/>
                <w:szCs w:val="24"/>
                <w:highlight w:val="none"/>
                <w:u w:val="single"/>
              </w:rPr>
              <w:t>5％</w:t>
            </w:r>
            <w:r>
              <w:rPr>
                <w:rFonts w:hint="default" w:ascii="Times New Roman" w:hAnsi="Times New Roman" w:cs="Times New Roman"/>
                <w:color w:val="auto"/>
                <w:sz w:val="24"/>
                <w:szCs w:val="24"/>
                <w:highlight w:val="none"/>
              </w:rPr>
              <w:t>签约合同价</w:t>
            </w:r>
            <w:r>
              <w:rPr>
                <w:rStyle w:val="48"/>
                <w:rFonts w:hint="default" w:ascii="Times New Roman" w:hAnsi="Times New Roman" w:cs="Times New Roman"/>
                <w:color w:val="auto"/>
                <w:sz w:val="24"/>
                <w:szCs w:val="24"/>
                <w:highlight w:val="none"/>
              </w:rPr>
              <w:footnoteReference w:id="7"/>
            </w:r>
          </w:p>
          <w:p w14:paraId="25A58CE8">
            <w:pPr>
              <w:wordWrap w:val="0"/>
              <w:spacing w:line="440" w:lineRule="exact"/>
              <w:ind w:firstLine="448" w:firstLineChars="200"/>
              <w:rPr>
                <w:rFonts w:hint="eastAsia" w:eastAsia="宋体"/>
                <w:color w:val="auto"/>
                <w:sz w:val="24"/>
                <w:highlight w:val="none"/>
                <w:u w:val="single"/>
                <w:lang w:eastAsia="zh-CN"/>
              </w:rPr>
            </w:pPr>
            <w:r>
              <w:rPr>
                <w:color w:val="auto"/>
                <w:spacing w:val="-8"/>
                <w:sz w:val="24"/>
                <w:highlight w:val="none"/>
              </w:rPr>
              <w:t>采用银行保函时，出具保函的银行级别</w:t>
            </w:r>
            <w:r>
              <w:rPr>
                <w:color w:val="auto"/>
                <w:sz w:val="24"/>
                <w:highlight w:val="none"/>
              </w:rPr>
              <w:t>：</w:t>
            </w:r>
          </w:p>
          <w:p w14:paraId="7FFB59DC">
            <w:pPr>
              <w:wordWrap w:val="0"/>
              <w:spacing w:line="440" w:lineRule="exact"/>
              <w:ind w:firstLine="480" w:firstLineChars="200"/>
              <w:rPr>
                <w:rFonts w:hint="eastAsia"/>
                <w:color w:val="auto"/>
                <w:sz w:val="24"/>
                <w:highlight w:val="none"/>
                <w:u w:val="single"/>
                <w:lang w:val="en-US" w:eastAsia="zh-CN"/>
              </w:rPr>
            </w:pPr>
            <w:r>
              <w:rPr>
                <w:rFonts w:hint="eastAsia"/>
                <w:color w:val="auto"/>
                <w:sz w:val="24"/>
                <w:highlight w:val="none"/>
                <w:u w:val="none"/>
                <w:lang w:val="en-US" w:eastAsia="zh-CN"/>
              </w:rPr>
              <w:t>采用电子保函：</w:t>
            </w:r>
          </w:p>
          <w:p w14:paraId="7BF1848F">
            <w:pPr>
              <w:keepNext w:val="0"/>
              <w:keepLines w:val="0"/>
              <w:pageBreakBefore w:val="0"/>
              <w:widowControl w:val="0"/>
              <w:kinsoku/>
              <w:wordWrap w:val="0"/>
              <w:overflowPunct/>
              <w:autoSpaceDE/>
              <w:autoSpaceDN/>
              <w:bidi w:val="0"/>
              <w:adjustRightInd/>
              <w:snapToGrid/>
              <w:spacing w:line="44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w:t>
            </w:r>
            <w:r>
              <w:rPr>
                <w:rFonts w:hint="default" w:ascii="Times New Roman" w:hAnsi="Times New Roman" w:cs="Times New Roman"/>
                <w:color w:val="auto"/>
                <w:sz w:val="24"/>
                <w:szCs w:val="24"/>
                <w:highlight w:val="none"/>
              </w:rPr>
              <w:t>不要求</w:t>
            </w:r>
          </w:p>
        </w:tc>
      </w:tr>
      <w:tr w14:paraId="04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7D93DFCD">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7.8</w:t>
            </w:r>
          </w:p>
        </w:tc>
        <w:tc>
          <w:tcPr>
            <w:tcW w:w="2779" w:type="dxa"/>
            <w:shd w:val="clear" w:color="auto" w:fill="auto"/>
            <w:noWrap w:val="0"/>
            <w:vAlign w:val="center"/>
          </w:tcPr>
          <w:p w14:paraId="60FC8B5E">
            <w:pPr>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签订合同</w:t>
            </w:r>
          </w:p>
        </w:tc>
        <w:tc>
          <w:tcPr>
            <w:tcW w:w="5401" w:type="dxa"/>
            <w:shd w:val="clear" w:color="auto" w:fill="auto"/>
            <w:noWrap w:val="0"/>
            <w:vAlign w:val="center"/>
          </w:tcPr>
          <w:p w14:paraId="138C65A2">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7.8签订合同</w:t>
            </w:r>
          </w:p>
          <w:p w14:paraId="116F0FB9">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补充第7.8.</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w:t>
            </w:r>
          </w:p>
          <w:p w14:paraId="094017ED">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人员履约要求</w:t>
            </w:r>
          </w:p>
          <w:p w14:paraId="618206C9">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收到中标通知书后，应及时向招标人报送满足要求的其他管理人员、其他设备的详细资料【详见合同附件格式《附件四其他管理和技术人员最低要求》】，如中标人报送的人员不满足招标文件要求，招标人有权取消其中标资格。</w:t>
            </w:r>
          </w:p>
          <w:p w14:paraId="34568A6B">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中标人进场时，如果所提供的人员低于投标阶段以及中标后合同谈判阶段所承诺的人员最低标准，即被认为未按合同文件规定履约，发包人将有权与中标人解除合同，另行安排其他单位进行施工。</w:t>
            </w:r>
          </w:p>
          <w:p w14:paraId="48F689EF">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补充第7.8.</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项：</w:t>
            </w:r>
          </w:p>
          <w:p w14:paraId="7E4CEC6B">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如果根据投标人须知第3.5.3项(适用于已进行资格预审的)、第3.5.11项(适用于未进行资格预审的)规定，招标人取消了中标人的中标资格，招标人将以《中华人民共和国招标投标法》、《中华人民共和国招标投标法实施条例》为依据，参照《公路工程建设项目招标投标管理办法》重新组织招标；如果根据投标人须知第7.7.2项或第7.8.1项规定，招标人取消了中标人的中标资格，招标人可将合同授予下一个中标候选人，或者以《中华人民共和国招标投标法》、《中华人民共和国招标投标法实施条例》为依据，参照《公路工程建设项目招标投标管理办法》重新组织招标。</w:t>
            </w:r>
          </w:p>
          <w:p w14:paraId="7D1520E7">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补充第7.8.</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项：</w:t>
            </w:r>
          </w:p>
          <w:p w14:paraId="5F86CDAF">
            <w:pPr>
              <w:pageBreakBefore w:val="0"/>
              <w:kinsoku/>
              <w:wordWrap w:val="0"/>
              <w:bidi w:val="0"/>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不平衡单价的调整</w:t>
            </w:r>
          </w:p>
          <w:p w14:paraId="71F536BF">
            <w:pPr>
              <w:pageBreakBefore w:val="0"/>
              <w:kinsoku/>
              <w:wordWrap w:val="0"/>
              <w:bidi w:val="0"/>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如果招标人在评标结束后发现并认为中标人工程量清单中某些子目的单价不合理，则招标人可以要求中标人就该类子目的报价进行澄清，或提供详细的价格分析以证明这些价格在建议的施工方法和计划的条件下具有合理性。如不能证明其合理性，则在签订合同前进行澄清谈判时，招标人将有权按照总价不变的原则对有关单价进行调整。</w:t>
            </w:r>
          </w:p>
        </w:tc>
      </w:tr>
      <w:tr w14:paraId="29BC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5D27AD5">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8.5.1</w:t>
            </w:r>
          </w:p>
        </w:tc>
        <w:tc>
          <w:tcPr>
            <w:tcW w:w="2779" w:type="dxa"/>
            <w:noWrap w:val="0"/>
            <w:vAlign w:val="center"/>
          </w:tcPr>
          <w:p w14:paraId="2F129A52">
            <w:pPr>
              <w:pageBreakBefore w:val="0"/>
              <w:kinsoku/>
              <w:wordWrap w:val="0"/>
              <w:bidi w:val="0"/>
              <w:spacing w:line="4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监督部门</w:t>
            </w:r>
          </w:p>
        </w:tc>
        <w:tc>
          <w:tcPr>
            <w:tcW w:w="5401" w:type="dxa"/>
            <w:noWrap w:val="0"/>
            <w:vAlign w:val="center"/>
          </w:tcPr>
          <w:p w14:paraId="77BFC95F">
            <w:pPr>
              <w:pageBreakBefore w:val="0"/>
              <w:kinsoku/>
              <w:wordWrap w:val="0"/>
              <w:bidi w:val="0"/>
              <w:spacing w:line="440" w:lineRule="exact"/>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监督部门</w:t>
            </w:r>
            <w:r>
              <w:rPr>
                <w:rFonts w:hint="default" w:ascii="Times New Roman" w:hAnsi="Times New Roman" w:cs="Times New Roman"/>
                <w:color w:val="auto"/>
                <w:sz w:val="24"/>
                <w:szCs w:val="24"/>
                <w:highlight w:val="none"/>
                <w:shd w:val="clear"/>
              </w:rPr>
              <w:t>：</w:t>
            </w:r>
            <w:r>
              <w:rPr>
                <w:rFonts w:hint="eastAsia" w:cs="Times New Roman"/>
                <w:color w:val="auto"/>
                <w:sz w:val="24"/>
                <w:szCs w:val="24"/>
                <w:highlight w:val="none"/>
                <w:u w:val="single"/>
                <w:shd w:val="clear"/>
                <w:lang w:eastAsia="zh-CN"/>
              </w:rPr>
              <w:t>盖州市交通运输局</w:t>
            </w:r>
          </w:p>
          <w:p w14:paraId="14E87CA8">
            <w:pPr>
              <w:pageBreakBefore w:val="0"/>
              <w:kinsoku/>
              <w:wordWrap w:val="0"/>
              <w:bidi w:val="0"/>
              <w:spacing w:line="440" w:lineRule="exact"/>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盖州市清河大街政府2号楼</w:t>
            </w:r>
          </w:p>
          <w:p w14:paraId="58764E7E">
            <w:pPr>
              <w:pageBreakBefore w:val="0"/>
              <w:kinsoku/>
              <w:wordWrap w:val="0"/>
              <w:bidi w:val="0"/>
              <w:spacing w:line="440" w:lineRule="exac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电话：</w:t>
            </w:r>
            <w:r>
              <w:rPr>
                <w:rFonts w:hint="eastAsia" w:cs="Times New Roman"/>
                <w:color w:val="auto"/>
                <w:sz w:val="24"/>
                <w:szCs w:val="24"/>
                <w:highlight w:val="none"/>
                <w:u w:val="single"/>
                <w:lang w:val="en-US" w:eastAsia="zh-CN"/>
              </w:rPr>
              <w:t xml:space="preserve">  0417-7812343 </w:t>
            </w:r>
          </w:p>
          <w:p w14:paraId="16C2A3E3">
            <w:pPr>
              <w:pageBreakBefore w:val="0"/>
              <w:kinsoku/>
              <w:wordWrap w:val="0"/>
              <w:bidi w:val="0"/>
              <w:spacing w:line="44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传真：</w:t>
            </w:r>
            <w:r>
              <w:rPr>
                <w:rFonts w:hint="eastAsia" w:cs="Times New Roman"/>
                <w:color w:val="auto"/>
                <w:sz w:val="24"/>
                <w:szCs w:val="24"/>
                <w:highlight w:val="none"/>
                <w:u w:val="single"/>
                <w:lang w:val="en-US" w:eastAsia="zh-CN"/>
              </w:rPr>
              <w:t xml:space="preserve">       /       </w:t>
            </w:r>
          </w:p>
          <w:p w14:paraId="5A70CC13">
            <w:pPr>
              <w:pageBreakBefore w:val="0"/>
              <w:kinsoku/>
              <w:wordWrap w:val="0"/>
              <w:bidi w:val="0"/>
              <w:spacing w:line="440" w:lineRule="exac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邮政编码：</w:t>
            </w:r>
            <w:r>
              <w:rPr>
                <w:rFonts w:hint="eastAsia" w:cs="Times New Roman"/>
                <w:color w:val="auto"/>
                <w:sz w:val="24"/>
                <w:szCs w:val="24"/>
                <w:highlight w:val="none"/>
                <w:u w:val="single"/>
                <w:lang w:val="en-US" w:eastAsia="zh-CN"/>
              </w:rPr>
              <w:t xml:space="preserve"> 115200 </w:t>
            </w:r>
          </w:p>
          <w:p w14:paraId="5BFFDBFF">
            <w:pPr>
              <w:widowControl w:val="0"/>
              <w:spacing w:line="44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664D27E7">
            <w:pPr>
              <w:widowControl w:val="0"/>
              <w:spacing w:line="44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4FAECA85">
            <w:pPr>
              <w:spacing w:line="44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w:t>
            </w:r>
          </w:p>
          <w:p w14:paraId="1CE84880">
            <w:pPr>
              <w:spacing w:line="44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w:t>
            </w:r>
            <w:r>
              <w:rPr>
                <w:rFonts w:hint="eastAsia" w:cs="Times New Roman"/>
                <w:color w:val="auto"/>
                <w:sz w:val="24"/>
                <w:szCs w:val="24"/>
                <w:highlight w:val="none"/>
                <w:lang w:val="en-US" w:eastAsia="zh-CN"/>
              </w:rPr>
              <w:t>行</w:t>
            </w:r>
            <w:r>
              <w:rPr>
                <w:rFonts w:hint="default" w:ascii="Times New Roman" w:hAnsi="Times New Roman" w:eastAsia="宋体" w:cs="Times New Roman"/>
                <w:color w:val="auto"/>
                <w:sz w:val="24"/>
                <w:szCs w:val="24"/>
                <w:highlight w:val="none"/>
              </w:rPr>
              <w:t>要求投诉人递交提出异议的证明文件，已向其他有关行政监督部门投诉的，应当一并说明。未按规定提出异议或者未提交已提出异议的证明文件的投诉，不予受理。</w:t>
            </w:r>
          </w:p>
          <w:p w14:paraId="33662B8E">
            <w:pPr>
              <w:spacing w:line="44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7F27174A">
            <w:pPr>
              <w:pageBreakBefore w:val="0"/>
              <w:kinsoku/>
              <w:wordWrap w:val="0"/>
              <w:bidi w:val="0"/>
              <w:spacing w:line="440" w:lineRule="exact"/>
              <w:ind w:left="636" w:leftChars="0" w:hanging="636" w:hangingChars="265"/>
              <w:rPr>
                <w:rFonts w:hint="default" w:ascii="Times New Roman" w:hAnsi="Times New Roman" w:cs="Times New Roman"/>
                <w:color w:val="auto"/>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47D9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16" w:type="dxa"/>
            <w:gridSpan w:val="3"/>
            <w:noWrap w:val="0"/>
            <w:vAlign w:val="center"/>
          </w:tcPr>
          <w:p w14:paraId="2FEE0998">
            <w:pPr>
              <w:pageBreakBefore w:val="0"/>
              <w:kinsoku/>
              <w:wordWrap w:val="0"/>
              <w:bidi w:val="0"/>
              <w:spacing w:line="440" w:lineRule="exact"/>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需要补充的其他内容</w:t>
            </w:r>
          </w:p>
        </w:tc>
      </w:tr>
      <w:tr w14:paraId="7A14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3DCFEE14">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9.1</w:t>
            </w:r>
          </w:p>
        </w:tc>
        <w:tc>
          <w:tcPr>
            <w:tcW w:w="2779" w:type="dxa"/>
            <w:noWrap w:val="0"/>
            <w:vAlign w:val="center"/>
          </w:tcPr>
          <w:p w14:paraId="4CA0D562">
            <w:pPr>
              <w:pageBreakBefore w:val="0"/>
              <w:kinsoku/>
              <w:wordWrap w:val="0"/>
              <w:bidi w:val="0"/>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施工组织设计的编制要求</w:t>
            </w:r>
            <w:r>
              <w:rPr>
                <w:rStyle w:val="48"/>
                <w:rFonts w:hint="default" w:ascii="Times New Roman" w:hAnsi="Times New Roman" w:cs="Times New Roman"/>
                <w:b w:val="0"/>
                <w:bCs w:val="0"/>
                <w:color w:val="auto"/>
                <w:sz w:val="24"/>
                <w:szCs w:val="24"/>
                <w:highlight w:val="none"/>
                <w:lang w:val="en-US" w:eastAsia="zh-CN"/>
              </w:rPr>
              <w:footnoteReference w:id="8"/>
            </w:r>
            <w:r>
              <w:rPr>
                <w:rFonts w:hint="eastAsia" w:ascii="宋体" w:hAnsi="宋体" w:eastAsia="宋体" w:cs="宋体"/>
                <w:b/>
                <w:bCs/>
                <w:color w:val="auto"/>
                <w:sz w:val="24"/>
                <w:szCs w:val="24"/>
                <w:highlight w:val="none"/>
                <w:lang w:val="en-US" w:eastAsia="zh-CN"/>
              </w:rPr>
              <w:t>（本项目不适用）</w:t>
            </w:r>
          </w:p>
        </w:tc>
        <w:tc>
          <w:tcPr>
            <w:tcW w:w="5401" w:type="dxa"/>
            <w:noWrap w:val="0"/>
            <w:vAlign w:val="center"/>
          </w:tcPr>
          <w:p w14:paraId="377B2D16">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投标文件</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val="en-US" w:eastAsia="zh-CN"/>
              </w:rPr>
              <w:t>施工组织设计</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编制要求：</w:t>
            </w:r>
          </w:p>
          <w:p w14:paraId="2B04CD50">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采用暗标形式，必须按下列格式编制，否则视为未对招标文件作出实质性响应，按否决投标处理。</w:t>
            </w:r>
          </w:p>
          <w:p w14:paraId="7BA3A07C">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（1）采用</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u w:val="none"/>
                <w:lang w:val="en-US" w:eastAsia="zh-CN"/>
              </w:rPr>
              <w:t>（大小）</w:t>
            </w:r>
            <w:r>
              <w:rPr>
                <w:rFonts w:hint="default" w:ascii="Times New Roman" w:hAnsi="Times New Roman" w:cs="Times New Roman"/>
                <w:color w:val="auto"/>
                <w:sz w:val="24"/>
                <w:szCs w:val="24"/>
                <w:highlight w:val="none"/>
              </w:rPr>
              <w:t>纸张。页边距：</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rPr>
              <w:t>。</w:t>
            </w:r>
          </w:p>
          <w:p w14:paraId="5CA036B8">
            <w:pPr>
              <w:pageBreakBefore w:val="0"/>
              <w:kinsoku/>
              <w:wordWrap w:val="0"/>
              <w:bidi w:val="0"/>
              <w:spacing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（2）除图纸、图表外所用文字采用</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u w:val="none"/>
                <w:lang w:val="en-US" w:eastAsia="zh-CN"/>
              </w:rPr>
              <w:t>（字体、字号、颜色要求）</w:t>
            </w:r>
            <w:r>
              <w:rPr>
                <w:rFonts w:hint="default" w:ascii="Times New Roman" w:hAnsi="Times New Roman" w:cs="Times New Roman"/>
                <w:color w:val="auto"/>
                <w:sz w:val="24"/>
                <w:szCs w:val="24"/>
                <w:highlight w:val="none"/>
              </w:rPr>
              <w:t>，图纸、图表中所有文字采用</w:t>
            </w:r>
            <w:r>
              <w:rPr>
                <w:rFonts w:hint="eastAsia" w:cs="Times New Roman"/>
                <w:color w:val="auto"/>
                <w:sz w:val="24"/>
                <w:szCs w:val="24"/>
                <w:highlight w:val="none"/>
                <w:u w:val="single"/>
                <w:lang w:val="en-US" w:eastAsia="zh-CN"/>
              </w:rPr>
              <w:t xml:space="preserve">  /  </w:t>
            </w:r>
            <w:r>
              <w:rPr>
                <w:rFonts w:hint="default" w:ascii="Times New Roman" w:hAnsi="Times New Roman" w:cs="Times New Roman"/>
                <w:color w:val="auto"/>
                <w:sz w:val="24"/>
                <w:szCs w:val="24"/>
                <w:highlight w:val="none"/>
                <w:u w:val="none"/>
                <w:lang w:val="en-US" w:eastAsia="zh-CN"/>
              </w:rPr>
              <w:t>（字体、字号、颜色要求）</w:t>
            </w:r>
            <w:r>
              <w:rPr>
                <w:rFonts w:hint="default" w:ascii="Times New Roman" w:hAnsi="Times New Roman" w:cs="Times New Roman"/>
                <w:color w:val="auto"/>
                <w:sz w:val="24"/>
                <w:szCs w:val="24"/>
                <w:highlight w:val="none"/>
              </w:rPr>
              <w:t>；不得有任何加粗、斜体、下划线、边框、底纹、阴影等标记。不得设置目录、页码、页眉、页脚；段落设置：</w:t>
            </w:r>
            <w:r>
              <w:rPr>
                <w:rFonts w:hint="default" w:ascii="Times New Roman" w:hAnsi="Times New Roman" w:cs="Times New Roman"/>
                <w:color w:val="auto"/>
                <w:sz w:val="24"/>
                <w:szCs w:val="24"/>
                <w:highlight w:val="none"/>
                <w:u w:val="none"/>
                <w:lang w:val="en-US" w:eastAsia="zh-CN"/>
              </w:rPr>
              <w:t>（行距要求）</w:t>
            </w:r>
            <w:r>
              <w:rPr>
                <w:rFonts w:hint="default" w:ascii="Times New Roman" w:hAnsi="Times New Roman" w:cs="Times New Roman"/>
                <w:color w:val="auto"/>
                <w:sz w:val="24"/>
                <w:szCs w:val="24"/>
                <w:highlight w:val="none"/>
              </w:rPr>
              <w:t>，段落设置中</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如果定义了文档网格，则自动调整右缩进</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不打勾，</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如果定义了文档网格，则对齐到网格</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要打勾。</w:t>
            </w:r>
          </w:p>
          <w:p w14:paraId="223D2D29">
            <w:pPr>
              <w:pageBreakBefore w:val="0"/>
              <w:kinsoku/>
              <w:wordWrap w:val="0"/>
              <w:bidi w:val="0"/>
              <w:spacing w:line="440" w:lineRule="exact"/>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auto"/>
                <w:sz w:val="24"/>
                <w:szCs w:val="24"/>
                <w:highlight w:val="none"/>
                <w:lang w:val="en-US" w:eastAsia="zh-CN"/>
              </w:rPr>
              <w:t>投标人</w:t>
            </w:r>
            <w:r>
              <w:rPr>
                <w:rFonts w:hint="default" w:ascii="Times New Roman" w:hAnsi="Times New Roman" w:cs="Times New Roman"/>
                <w:color w:val="auto"/>
                <w:sz w:val="24"/>
                <w:szCs w:val="24"/>
                <w:highlight w:val="none"/>
              </w:rPr>
              <w:t>或人员电子签章，不得出现其他不符合暗标要求的内容</w:t>
            </w:r>
            <w:r>
              <w:rPr>
                <w:rFonts w:hint="default" w:ascii="Times New Roman" w:hAnsi="Times New Roman" w:cs="Times New Roman"/>
                <w:color w:val="auto"/>
                <w:sz w:val="24"/>
                <w:szCs w:val="24"/>
                <w:highlight w:val="none"/>
                <w:lang w:eastAsia="zh-CN"/>
              </w:rPr>
              <w:t>。</w:t>
            </w:r>
          </w:p>
          <w:p w14:paraId="6E05A15D">
            <w:pPr>
              <w:pageBreakBefore w:val="0"/>
              <w:kinsoku/>
              <w:wordWrap w:val="0"/>
              <w:bidi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其他要求：</w:t>
            </w:r>
            <w:r>
              <w:rPr>
                <w:rFonts w:hint="eastAsia" w:cs="Times New Roman"/>
                <w:b/>
                <w:bCs/>
                <w:color w:val="auto"/>
                <w:sz w:val="24"/>
                <w:szCs w:val="24"/>
                <w:highlight w:val="none"/>
                <w:u w:val="single"/>
                <w:lang w:val="en-US" w:eastAsia="zh-CN"/>
              </w:rPr>
              <w:t>本项目不采用暗标</w:t>
            </w:r>
            <w:r>
              <w:rPr>
                <w:rFonts w:hint="default" w:ascii="Times New Roman" w:hAnsi="Times New Roman" w:cs="Times New Roman"/>
                <w:b/>
                <w:bCs/>
                <w:color w:val="auto"/>
                <w:sz w:val="24"/>
                <w:szCs w:val="24"/>
                <w:highlight w:val="none"/>
                <w:u w:val="single"/>
              </w:rPr>
              <w:t>形式</w:t>
            </w:r>
            <w:r>
              <w:rPr>
                <w:rFonts w:hint="default" w:ascii="Times New Roman" w:hAnsi="Times New Roman" w:cs="Times New Roman"/>
                <w:color w:val="auto"/>
                <w:sz w:val="24"/>
                <w:szCs w:val="24"/>
                <w:highlight w:val="none"/>
              </w:rPr>
              <w:t>。</w:t>
            </w:r>
          </w:p>
        </w:tc>
      </w:tr>
      <w:tr w14:paraId="6B22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0DD8403D">
            <w:pPr>
              <w:pageBreakBefore w:val="0"/>
              <w:kinsoku/>
              <w:wordWrap w:val="0"/>
              <w:bidi w:val="0"/>
              <w:spacing w:line="440" w:lineRule="exact"/>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9</w:t>
            </w:r>
            <w:r>
              <w:rPr>
                <w:rFonts w:hint="default" w:cs="Times New Roman"/>
                <w:color w:val="auto"/>
                <w:sz w:val="24"/>
                <w:szCs w:val="24"/>
                <w:highlight w:val="none"/>
                <w:lang w:val="en-US" w:eastAsia="zh-CN"/>
              </w:rPr>
              <w:t>.</w:t>
            </w:r>
            <w:r>
              <w:rPr>
                <w:rFonts w:hint="eastAsia" w:cs="Times New Roman"/>
                <w:color w:val="auto"/>
                <w:sz w:val="24"/>
                <w:szCs w:val="24"/>
                <w:highlight w:val="none"/>
                <w:lang w:val="en-US" w:eastAsia="zh-CN"/>
              </w:rPr>
              <w:t>2</w:t>
            </w:r>
          </w:p>
        </w:tc>
        <w:tc>
          <w:tcPr>
            <w:tcW w:w="8180" w:type="dxa"/>
            <w:gridSpan w:val="2"/>
            <w:noWrap w:val="0"/>
            <w:vAlign w:val="center"/>
          </w:tcPr>
          <w:p w14:paraId="76993E09">
            <w:pPr>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eastAsia="zh-CN"/>
              </w:rPr>
              <w:t>9</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2款</w:t>
            </w:r>
            <w:r>
              <w:rPr>
                <w:rFonts w:hint="default" w:ascii="Times New Roman" w:hAnsi="Times New Roman" w:eastAsia="宋体" w:cs="Times New Roman"/>
                <w:color w:val="auto"/>
                <w:sz w:val="24"/>
                <w:szCs w:val="24"/>
                <w:highlight w:val="none"/>
                <w:vertAlign w:val="superscript"/>
              </w:rPr>
              <w:footnoteReference w:id="9"/>
            </w:r>
            <w:r>
              <w:rPr>
                <w:rFonts w:hint="default" w:ascii="Times New Roman" w:hAnsi="Times New Roman" w:eastAsia="宋体" w:cs="Times New Roman"/>
                <w:color w:val="auto"/>
                <w:sz w:val="24"/>
                <w:szCs w:val="24"/>
                <w:highlight w:val="none"/>
              </w:rPr>
              <w:t>：</w:t>
            </w:r>
          </w:p>
          <w:p w14:paraId="15A556EB">
            <w:pPr>
              <w:pageBreakBefore w:val="0"/>
              <w:kinsoku/>
              <w:wordWrap w:val="0"/>
              <w:bidi w:val="0"/>
              <w:spacing w:line="440" w:lineRule="exact"/>
              <w:jc w:val="left"/>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r w14:paraId="50A5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54AE6A4A">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9.3</w:t>
            </w:r>
          </w:p>
        </w:tc>
        <w:tc>
          <w:tcPr>
            <w:tcW w:w="8180" w:type="dxa"/>
            <w:gridSpan w:val="2"/>
            <w:shd w:val="clear" w:color="auto" w:fill="auto"/>
            <w:noWrap w:val="0"/>
            <w:vAlign w:val="center"/>
          </w:tcPr>
          <w:p w14:paraId="6E15287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r>
              <w:rPr>
                <w:rFonts w:hint="eastAsia" w:ascii="宋体" w:hAnsi="宋体" w:eastAsia="宋体" w:cs="宋体"/>
                <w:color w:val="auto"/>
                <w:sz w:val="24"/>
                <w:szCs w:val="24"/>
                <w:highlight w:val="none"/>
              </w:rPr>
              <w:t>：</w:t>
            </w:r>
          </w:p>
          <w:p w14:paraId="0EE9E046">
            <w:pPr>
              <w:spacing w:before="69" w:line="328" w:lineRule="auto"/>
              <w:ind w:right="96"/>
              <w:jc w:val="left"/>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投标</w:t>
            </w:r>
            <w:r>
              <w:rPr>
                <w:rFonts w:hint="eastAsia" w:ascii="宋体" w:hAnsi="宋体" w:eastAsia="宋体" w:cs="宋体"/>
                <w:color w:val="auto"/>
                <w:spacing w:val="7"/>
                <w:sz w:val="24"/>
                <w:szCs w:val="24"/>
                <w:highlight w:val="none"/>
              </w:rPr>
              <w:t>人应根据《公路水运工程安全生产监督管理办法》以及《关于印发&lt;企</w:t>
            </w:r>
            <w:r>
              <w:rPr>
                <w:rFonts w:hint="eastAsia" w:ascii="宋体" w:hAnsi="宋体" w:eastAsia="宋体" w:cs="宋体"/>
                <w:color w:val="auto"/>
                <w:spacing w:val="5"/>
                <w:sz w:val="24"/>
                <w:szCs w:val="24"/>
                <w:highlight w:val="none"/>
              </w:rPr>
              <w:t>业安全生产费用提取和使用管理办法&gt;的通知》(财企〔2012〕16号)的规</w:t>
            </w:r>
            <w:r>
              <w:rPr>
                <w:rFonts w:hint="eastAsia" w:ascii="宋体" w:hAnsi="宋体" w:eastAsia="宋体" w:cs="宋体"/>
                <w:color w:val="auto"/>
                <w:spacing w:val="15"/>
                <w:sz w:val="24"/>
                <w:szCs w:val="24"/>
                <w:highlight w:val="none"/>
              </w:rPr>
              <w:t>定</w:t>
            </w:r>
            <w:r>
              <w:rPr>
                <w:rFonts w:hint="eastAsia" w:ascii="宋体" w:hAnsi="宋体" w:eastAsia="宋体" w:cs="宋体"/>
                <w:color w:val="auto"/>
                <w:spacing w:val="8"/>
                <w:sz w:val="24"/>
                <w:szCs w:val="24"/>
                <w:highlight w:val="none"/>
              </w:rPr>
              <w:t>，在投标总价中计入安全生产费用，</w:t>
            </w:r>
            <w:r>
              <w:rPr>
                <w:rFonts w:hint="eastAsia" w:ascii="宋体" w:hAnsi="宋体" w:eastAsia="宋体" w:cs="宋体"/>
                <w:b/>
                <w:bCs/>
                <w:color w:val="auto"/>
                <w:spacing w:val="8"/>
                <w:sz w:val="24"/>
                <w:szCs w:val="24"/>
                <w:highlight w:val="none"/>
              </w:rPr>
              <w:t>安全生产费用以固定金额形式计入工程</w:t>
            </w:r>
            <w:r>
              <w:rPr>
                <w:rFonts w:hint="eastAsia" w:ascii="宋体" w:hAnsi="宋体" w:eastAsia="宋体" w:cs="宋体"/>
                <w:b/>
                <w:bCs/>
                <w:color w:val="auto"/>
                <w:spacing w:val="7"/>
                <w:sz w:val="24"/>
                <w:szCs w:val="24"/>
                <w:highlight w:val="none"/>
              </w:rPr>
              <w:t>量清单第100章中(安全生产费用为招标人公布的最高投标限价的1.5％</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7"/>
                <w:sz w:val="24"/>
                <w:szCs w:val="24"/>
                <w:highlight w:val="none"/>
                <w:shd w:val="clear"/>
              </w:rPr>
              <w:t>安全生产费用</w:t>
            </w:r>
            <w:r>
              <w:rPr>
                <w:rFonts w:hint="eastAsia" w:ascii="宋体" w:hAnsi="宋体" w:eastAsia="宋体" w:cs="宋体"/>
                <w:b/>
                <w:bCs/>
                <w:color w:val="auto"/>
                <w:spacing w:val="7"/>
                <w:sz w:val="24"/>
                <w:szCs w:val="24"/>
                <w:highlight w:val="none"/>
                <w:shd w:val="clear"/>
                <w:lang w:eastAsia="zh-CN"/>
              </w:rPr>
              <w:t>：228,060.00</w:t>
            </w:r>
            <w:r>
              <w:rPr>
                <w:rFonts w:hint="eastAsia" w:ascii="宋体" w:hAnsi="宋体" w:eastAsia="宋体" w:cs="宋体"/>
                <w:b/>
                <w:bCs/>
                <w:color w:val="auto"/>
                <w:spacing w:val="7"/>
                <w:sz w:val="24"/>
                <w:szCs w:val="24"/>
                <w:highlight w:val="none"/>
                <w:shd w:val="clear"/>
                <w:lang w:val="en-US" w:eastAsia="zh-CN"/>
              </w:rPr>
              <w:t>元</w:t>
            </w:r>
            <w:r>
              <w:rPr>
                <w:rFonts w:hint="eastAsia" w:ascii="宋体" w:hAnsi="宋体" w:eastAsia="宋体" w:cs="宋体"/>
                <w:b/>
                <w:bCs/>
                <w:color w:val="auto"/>
                <w:spacing w:val="7"/>
                <w:sz w:val="24"/>
                <w:szCs w:val="24"/>
                <w:highlight w:val="none"/>
                <w:shd w:val="clear"/>
              </w:rPr>
              <w:t>)</w:t>
            </w:r>
            <w:r>
              <w:rPr>
                <w:rFonts w:hint="eastAsia" w:ascii="宋体" w:hAnsi="宋体" w:eastAsia="宋体" w:cs="宋体"/>
                <w:b/>
                <w:bCs/>
                <w:color w:val="auto"/>
                <w:sz w:val="24"/>
                <w:szCs w:val="24"/>
                <w:highlight w:val="none"/>
              </w:rPr>
              <w:t>，</w:t>
            </w:r>
            <w:r>
              <w:rPr>
                <w:rFonts w:hint="eastAsia" w:ascii="宋体" w:hAnsi="宋体" w:eastAsia="宋体" w:cs="宋体"/>
                <w:color w:val="auto"/>
                <w:spacing w:val="15"/>
                <w:sz w:val="24"/>
                <w:szCs w:val="24"/>
                <w:highlight w:val="none"/>
              </w:rPr>
              <w:t>投</w:t>
            </w:r>
            <w:r>
              <w:rPr>
                <w:rFonts w:hint="eastAsia" w:ascii="宋体" w:hAnsi="宋体" w:eastAsia="宋体" w:cs="宋体"/>
                <w:color w:val="auto"/>
                <w:spacing w:val="8"/>
                <w:sz w:val="24"/>
                <w:szCs w:val="24"/>
                <w:highlight w:val="none"/>
              </w:rPr>
              <w:t>标人在投标报价时不得对该固定金额进行调整。如投标人须在此基础上增加</w:t>
            </w:r>
            <w:r>
              <w:rPr>
                <w:rFonts w:hint="eastAsia" w:ascii="宋体" w:hAnsi="宋体" w:eastAsia="宋体" w:cs="宋体"/>
                <w:color w:val="auto"/>
                <w:spacing w:val="13"/>
                <w:sz w:val="24"/>
                <w:szCs w:val="24"/>
                <w:highlight w:val="none"/>
              </w:rPr>
              <w:t>安</w:t>
            </w:r>
            <w:r>
              <w:rPr>
                <w:rFonts w:hint="eastAsia" w:ascii="宋体" w:hAnsi="宋体" w:eastAsia="宋体" w:cs="宋体"/>
                <w:color w:val="auto"/>
                <w:spacing w:val="8"/>
                <w:sz w:val="24"/>
                <w:szCs w:val="24"/>
                <w:highlight w:val="none"/>
              </w:rPr>
              <w:t>全生产费用以满足项目施工需要，则投标人应在本项目工程量清单其它相关</w:t>
            </w:r>
            <w:r>
              <w:rPr>
                <w:rFonts w:hint="eastAsia" w:ascii="宋体" w:hAnsi="宋体" w:eastAsia="宋体" w:cs="宋体"/>
                <w:color w:val="auto"/>
                <w:spacing w:val="13"/>
                <w:sz w:val="24"/>
                <w:szCs w:val="24"/>
                <w:highlight w:val="none"/>
              </w:rPr>
              <w:t>子</w:t>
            </w:r>
            <w:r>
              <w:rPr>
                <w:rFonts w:hint="eastAsia" w:ascii="宋体" w:hAnsi="宋体" w:eastAsia="宋体" w:cs="宋体"/>
                <w:color w:val="auto"/>
                <w:spacing w:val="9"/>
                <w:sz w:val="24"/>
                <w:szCs w:val="24"/>
                <w:highlight w:val="none"/>
              </w:rPr>
              <w:t>目的单价或总额价中予以考虑，发包人不再单独支付。</w:t>
            </w:r>
          </w:p>
          <w:p w14:paraId="083330CA">
            <w:pPr>
              <w:pageBreakBefore w:val="0"/>
              <w:kinsoku/>
              <w:wordWrap w:val="0"/>
              <w:bidi w:val="0"/>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8"/>
                <w:sz w:val="24"/>
                <w:szCs w:val="24"/>
                <w:highlight w:val="none"/>
              </w:rPr>
              <w:t>承包</w:t>
            </w:r>
            <w:r>
              <w:rPr>
                <w:rFonts w:hint="eastAsia" w:ascii="宋体" w:hAnsi="宋体" w:eastAsia="宋体" w:cs="宋体"/>
                <w:color w:val="auto"/>
                <w:spacing w:val="13"/>
                <w:sz w:val="24"/>
                <w:szCs w:val="24"/>
                <w:highlight w:val="none"/>
              </w:rPr>
              <w:t>人</w:t>
            </w:r>
            <w:r>
              <w:rPr>
                <w:rFonts w:hint="eastAsia" w:ascii="宋体" w:hAnsi="宋体" w:eastAsia="宋体" w:cs="宋体"/>
                <w:color w:val="auto"/>
                <w:spacing w:val="9"/>
                <w:sz w:val="24"/>
                <w:szCs w:val="24"/>
                <w:highlight w:val="none"/>
              </w:rPr>
              <w:t>的施工安全生产费用，应当用于施工安全防护用具及设施的采购和</w:t>
            </w:r>
            <w:r>
              <w:rPr>
                <w:rFonts w:hint="eastAsia" w:ascii="宋体" w:hAnsi="宋体" w:eastAsia="宋体" w:cs="宋体"/>
                <w:color w:val="auto"/>
                <w:spacing w:val="16"/>
                <w:sz w:val="24"/>
                <w:szCs w:val="24"/>
                <w:highlight w:val="none"/>
              </w:rPr>
              <w:t>更</w:t>
            </w:r>
            <w:r>
              <w:rPr>
                <w:rFonts w:hint="eastAsia" w:ascii="宋体" w:hAnsi="宋体" w:eastAsia="宋体" w:cs="宋体"/>
                <w:color w:val="auto"/>
                <w:spacing w:val="9"/>
                <w:sz w:val="24"/>
                <w:szCs w:val="24"/>
                <w:highlight w:val="none"/>
              </w:rPr>
              <w:t>新、安全施工措施的落实、安全生产条件的改善，不得挪作他用。</w:t>
            </w:r>
          </w:p>
        </w:tc>
      </w:tr>
      <w:tr w14:paraId="0471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noWrap w:val="0"/>
            <w:vAlign w:val="center"/>
          </w:tcPr>
          <w:p w14:paraId="745C4C0D">
            <w:pPr>
              <w:pageBreakBefore w:val="0"/>
              <w:kinsoku/>
              <w:wordWrap w:val="0"/>
              <w:bidi w:val="0"/>
              <w:spacing w:line="440" w:lineRule="exact"/>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9.4</w:t>
            </w:r>
          </w:p>
        </w:tc>
        <w:tc>
          <w:tcPr>
            <w:tcW w:w="8180" w:type="dxa"/>
            <w:gridSpan w:val="2"/>
            <w:shd w:val="clear" w:color="auto" w:fill="auto"/>
            <w:noWrap w:val="0"/>
            <w:vAlign w:val="center"/>
          </w:tcPr>
          <w:p w14:paraId="44D6398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4款</w:t>
            </w:r>
            <w:r>
              <w:rPr>
                <w:rFonts w:hint="eastAsia" w:ascii="宋体" w:hAnsi="宋体" w:eastAsia="宋体" w:cs="宋体"/>
                <w:color w:val="auto"/>
                <w:sz w:val="24"/>
                <w:szCs w:val="24"/>
                <w:highlight w:val="none"/>
              </w:rPr>
              <w:t>：</w:t>
            </w:r>
          </w:p>
          <w:p w14:paraId="11637152">
            <w:pPr>
              <w:pageBreakBefore w:val="0"/>
              <w:kinsoku/>
              <w:wordWrap w:val="0"/>
              <w:bidi w:val="0"/>
              <w:spacing w:line="440" w:lineRule="exact"/>
              <w:jc w:val="left"/>
              <w:rPr>
                <w:rFonts w:hint="eastAsia" w:ascii="宋体" w:hAnsi="宋体" w:eastAsia="宋体" w:cs="宋体"/>
                <w:color w:val="auto"/>
                <w:spacing w:val="18"/>
                <w:kern w:val="2"/>
                <w:sz w:val="24"/>
                <w:szCs w:val="24"/>
                <w:highlight w:val="none"/>
                <w:lang w:val="en-US" w:eastAsia="zh-CN" w:bidi="ar-SA"/>
              </w:rPr>
            </w:pPr>
            <w:r>
              <w:rPr>
                <w:rFonts w:hint="eastAsia" w:ascii="宋体" w:hAnsi="宋体" w:eastAsia="宋体" w:cs="宋体"/>
                <w:color w:val="auto"/>
                <w:spacing w:val="2"/>
                <w:sz w:val="24"/>
                <w:szCs w:val="24"/>
                <w:highlight w:val="none"/>
              </w:rPr>
              <w:t>投标文件第一个信封(商务及技术文件)不</w:t>
            </w:r>
            <w:r>
              <w:rPr>
                <w:rFonts w:hint="eastAsia" w:ascii="宋体" w:hAnsi="宋体" w:eastAsia="宋体" w:cs="宋体"/>
                <w:color w:val="auto"/>
                <w:spacing w:val="1"/>
                <w:sz w:val="24"/>
                <w:szCs w:val="24"/>
                <w:highlight w:val="none"/>
              </w:rPr>
              <w:t>应出现有关投标报价的内容</w:t>
            </w:r>
          </w:p>
        </w:tc>
      </w:tr>
      <w:tr w14:paraId="66EE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27F3854F">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cs="Times New Roman"/>
                <w:color w:val="auto"/>
                <w:sz w:val="24"/>
                <w:szCs w:val="24"/>
                <w:highlight w:val="none"/>
                <w:lang w:val="en-US" w:eastAsia="zh-CN"/>
              </w:rPr>
              <w:t>9.5</w:t>
            </w:r>
          </w:p>
        </w:tc>
        <w:tc>
          <w:tcPr>
            <w:tcW w:w="8180" w:type="dxa"/>
            <w:gridSpan w:val="2"/>
            <w:shd w:val="clear" w:color="auto" w:fill="auto"/>
            <w:noWrap w:val="0"/>
            <w:vAlign w:val="center"/>
          </w:tcPr>
          <w:p w14:paraId="24EC841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款：</w:t>
            </w:r>
          </w:p>
          <w:p w14:paraId="0E6C765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存在下列情形之一的，招标人将对应标段重新招标：</w:t>
            </w:r>
          </w:p>
          <w:p w14:paraId="42E8E83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(1)投标截止时间止，递交投标文件或投标保证金的投标人少于3个的；</w:t>
            </w:r>
          </w:p>
          <w:p w14:paraId="473BED4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(2)经评标委员会评审后否决所有投标的；</w:t>
            </w:r>
          </w:p>
          <w:p w14:paraId="2A6AD9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(3)经评标委员会评审后未推荐中标候选人的；</w:t>
            </w:r>
          </w:p>
          <w:p w14:paraId="45645DE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(4)中标候选人均未与招标人签订合同的；</w:t>
            </w:r>
          </w:p>
          <w:p w14:paraId="17A6638D">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(5)法律规定的其他情形。</w:t>
            </w:r>
          </w:p>
        </w:tc>
      </w:tr>
      <w:tr w14:paraId="705C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322D2302">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9.6</w:t>
            </w:r>
          </w:p>
        </w:tc>
        <w:tc>
          <w:tcPr>
            <w:tcW w:w="8180" w:type="dxa"/>
            <w:gridSpan w:val="2"/>
            <w:shd w:val="clear" w:color="auto" w:fill="auto"/>
            <w:noWrap w:val="0"/>
            <w:vAlign w:val="top"/>
          </w:tcPr>
          <w:p w14:paraId="2648A53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9.6</w:t>
            </w:r>
            <w:r>
              <w:rPr>
                <w:rFonts w:hint="eastAsia" w:ascii="宋体" w:hAnsi="宋体" w:eastAsia="宋体" w:cs="宋体"/>
                <w:color w:val="auto"/>
                <w:sz w:val="24"/>
                <w:szCs w:val="24"/>
                <w:highlight w:val="none"/>
              </w:rPr>
              <w:t>款：</w:t>
            </w:r>
          </w:p>
          <w:p w14:paraId="44756313">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构成本招标文件各个组成部分的文件，未经招标人书面同意，投标人不得擅自复印和用于非本招标项目所需的其他目的。</w:t>
            </w:r>
          </w:p>
        </w:tc>
      </w:tr>
      <w:tr w14:paraId="52F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0B0447CC">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9.7</w:t>
            </w:r>
          </w:p>
        </w:tc>
        <w:tc>
          <w:tcPr>
            <w:tcW w:w="8180" w:type="dxa"/>
            <w:gridSpan w:val="2"/>
            <w:shd w:val="clear" w:color="auto" w:fill="auto"/>
            <w:noWrap w:val="0"/>
            <w:vAlign w:val="top"/>
          </w:tcPr>
          <w:p w14:paraId="7DF6B9A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款：</w:t>
            </w:r>
          </w:p>
          <w:p w14:paraId="33E683D4">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招标文件组成部分的第二章、第四章~第八章中出现的措辞“发包人”和“承包人”，在招标投标阶段应当分别按“招标人”和“投标人(或中标人)”进行理解；构成招标文件组成部分的第二章中出现的措辞“招标人”和“投标人(或中标人)”，且与合同文件相关的条款，在合同履约阶段应当分别按“发包人”和“承包人”进行理解。</w:t>
            </w:r>
          </w:p>
        </w:tc>
      </w:tr>
      <w:tr w14:paraId="1821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6832B9A6">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9.8</w:t>
            </w:r>
          </w:p>
        </w:tc>
        <w:tc>
          <w:tcPr>
            <w:tcW w:w="8180" w:type="dxa"/>
            <w:gridSpan w:val="2"/>
            <w:shd w:val="clear" w:color="auto" w:fill="auto"/>
            <w:noWrap w:val="0"/>
            <w:vAlign w:val="top"/>
          </w:tcPr>
          <w:p w14:paraId="217B5BD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rPr>
              <w:t>款：</w:t>
            </w:r>
          </w:p>
          <w:p w14:paraId="4CE34C8B">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且以合同协议书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200A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23B9719E">
            <w:pPr>
              <w:pageBreakBefore w:val="0"/>
              <w:kinsoku/>
              <w:wordWrap w:val="0"/>
              <w:bidi w:val="0"/>
              <w:spacing w:line="440" w:lineRule="exact"/>
              <w:jc w:val="cente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9.9</w:t>
            </w:r>
          </w:p>
        </w:tc>
        <w:tc>
          <w:tcPr>
            <w:tcW w:w="8180" w:type="dxa"/>
            <w:gridSpan w:val="2"/>
            <w:shd w:val="clear" w:color="auto" w:fill="auto"/>
            <w:noWrap w:val="0"/>
            <w:vAlign w:val="center"/>
          </w:tcPr>
          <w:p w14:paraId="7A3FFE1E">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投标人须知正文补充第9.9款：</w:t>
            </w:r>
          </w:p>
          <w:p w14:paraId="1235F491">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本项目收取招标代理服务费，招标代理服务费由中标人支付；</w:t>
            </w:r>
          </w:p>
          <w:p w14:paraId="1BC3CCE7">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招标代理费参照原《国家计委关于印发〈招标代理服务收费管理暂行办法〉的通知》（计价格〔2002〕1980号）规定的标准计取；</w:t>
            </w:r>
          </w:p>
          <w:p w14:paraId="62463270">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招标代理服务费含在投标报价之中，招标人不再另行支付，但投标人不得在投标报价中单列；</w:t>
            </w:r>
          </w:p>
          <w:p w14:paraId="3870BDB8">
            <w:pPr>
              <w:pageBreakBefore w:val="0"/>
              <w:kinsoku/>
              <w:wordWrap w:val="0"/>
              <w:bidi w:val="0"/>
              <w:spacing w:line="44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招标代理服务费在中标通知书发出前由中标人一次性向招标代理机构付清。</w:t>
            </w:r>
          </w:p>
        </w:tc>
      </w:tr>
      <w:tr w14:paraId="7117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72E222CD">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9.10</w:t>
            </w:r>
          </w:p>
        </w:tc>
        <w:tc>
          <w:tcPr>
            <w:tcW w:w="8180" w:type="dxa"/>
            <w:gridSpan w:val="2"/>
            <w:shd w:val="clear" w:color="auto" w:fill="auto"/>
            <w:noWrap w:val="0"/>
            <w:vAlign w:val="center"/>
          </w:tcPr>
          <w:p w14:paraId="5F2FB56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10款</w:t>
            </w:r>
            <w:r>
              <w:rPr>
                <w:rFonts w:hint="eastAsia" w:ascii="宋体" w:hAnsi="宋体" w:eastAsia="宋体" w:cs="宋体"/>
                <w:color w:val="auto"/>
                <w:sz w:val="24"/>
                <w:szCs w:val="24"/>
                <w:highlight w:val="none"/>
              </w:rPr>
              <w:t>：</w:t>
            </w:r>
          </w:p>
          <w:p w14:paraId="00C0E7CD">
            <w:pPr>
              <w:pageBreakBefore w:val="0"/>
              <w:kinsoku/>
              <w:wordWrap w:val="0"/>
              <w:bidi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省发展改革委关于降低我省建设工程交易服务收费标准的通知》(辽发改价格【2023】128号)，本招标项目的交易双方(招标人和中标人)应缴纳建设工程交易中心服务费，应由招标人及中标人缴纳的建设工程交易中心服务费均由中标人在报价总价中综合考虑，招标人不另行计量或支付，但投标人不得在投标报价中单列；</w:t>
            </w:r>
          </w:p>
          <w:p w14:paraId="74011F18">
            <w:pPr>
              <w:pageBreakBefore w:val="0"/>
              <w:kinsoku/>
              <w:wordWrap w:val="0"/>
              <w:bidi w:val="0"/>
              <w:spacing w:line="44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建设工程交易服务费在中标通知书发出前由中标人一次性向建设工程交易中心付清。</w:t>
            </w:r>
          </w:p>
        </w:tc>
      </w:tr>
      <w:tr w14:paraId="5806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414D36EC">
            <w:pPr>
              <w:pageBreakBefore w:val="0"/>
              <w:kinsoku/>
              <w:wordWrap w:val="0"/>
              <w:bidi w:val="0"/>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9.11</w:t>
            </w:r>
          </w:p>
        </w:tc>
        <w:tc>
          <w:tcPr>
            <w:tcW w:w="8180" w:type="dxa"/>
            <w:gridSpan w:val="2"/>
            <w:shd w:val="clear" w:color="auto" w:fill="auto"/>
            <w:noWrap w:val="0"/>
            <w:vAlign w:val="center"/>
          </w:tcPr>
          <w:p w14:paraId="2123107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投标人须知正文补充第</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11款</w:t>
            </w:r>
            <w:r>
              <w:rPr>
                <w:rFonts w:hint="eastAsia" w:ascii="宋体" w:hAnsi="宋体" w:eastAsia="宋体" w:cs="宋体"/>
                <w:color w:val="auto"/>
                <w:sz w:val="24"/>
                <w:szCs w:val="24"/>
                <w:highlight w:val="none"/>
              </w:rPr>
              <w:t>：</w:t>
            </w:r>
          </w:p>
          <w:p w14:paraId="2BD50B41">
            <w:pPr>
              <w:pageBreakBefore w:val="0"/>
              <w:kinsoku/>
              <w:wordWrap w:val="0"/>
              <w:bidi w:val="0"/>
              <w:spacing w:line="440" w:lineRule="exact"/>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tc>
      </w:tr>
      <w:tr w14:paraId="7C5C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6" w:type="dxa"/>
            <w:shd w:val="clear" w:color="auto" w:fill="auto"/>
            <w:noWrap w:val="0"/>
            <w:vAlign w:val="center"/>
          </w:tcPr>
          <w:p w14:paraId="60B53602">
            <w:pPr>
              <w:pageBreakBefore w:val="0"/>
              <w:kinsoku/>
              <w:wordWrap w:val="0"/>
              <w:bidi w:val="0"/>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9.12</w:t>
            </w:r>
          </w:p>
        </w:tc>
        <w:tc>
          <w:tcPr>
            <w:tcW w:w="8180" w:type="dxa"/>
            <w:gridSpan w:val="2"/>
            <w:shd w:val="clear" w:color="auto" w:fill="auto"/>
            <w:noWrap w:val="0"/>
            <w:vAlign w:val="center"/>
          </w:tcPr>
          <w:p w14:paraId="56B4431F">
            <w:pPr>
              <w:pageBreakBefore w:val="0"/>
              <w:kinsoku/>
              <w:wordWrap w:val="0"/>
              <w:bidi w:val="0"/>
              <w:spacing w:line="44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本项目共划分2个标段，</w:t>
            </w:r>
            <w:r>
              <w:rPr>
                <w:rFonts w:hint="eastAsia" w:ascii="宋体" w:hAnsi="宋体" w:eastAsia="宋体" w:cs="宋体"/>
                <w:b/>
                <w:bCs/>
                <w:color w:val="auto"/>
                <w:sz w:val="24"/>
                <w:szCs w:val="24"/>
                <w:highlight w:val="none"/>
                <w:lang w:val="en-US" w:eastAsia="zh-CN"/>
              </w:rPr>
              <w:t>每个投标人允许同时参与2个标段，但每个投标人最多允许中标其中1个标段，投多个标段的投标单位必须递交</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排序优先选择表</w:t>
            </w:r>
            <w:r>
              <w:rPr>
                <w:rFonts w:hint="eastAsia" w:ascii="宋体" w:hAnsi="宋体" w:cs="宋体"/>
                <w:b/>
                <w:bCs/>
                <w:color w:val="auto"/>
                <w:sz w:val="24"/>
                <w:szCs w:val="24"/>
                <w:highlight w:val="none"/>
                <w:lang w:val="en-US" w:eastAsia="zh-CN"/>
              </w:rPr>
              <w:t>”（格式详见第九章中第一个信封投标文件格式中的“十、其他资料”）</w:t>
            </w:r>
            <w:r>
              <w:rPr>
                <w:rFonts w:hint="eastAsia" w:ascii="宋体" w:hAnsi="宋体" w:eastAsia="宋体" w:cs="宋体"/>
                <w:b/>
                <w:bCs/>
                <w:color w:val="auto"/>
                <w:sz w:val="24"/>
                <w:szCs w:val="24"/>
                <w:highlight w:val="none"/>
                <w:lang w:val="en-US" w:eastAsia="zh-CN"/>
              </w:rPr>
              <w:t>，且各标段投标文件中的排序必须</w:t>
            </w:r>
            <w:r>
              <w:rPr>
                <w:rFonts w:hint="eastAsia" w:ascii="宋体" w:hAnsi="宋体" w:cs="宋体"/>
                <w:b/>
                <w:bCs/>
                <w:color w:val="auto"/>
                <w:sz w:val="24"/>
                <w:szCs w:val="24"/>
                <w:highlight w:val="none"/>
                <w:lang w:val="en-US" w:eastAsia="zh-CN"/>
              </w:rPr>
              <w:t>一致</w:t>
            </w:r>
            <w:r>
              <w:rPr>
                <w:rFonts w:hint="eastAsia" w:ascii="宋体" w:hAnsi="宋体" w:eastAsia="宋体" w:cs="宋体"/>
                <w:b/>
                <w:bCs/>
                <w:color w:val="auto"/>
                <w:sz w:val="24"/>
                <w:szCs w:val="24"/>
                <w:highlight w:val="none"/>
                <w:lang w:val="en-US" w:eastAsia="zh-CN"/>
              </w:rPr>
              <w:t>，否则按废标处理。</w:t>
            </w:r>
          </w:p>
        </w:tc>
      </w:tr>
    </w:tbl>
    <w:p w14:paraId="5BBBE8DB">
      <w:pPr>
        <w:pageBreakBefore w:val="0"/>
        <w:kinsoku/>
        <w:wordWrap w:val="0"/>
        <w:bidi w:val="0"/>
        <w:spacing w:line="20" w:lineRule="exact"/>
        <w:jc w:val="center"/>
        <w:rPr>
          <w:rFonts w:hint="default" w:ascii="Times New Roman" w:hAnsi="Times New Roman" w:eastAsia="黑体" w:cs="Times New Roman"/>
          <w:b/>
          <w:color w:val="auto"/>
          <w:sz w:val="18"/>
          <w:szCs w:val="18"/>
          <w:highlight w:val="none"/>
        </w:rPr>
      </w:pPr>
      <w:r>
        <w:rPr>
          <w:rFonts w:hint="default" w:ascii="Times New Roman" w:hAnsi="Times New Roman" w:eastAsia="黑体" w:cs="Times New Roman"/>
          <w:color w:val="auto"/>
          <w:sz w:val="28"/>
          <w:szCs w:val="28"/>
          <w:highlight w:val="none"/>
        </w:rPr>
        <w:br w:type="page"/>
      </w:r>
    </w:p>
    <w:p w14:paraId="05C42C86">
      <w:pPr>
        <w:pStyle w:val="5"/>
        <w:pageBreakBefore w:val="0"/>
        <w:kinsoku/>
        <w:wordWrap w:val="0"/>
        <w:bidi w:val="0"/>
        <w:spacing w:before="240" w:after="240" w:line="240" w:lineRule="atLeast"/>
        <w:jc w:val="center"/>
        <w:rPr>
          <w:rFonts w:hint="default" w:ascii="Times New Roman" w:hAnsi="Times New Roman" w:cs="Times New Roman"/>
          <w:b w:val="0"/>
          <w:bCs/>
          <w:i w:val="0"/>
          <w:iCs w:val="0"/>
          <w:color w:val="auto"/>
          <w:highlight w:val="none"/>
        </w:rPr>
      </w:pPr>
      <w:bookmarkStart w:id="80" w:name="_Toc12483"/>
      <w:bookmarkStart w:id="81" w:name="_Toc1394"/>
      <w:bookmarkStart w:id="82" w:name="_Toc234832863"/>
      <w:bookmarkStart w:id="83" w:name="_Toc17950"/>
      <w:bookmarkStart w:id="84" w:name="_Toc29783"/>
      <w:r>
        <w:rPr>
          <w:rFonts w:hint="default" w:ascii="Times New Roman" w:hAnsi="Times New Roman" w:eastAsia="黑体" w:cs="Times New Roman"/>
          <w:b w:val="0"/>
          <w:bCs/>
          <w:i w:val="0"/>
          <w:iCs w:val="0"/>
          <w:color w:val="auto"/>
          <w:sz w:val="28"/>
          <w:szCs w:val="28"/>
          <w:highlight w:val="none"/>
        </w:rPr>
        <w:t>附录1资格审查条件（资质最低</w:t>
      </w:r>
      <w:r>
        <w:rPr>
          <w:rFonts w:hint="default" w:ascii="Times New Roman" w:hAnsi="Times New Roman" w:eastAsia="黑体" w:cs="Times New Roman"/>
          <w:b w:val="0"/>
          <w:bCs/>
          <w:i w:val="0"/>
          <w:iCs w:val="0"/>
          <w:color w:val="auto"/>
          <w:sz w:val="28"/>
          <w:szCs w:val="28"/>
          <w:highlight w:val="none"/>
          <w:lang w:eastAsia="zh-CN"/>
        </w:rPr>
        <w:t>要求</w:t>
      </w:r>
      <w:r>
        <w:rPr>
          <w:rFonts w:hint="default" w:ascii="Times New Roman" w:hAnsi="Times New Roman" w:eastAsia="黑体" w:cs="Times New Roman"/>
          <w:b w:val="0"/>
          <w:bCs/>
          <w:i w:val="0"/>
          <w:iCs w:val="0"/>
          <w:color w:val="auto"/>
          <w:sz w:val="28"/>
          <w:szCs w:val="28"/>
          <w:highlight w:val="none"/>
        </w:rPr>
        <w:t>）</w:t>
      </w:r>
      <w:r>
        <w:rPr>
          <w:rStyle w:val="48"/>
          <w:rFonts w:hint="default" w:ascii="Times New Roman" w:hAnsi="Times New Roman" w:eastAsia="黑体" w:cs="Times New Roman"/>
          <w:b w:val="0"/>
          <w:bCs/>
          <w:i w:val="0"/>
          <w:iCs w:val="0"/>
          <w:color w:val="auto"/>
          <w:sz w:val="28"/>
          <w:szCs w:val="28"/>
          <w:highlight w:val="none"/>
        </w:rPr>
        <w:footnoteReference w:id="10"/>
      </w:r>
      <w:bookmarkEnd w:id="80"/>
      <w:bookmarkEnd w:id="81"/>
      <w:bookmarkEnd w:id="82"/>
      <w:bookmarkEnd w:id="83"/>
      <w:bookmarkEnd w:id="8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1BEB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22A1EE2">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施工企业资质等级要求</w:t>
            </w:r>
            <w:r>
              <w:rPr>
                <w:rFonts w:hint="default" w:ascii="Times New Roman" w:hAnsi="Times New Roman" w:cs="Times New Roman"/>
                <w:color w:val="auto"/>
                <w:szCs w:val="21"/>
                <w:highlight w:val="none"/>
              </w:rPr>
              <w:footnoteReference w:id="11"/>
            </w:r>
          </w:p>
        </w:tc>
      </w:tr>
      <w:tr w14:paraId="345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1" w:hRule="atLeast"/>
          <w:jc w:val="center"/>
        </w:trPr>
        <w:tc>
          <w:tcPr>
            <w:tcW w:w="8819" w:type="dxa"/>
            <w:noWrap w:val="0"/>
            <w:vAlign w:val="top"/>
          </w:tcPr>
          <w:p w14:paraId="2BAFF6FB">
            <w:pPr>
              <w:pageBreakBefore w:val="0"/>
              <w:kinsoku/>
              <w:wordWrap w:val="0"/>
              <w:bidi w:val="0"/>
              <w:adjustRightInd w:val="0"/>
              <w:snapToGrid w:val="0"/>
              <w:spacing w:line="400" w:lineRule="atLeast"/>
              <w:jc w:val="both"/>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1、投标人必须具有国内独立法人资格及有效的企业法人营业执照。</w:t>
            </w:r>
          </w:p>
          <w:p w14:paraId="2EB1FEAE">
            <w:pPr>
              <w:pageBreakBefore w:val="0"/>
              <w:kinsoku/>
              <w:wordWrap w:val="0"/>
              <w:bidi w:val="0"/>
              <w:adjustRightInd w:val="0"/>
              <w:snapToGrid w:val="0"/>
              <w:spacing w:line="400" w:lineRule="atLeast"/>
              <w:jc w:val="both"/>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2、投标人的资质应满足以下（1）或（2）项要求：</w:t>
            </w:r>
          </w:p>
          <w:p w14:paraId="0E748CBC">
            <w:pPr>
              <w:pageBreakBefore w:val="0"/>
              <w:kinsoku/>
              <w:wordWrap w:val="0"/>
              <w:bidi w:val="0"/>
              <w:adjustRightInd w:val="0"/>
              <w:snapToGrid w:val="0"/>
              <w:spacing w:line="400" w:lineRule="atLeast"/>
              <w:jc w:val="both"/>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具有交通运输主管部门颁发且有效的“公路养护工程施工二类（乙级）”及以上资质，且资质证书注明的业务范围能够承担二级及以下等级公路的路基、路面、沿线设施（不含监控、通讯、收费管理系统）等大修、中修养护工程；</w:t>
            </w:r>
          </w:p>
          <w:p w14:paraId="425F902A">
            <w:pPr>
              <w:pageBreakBefore w:val="0"/>
              <w:kinsoku/>
              <w:wordWrap w:val="0"/>
              <w:bidi w:val="0"/>
              <w:adjustRightInd w:val="0"/>
              <w:snapToGrid w:val="0"/>
              <w:spacing w:line="400" w:lineRule="atLeast"/>
              <w:jc w:val="both"/>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（2）具有省级交通运输主管部门颁发且有效的“公路养护作业单位资质证书”且资质类别具有路基路面养护乙级及以上资质、交通安全设施养护资质。</w:t>
            </w:r>
          </w:p>
          <w:p w14:paraId="2ACA9540">
            <w:pPr>
              <w:pageBreakBefore w:val="0"/>
              <w:kinsoku/>
              <w:wordWrap w:val="0"/>
              <w:bidi w:val="0"/>
              <w:adjustRightInd w:val="0"/>
              <w:snapToGrid w:val="0"/>
              <w:spacing w:line="400" w:lineRule="atLeast"/>
              <w:jc w:val="both"/>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3、投标人必须具有建设行政主管部门颁发的有效安全生产许可证。</w:t>
            </w:r>
          </w:p>
        </w:tc>
      </w:tr>
      <w:tr w14:paraId="3564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9" w:hRule="atLeast"/>
          <w:jc w:val="center"/>
        </w:trPr>
        <w:tc>
          <w:tcPr>
            <w:tcW w:w="8819" w:type="dxa"/>
            <w:noWrap w:val="0"/>
            <w:vAlign w:val="top"/>
          </w:tcPr>
          <w:p w14:paraId="4E6C1643">
            <w:pPr>
              <w:pageBreakBefore w:val="0"/>
              <w:kinsoku/>
              <w:wordWrap w:val="0"/>
              <w:bidi w:val="0"/>
              <w:adjustRightInd w:val="0"/>
              <w:snapToGrid w:val="0"/>
              <w:spacing w:line="400" w:lineRule="atLeast"/>
              <w:jc w:val="both"/>
              <w:rPr>
                <w:rFonts w:hint="eastAsia" w:ascii="宋体" w:hAnsi="宋体" w:eastAsia="宋体" w:cs="宋体"/>
                <w:b/>
                <w:bCs/>
                <w:color w:val="auto"/>
                <w:szCs w:val="21"/>
                <w:highlight w:val="none"/>
                <w:lang w:val="en-US" w:eastAsia="zh-CN"/>
              </w:rPr>
            </w:pPr>
            <w:bookmarkStart w:id="85" w:name="_Toc3559"/>
            <w:bookmarkStart w:id="86" w:name="_Toc4197"/>
            <w:bookmarkStart w:id="87" w:name="_Toc234832864"/>
            <w:r>
              <w:rPr>
                <w:rFonts w:hint="eastAsia" w:ascii="宋体" w:hAnsi="宋体" w:eastAsia="宋体" w:cs="宋体"/>
                <w:b/>
                <w:bCs/>
                <w:color w:val="auto"/>
                <w:szCs w:val="21"/>
                <w:highlight w:val="none"/>
                <w:lang w:val="en-US" w:eastAsia="zh-CN"/>
              </w:rPr>
              <w:t>注：“投标人基本情况表”后应附企业法人营业执照、施工资质证书、安全生产许可证、基本账户开户许可证或基本存款账户信息的“原件扫描件”，投标人在交通运输部“全国公路建设市场监督管理系统”公路工程施工资质企业名录中的网页截图，以及投标人在国家企业信用信息公示系统中基础信息（体现股东及出资详细信息）的网页截图或由法定的社会验资机构</w:t>
            </w:r>
          </w:p>
          <w:p w14:paraId="088F3AEA">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eastAsia" w:ascii="宋体" w:hAnsi="宋体" w:eastAsia="宋体" w:cs="宋体"/>
                <w:b/>
                <w:bCs/>
                <w:color w:val="auto"/>
                <w:szCs w:val="21"/>
                <w:highlight w:val="none"/>
                <w:lang w:val="en-US" w:eastAsia="zh-CN"/>
              </w:rPr>
              <w:t>出具的验资报告或注册地工商部门出具的股东出资情况证明。</w:t>
            </w:r>
          </w:p>
        </w:tc>
      </w:tr>
    </w:tbl>
    <w:p w14:paraId="04D1F3A6">
      <w:pPr>
        <w:pStyle w:val="5"/>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sectPr>
          <w:headerReference r:id="rId19" w:type="default"/>
          <w:footerReference r:id="rId21" w:type="default"/>
          <w:headerReference r:id="rId20" w:type="even"/>
          <w:footerReference r:id="rId22"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3416999">
      <w:pPr>
        <w:pStyle w:val="5"/>
        <w:pageBreakBefore w:val="0"/>
        <w:kinsoku/>
        <w:wordWrap w:val="0"/>
        <w:bidi w:val="0"/>
        <w:spacing w:before="240" w:after="240" w:line="240" w:lineRule="atLeast"/>
        <w:jc w:val="center"/>
        <w:rPr>
          <w:rFonts w:hint="default" w:ascii="Times New Roman" w:hAnsi="Times New Roman" w:eastAsia="黑体" w:cs="Times New Roman"/>
          <w:b w:val="0"/>
          <w:bCs/>
          <w:i w:val="0"/>
          <w:iCs w:val="0"/>
          <w:color w:val="auto"/>
          <w:sz w:val="28"/>
          <w:szCs w:val="28"/>
          <w:highlight w:val="none"/>
        </w:rPr>
      </w:pPr>
      <w:bookmarkStart w:id="88" w:name="_Toc8732"/>
      <w:bookmarkStart w:id="89" w:name="_Toc9652"/>
      <w:r>
        <w:rPr>
          <w:rFonts w:hint="default" w:ascii="Times New Roman" w:hAnsi="Times New Roman" w:eastAsia="黑体" w:cs="Times New Roman"/>
          <w:b w:val="0"/>
          <w:bCs/>
          <w:i w:val="0"/>
          <w:iCs w:val="0"/>
          <w:color w:val="auto"/>
          <w:sz w:val="28"/>
          <w:szCs w:val="28"/>
          <w:highlight w:val="none"/>
        </w:rPr>
        <w:t>附录2资格审查条件（财务最低要求）</w:t>
      </w:r>
      <w:r>
        <w:rPr>
          <w:rFonts w:hint="default" w:ascii="Times New Roman" w:hAnsi="Times New Roman" w:eastAsia="黑体" w:cs="Times New Roman"/>
          <w:b w:val="0"/>
          <w:bCs/>
          <w:i w:val="0"/>
          <w:iCs w:val="0"/>
          <w:color w:val="auto"/>
          <w:sz w:val="28"/>
          <w:szCs w:val="28"/>
          <w:highlight w:val="none"/>
          <w:vertAlign w:val="superscript"/>
        </w:rPr>
        <w:footnoteReference w:id="12"/>
      </w:r>
      <w:bookmarkEnd w:id="85"/>
      <w:bookmarkEnd w:id="86"/>
      <w:bookmarkEnd w:id="87"/>
      <w:bookmarkEnd w:id="88"/>
      <w:bookmarkEnd w:id="8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CF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7C2D2BB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财务要求</w:t>
            </w:r>
          </w:p>
        </w:tc>
      </w:tr>
      <w:tr w14:paraId="3B94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2" w:hRule="atLeast"/>
          <w:jc w:val="center"/>
        </w:trPr>
        <w:tc>
          <w:tcPr>
            <w:tcW w:w="8819" w:type="dxa"/>
            <w:noWrap w:val="0"/>
            <w:vAlign w:val="center"/>
          </w:tcPr>
          <w:p w14:paraId="100B8D03">
            <w:pPr>
              <w:rPr>
                <w:color w:val="auto"/>
                <w:highlight w:val="none"/>
              </w:rPr>
            </w:pPr>
          </w:p>
          <w:p w14:paraId="07C107CD">
            <w:pPr>
              <w:rPr>
                <w:color w:val="auto"/>
                <w:highlight w:val="none"/>
              </w:rPr>
            </w:pPr>
          </w:p>
          <w:p w14:paraId="2433EDAE">
            <w:pPr>
              <w:rPr>
                <w:color w:val="auto"/>
                <w:highlight w:val="none"/>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w:t>
            </w:r>
          </w:p>
          <w:p w14:paraId="3A3D6107">
            <w:pPr>
              <w:rPr>
                <w:color w:val="auto"/>
                <w:highlight w:val="none"/>
              </w:rPr>
            </w:pPr>
          </w:p>
          <w:p w14:paraId="55A7A11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D3D9C4C">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590E2B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B446E4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6DEC4E4">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D389D2B">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9818AD9">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BA588A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464494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195A242F">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5A98C5C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502DF6C5">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9975D6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BC91125">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54D449F">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p>
          <w:p w14:paraId="6A7477CF">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r w14:paraId="68C9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584F710A">
            <w:pPr>
              <w:pageBreakBefore w:val="0"/>
              <w:kinsoku/>
              <w:wordWrap w:val="0"/>
              <w:bidi w:val="0"/>
              <w:adjustRightInd w:val="0"/>
              <w:snapToGrid w:val="0"/>
              <w:spacing w:line="400" w:lineRule="atLeast"/>
              <w:jc w:val="left"/>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注：</w:t>
            </w:r>
          </w:p>
          <w:p w14:paraId="22BCB78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9D7529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F004F8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EA3ECD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A24A1C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3F3ED302">
      <w:pPr>
        <w:pageBreakBefore w:val="0"/>
        <w:kinsoku/>
        <w:wordWrap w:val="0"/>
        <w:bidi w:val="0"/>
        <w:adjustRightInd w:val="0"/>
        <w:snapToGrid w:val="0"/>
        <w:spacing w:line="300" w:lineRule="exact"/>
        <w:rPr>
          <w:rFonts w:hint="default" w:ascii="Times New Roman" w:hAnsi="Times New Roman" w:eastAsia="黑体" w:cs="Times New Roman"/>
          <w:color w:val="auto"/>
          <w:sz w:val="24"/>
          <w:highlight w:val="none"/>
        </w:rPr>
      </w:pPr>
    </w:p>
    <w:p w14:paraId="4041D78F">
      <w:pPr>
        <w:pStyle w:val="5"/>
        <w:pageBreakBefore w:val="0"/>
        <w:kinsoku/>
        <w:wordWrap w:val="0"/>
        <w:bidi w:val="0"/>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4"/>
          <w:highlight w:val="none"/>
        </w:rPr>
        <w:br w:type="page"/>
      </w:r>
      <w:bookmarkStart w:id="90" w:name="_Toc32433"/>
      <w:bookmarkStart w:id="91" w:name="_Toc13152"/>
      <w:bookmarkStart w:id="92" w:name="_Toc234832865"/>
      <w:bookmarkStart w:id="93" w:name="_Toc10281"/>
      <w:bookmarkStart w:id="94" w:name="_Toc6381"/>
      <w:r>
        <w:rPr>
          <w:rFonts w:hint="default" w:ascii="Times New Roman" w:hAnsi="Times New Roman" w:eastAsia="黑体" w:cs="Times New Roman"/>
          <w:b w:val="0"/>
          <w:bCs/>
          <w:i w:val="0"/>
          <w:iCs w:val="0"/>
          <w:color w:val="auto"/>
          <w:sz w:val="28"/>
          <w:szCs w:val="28"/>
          <w:highlight w:val="none"/>
        </w:rPr>
        <w:t>附录3资格审查条件（业绩最低要求）</w:t>
      </w:r>
      <w:r>
        <w:rPr>
          <w:rStyle w:val="48"/>
          <w:rFonts w:hint="default" w:ascii="Times New Roman" w:hAnsi="Times New Roman" w:eastAsia="黑体" w:cs="Times New Roman"/>
          <w:b w:val="0"/>
          <w:bCs/>
          <w:i w:val="0"/>
          <w:iCs w:val="0"/>
          <w:color w:val="auto"/>
          <w:sz w:val="28"/>
          <w:szCs w:val="28"/>
          <w:highlight w:val="none"/>
        </w:rPr>
        <w:footnoteReference w:id="13"/>
      </w:r>
      <w:bookmarkEnd w:id="90"/>
      <w:bookmarkEnd w:id="91"/>
      <w:bookmarkEnd w:id="92"/>
      <w:bookmarkEnd w:id="93"/>
      <w:bookmarkEnd w:id="9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5B5E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F360C32">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业绩要求</w:t>
            </w:r>
            <w:r>
              <w:rPr>
                <w:rStyle w:val="48"/>
                <w:rFonts w:hint="default" w:ascii="Times New Roman" w:hAnsi="Times New Roman" w:cs="Times New Roman"/>
                <w:color w:val="auto"/>
                <w:szCs w:val="21"/>
                <w:highlight w:val="none"/>
              </w:rPr>
              <w:footnoteReference w:id="14"/>
            </w:r>
          </w:p>
        </w:tc>
      </w:tr>
      <w:tr w14:paraId="1165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0" w:hRule="atLeast"/>
          <w:jc w:val="center"/>
        </w:trPr>
        <w:tc>
          <w:tcPr>
            <w:tcW w:w="8819" w:type="dxa"/>
            <w:noWrap w:val="0"/>
            <w:vAlign w:val="top"/>
          </w:tcPr>
          <w:p w14:paraId="2253FCC7">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投标人202</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年1月1日至投标文件递交截止时间（以竣工时间为准），完成过至少1项类似公路工程业绩。</w:t>
            </w:r>
          </w:p>
          <w:p w14:paraId="7479D2D9">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eastAsia" w:cs="Times New Roman"/>
                <w:color w:val="auto"/>
                <w:szCs w:val="21"/>
                <w:highlight w:val="none"/>
                <w:lang w:eastAsia="zh-CN"/>
              </w:rPr>
              <w:t>（</w:t>
            </w:r>
            <w:r>
              <w:rPr>
                <w:rFonts w:hint="eastAsia" w:cs="Times New Roman"/>
                <w:color w:val="auto"/>
                <w:szCs w:val="21"/>
                <w:highlight w:val="none"/>
                <w:lang w:val="en-US" w:eastAsia="zh-CN"/>
              </w:rPr>
              <w:t>1</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已录入“辽宁省公共资源交易平台主体交易库”中的企业业绩，可以从主体库中选取后关联至投标文件中，作为企业业绩的证明材料；</w:t>
            </w:r>
          </w:p>
          <w:p w14:paraId="1234AABA">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未录入“辽宁省公共资源交易平台主体交易库”中的企业业绩，在投标文件第一个信封的“其他材料”中提供以下材料作为企业业绩证明材料：中标通知书、施工合同、竣工</w:t>
            </w:r>
            <w:r>
              <w:rPr>
                <w:rFonts w:hint="eastAsia" w:cs="Times New Roman"/>
                <w:color w:val="auto"/>
                <w:szCs w:val="21"/>
                <w:highlight w:val="none"/>
                <w:lang w:val="en-US" w:eastAsia="zh-CN"/>
              </w:rPr>
              <w:t>验收报告</w:t>
            </w:r>
            <w:r>
              <w:rPr>
                <w:rFonts w:hint="default" w:ascii="Times New Roman" w:hAnsi="Times New Roman" w:cs="Times New Roman"/>
                <w:color w:val="auto"/>
                <w:szCs w:val="21"/>
                <w:highlight w:val="none"/>
              </w:rPr>
              <w:t>、中标结果公示网站截图；</w:t>
            </w:r>
          </w:p>
          <w:p w14:paraId="0C1D78D3">
            <w:pPr>
              <w:pageBreakBefore w:val="0"/>
              <w:kinsoku/>
              <w:wordWrap w:val="0"/>
              <w:bidi w:val="0"/>
              <w:adjustRightInd w:val="0"/>
              <w:snapToGrid w:val="0"/>
              <w:spacing w:line="400" w:lineRule="atLeast"/>
              <w:jc w:val="both"/>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如投标人法人机构发生变更或重组或法人名称变更时，应提供相关部门的合法批件。</w:t>
            </w:r>
          </w:p>
        </w:tc>
      </w:tr>
      <w:tr w14:paraId="2C73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5E3AEF18">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注：投标人应提供中标通知书、施工合同及竣工</w:t>
            </w:r>
            <w:r>
              <w:rPr>
                <w:rFonts w:hint="eastAsia" w:cs="Times New Roman"/>
                <w:color w:val="auto"/>
                <w:szCs w:val="21"/>
                <w:highlight w:val="none"/>
                <w:lang w:val="en-US" w:eastAsia="zh-CN"/>
              </w:rPr>
              <w:t>验收报告</w:t>
            </w:r>
            <w:r>
              <w:rPr>
                <w:rFonts w:hint="default" w:ascii="Times New Roman" w:hAnsi="Times New Roman" w:cs="Times New Roman"/>
                <w:color w:val="auto"/>
                <w:szCs w:val="21"/>
                <w:highlight w:val="none"/>
              </w:rPr>
              <w:t>，三者缺一不可，时间以竣工时间为准。</w:t>
            </w:r>
          </w:p>
          <w:p w14:paraId="56EF4EA2">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EBD2A0E">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7916FD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D24C9F4">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37648D4D">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28AA74D7">
      <w:pPr>
        <w:pageBreakBefore w:val="0"/>
        <w:kinsoku/>
        <w:wordWrap w:val="0"/>
        <w:bidi w:val="0"/>
        <w:adjustRightInd w:val="0"/>
        <w:snapToGrid w:val="0"/>
        <w:spacing w:line="300" w:lineRule="exact"/>
        <w:rPr>
          <w:rFonts w:hint="default" w:ascii="Times New Roman" w:hAnsi="Times New Roman" w:eastAsia="隶书" w:cs="Times New Roman"/>
          <w:b/>
          <w:color w:val="auto"/>
          <w:sz w:val="32"/>
          <w:highlight w:val="none"/>
        </w:rPr>
      </w:pPr>
    </w:p>
    <w:p w14:paraId="30D371AB">
      <w:pPr>
        <w:pStyle w:val="5"/>
        <w:pageBreakBefore w:val="0"/>
        <w:kinsoku/>
        <w:wordWrap w:val="0"/>
        <w:bidi w:val="0"/>
        <w:spacing w:before="240" w:after="240" w:line="240" w:lineRule="atLeast"/>
        <w:jc w:val="center"/>
        <w:rPr>
          <w:rFonts w:hint="default" w:ascii="Times New Roman" w:hAnsi="Times New Roman" w:eastAsia="黑体" w:cs="Times New Roman"/>
          <w:b w:val="0"/>
          <w:bCs/>
          <w:i w:val="0"/>
          <w:iCs w:val="0"/>
          <w:color w:val="auto"/>
          <w:sz w:val="28"/>
          <w:szCs w:val="28"/>
          <w:highlight w:val="none"/>
        </w:rPr>
      </w:pPr>
      <w:bookmarkStart w:id="95" w:name="_Toc234832866"/>
      <w:bookmarkStart w:id="96" w:name="_Toc19189"/>
      <w:bookmarkStart w:id="97" w:name="_Toc24335"/>
      <w:bookmarkStart w:id="98" w:name="_Toc29684"/>
      <w:bookmarkStart w:id="99" w:name="_Toc17966"/>
      <w:r>
        <w:rPr>
          <w:rFonts w:hint="default" w:ascii="Times New Roman" w:hAnsi="Times New Roman" w:eastAsia="黑体" w:cs="Times New Roman"/>
          <w:b w:val="0"/>
          <w:bCs/>
          <w:i w:val="0"/>
          <w:iCs w:val="0"/>
          <w:color w:val="auto"/>
          <w:sz w:val="28"/>
          <w:szCs w:val="28"/>
          <w:highlight w:val="none"/>
        </w:rPr>
        <w:t>附录4资格审查条件（信誉最低要求）</w:t>
      </w:r>
      <w:r>
        <w:rPr>
          <w:rStyle w:val="48"/>
          <w:rFonts w:hint="default" w:ascii="Times New Roman" w:hAnsi="Times New Roman" w:eastAsia="黑体" w:cs="Times New Roman"/>
          <w:b w:val="0"/>
          <w:bCs/>
          <w:i w:val="0"/>
          <w:iCs w:val="0"/>
          <w:color w:val="auto"/>
          <w:sz w:val="28"/>
          <w:szCs w:val="28"/>
          <w:highlight w:val="none"/>
        </w:rPr>
        <w:footnoteReference w:id="15"/>
      </w:r>
      <w:bookmarkEnd w:id="95"/>
      <w:bookmarkEnd w:id="96"/>
      <w:bookmarkEnd w:id="97"/>
      <w:bookmarkEnd w:id="98"/>
      <w:bookmarkEnd w:id="9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05C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C056421">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信誉要求</w:t>
            </w:r>
          </w:p>
        </w:tc>
      </w:tr>
      <w:tr w14:paraId="686E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19" w:type="dxa"/>
            <w:noWrap w:val="0"/>
            <w:vAlign w:val="center"/>
          </w:tcPr>
          <w:p w14:paraId="06D23736">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（1）未被省级及以上交通运输主管部门取消招标项目所在地的投标资格且处于有效期内；</w:t>
            </w:r>
          </w:p>
          <w:p w14:paraId="6BF5A629">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（2）未被责令停业，暂扣或吊销执照，或吊销资质证书；</w:t>
            </w:r>
          </w:p>
          <w:p w14:paraId="0C3077D2">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（3）未进入清算程序，或被宣告破产，或其他丧失履约能力的情形；</w:t>
            </w:r>
          </w:p>
          <w:p w14:paraId="22839F74">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（4）在国家企业信用信息公示系统（http：//www.gsxt.gov.cn）中未被列入严重违法失信企业名单；</w:t>
            </w:r>
          </w:p>
          <w:p w14:paraId="12ED47D8">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（5）在“信用中国”网站（http：//www.creditchina.gov.cn）中未被列入失信被执行人名单；</w:t>
            </w:r>
          </w:p>
          <w:p w14:paraId="11D9B7AB">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（6）投标人或其法定代表人、拟委任的项目经理在近三年内没有行贿犯罪行为的；</w:t>
            </w:r>
          </w:p>
          <w:p w14:paraId="100BDB85">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（7）投标人在以往工程未因拖欠农民工工资、材料采购、工程分包款等，而受到省级有关部门的通报；</w:t>
            </w:r>
          </w:p>
          <w:p w14:paraId="32D4F0B3">
            <w:pPr>
              <w:rPr>
                <w:color w:val="auto"/>
                <w:highlight w:val="none"/>
              </w:rPr>
            </w:pPr>
            <w:r>
              <w:rPr>
                <w:rFonts w:hint="default" w:ascii="Times New Roman" w:hAnsi="Times New Roman" w:cs="Times New Roman"/>
                <w:color w:val="auto"/>
                <w:szCs w:val="21"/>
                <w:highlight w:val="none"/>
              </w:rPr>
              <w:t>（8）法律法规规定的其他情形。</w:t>
            </w:r>
          </w:p>
          <w:p w14:paraId="2905902E">
            <w:pPr>
              <w:rPr>
                <w:color w:val="auto"/>
                <w:highlight w:val="none"/>
              </w:rPr>
            </w:pPr>
          </w:p>
          <w:p w14:paraId="52B017A7">
            <w:pPr>
              <w:rPr>
                <w:color w:val="auto"/>
                <w:highlight w:val="none"/>
              </w:rPr>
            </w:pPr>
          </w:p>
          <w:p w14:paraId="4AC4A125">
            <w:pPr>
              <w:rPr>
                <w:color w:val="auto"/>
                <w:highlight w:val="none"/>
              </w:rPr>
            </w:pPr>
          </w:p>
          <w:p w14:paraId="1C507BC4">
            <w:pPr>
              <w:pageBreakBefore w:val="0"/>
              <w:kinsoku/>
              <w:wordWrap w:val="0"/>
              <w:bidi w:val="0"/>
              <w:adjustRightInd w:val="0"/>
              <w:snapToGrid w:val="0"/>
              <w:spacing w:line="400" w:lineRule="atLeast"/>
              <w:jc w:val="left"/>
              <w:rPr>
                <w:rFonts w:hint="default" w:ascii="Times New Roman" w:hAnsi="Times New Roman" w:cs="Times New Roman"/>
                <w:color w:val="auto"/>
                <w:szCs w:val="21"/>
                <w:highlight w:val="none"/>
              </w:rPr>
            </w:pPr>
          </w:p>
          <w:p w14:paraId="3B5FE26C">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6C25E122">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r w14:paraId="018E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819" w:type="dxa"/>
            <w:noWrap w:val="0"/>
            <w:vAlign w:val="center"/>
          </w:tcPr>
          <w:p w14:paraId="6FF5749C">
            <w:pPr>
              <w:pageBreakBefore w:val="0"/>
              <w:kinsoku/>
              <w:wordWrap w:val="0"/>
              <w:bidi w:val="0"/>
              <w:adjustRightInd w:val="0"/>
              <w:snapToGrid w:val="0"/>
              <w:spacing w:line="400" w:lineRule="atLeast"/>
              <w:jc w:val="left"/>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注：</w:t>
            </w:r>
          </w:p>
          <w:p w14:paraId="1B9A51FC">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0089A13">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2D82D76A">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00EE50F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p w14:paraId="47C336F6">
            <w:pPr>
              <w:pageBreakBefore w:val="0"/>
              <w:kinsoku/>
              <w:wordWrap w:val="0"/>
              <w:bidi w:val="0"/>
              <w:adjustRightInd w:val="0"/>
              <w:snapToGrid w:val="0"/>
              <w:spacing w:line="400" w:lineRule="atLeast"/>
              <w:jc w:val="center"/>
              <w:rPr>
                <w:rFonts w:hint="default" w:ascii="Times New Roman" w:hAnsi="Times New Roman" w:cs="Times New Roman"/>
                <w:color w:val="auto"/>
                <w:szCs w:val="21"/>
                <w:highlight w:val="none"/>
              </w:rPr>
            </w:pPr>
          </w:p>
        </w:tc>
      </w:tr>
    </w:tbl>
    <w:p w14:paraId="6F4E74FF">
      <w:pPr>
        <w:pageBreakBefore w:val="0"/>
        <w:kinsoku/>
        <w:wordWrap w:val="0"/>
        <w:bidi w:val="0"/>
        <w:adjustRightInd w:val="0"/>
        <w:snapToGrid w:val="0"/>
        <w:spacing w:line="300" w:lineRule="exact"/>
        <w:rPr>
          <w:rFonts w:hint="default" w:ascii="Times New Roman" w:hAnsi="Times New Roman" w:eastAsia="隶书" w:cs="Times New Roman"/>
          <w:color w:val="auto"/>
          <w:sz w:val="32"/>
          <w:highlight w:val="none"/>
        </w:rPr>
      </w:pPr>
    </w:p>
    <w:p w14:paraId="41A078B4">
      <w:pPr>
        <w:pageBreakBefore w:val="0"/>
        <w:kinsoku/>
        <w:wordWrap w:val="0"/>
        <w:bidi w:val="0"/>
        <w:adjustRightInd w:val="0"/>
        <w:snapToGrid w:val="0"/>
        <w:spacing w:line="300" w:lineRule="auto"/>
        <w:rPr>
          <w:rFonts w:hint="default" w:ascii="Times New Roman" w:hAnsi="Times New Roman" w:cs="Times New Roman"/>
          <w:bCs/>
          <w:color w:val="auto"/>
          <w:highlight w:val="none"/>
        </w:rPr>
      </w:pPr>
    </w:p>
    <w:p w14:paraId="3F2E9AF9">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color w:val="auto"/>
          <w:sz w:val="24"/>
          <w:highlight w:val="none"/>
        </w:rPr>
      </w:pPr>
    </w:p>
    <w:p w14:paraId="0F1A4AF7">
      <w:pPr>
        <w:pStyle w:val="5"/>
        <w:pageBreakBefore w:val="0"/>
        <w:kinsoku/>
        <w:wordWrap w:val="0"/>
        <w:bidi w:val="0"/>
        <w:spacing w:before="240" w:after="240" w:line="240" w:lineRule="atLeast"/>
        <w:jc w:val="center"/>
        <w:outlineLvl w:val="2"/>
        <w:rPr>
          <w:rFonts w:hint="default" w:ascii="Times New Roman" w:hAnsi="Times New Roman" w:eastAsia="黑体" w:cs="Times New Roman"/>
          <w:b w:val="0"/>
          <w:bCs/>
          <w:i w:val="0"/>
          <w:iCs w:val="0"/>
          <w:color w:val="auto"/>
          <w:sz w:val="28"/>
          <w:szCs w:val="28"/>
          <w:highlight w:val="none"/>
        </w:rPr>
      </w:pPr>
      <w:bookmarkStart w:id="100" w:name="_Toc234832867"/>
      <w:bookmarkStart w:id="101" w:name="_Toc4881"/>
      <w:bookmarkStart w:id="102" w:name="_Toc7446"/>
      <w:bookmarkStart w:id="103" w:name="_Toc24216"/>
      <w:bookmarkStart w:id="104" w:name="_Toc27658"/>
      <w:r>
        <w:rPr>
          <w:rFonts w:hint="default" w:ascii="Times New Roman" w:hAnsi="Times New Roman" w:eastAsia="黑体" w:cs="Times New Roman"/>
          <w:b w:val="0"/>
          <w:bCs/>
          <w:i w:val="0"/>
          <w:iCs w:val="0"/>
          <w:color w:val="auto"/>
          <w:sz w:val="28"/>
          <w:szCs w:val="28"/>
          <w:highlight w:val="none"/>
        </w:rPr>
        <w:t>附录5资格审查条件（项目经理和项目总工最低要求）</w:t>
      </w:r>
      <w:r>
        <w:rPr>
          <w:rStyle w:val="48"/>
          <w:rFonts w:hint="default" w:ascii="Times New Roman" w:hAnsi="Times New Roman" w:eastAsia="黑体" w:cs="Times New Roman"/>
          <w:b w:val="0"/>
          <w:bCs/>
          <w:i w:val="0"/>
          <w:iCs w:val="0"/>
          <w:color w:val="auto"/>
          <w:sz w:val="28"/>
          <w:szCs w:val="28"/>
          <w:highlight w:val="none"/>
        </w:rPr>
        <w:footnoteReference w:id="16"/>
      </w:r>
      <w:bookmarkEnd w:id="100"/>
      <w:bookmarkEnd w:id="101"/>
      <w:bookmarkEnd w:id="102"/>
      <w:bookmarkEnd w:id="103"/>
      <w:bookmarkEnd w:id="10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6B65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1BE5FC90">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人员</w:t>
            </w:r>
          </w:p>
        </w:tc>
        <w:tc>
          <w:tcPr>
            <w:tcW w:w="1559" w:type="dxa"/>
            <w:noWrap w:val="0"/>
            <w:vAlign w:val="center"/>
          </w:tcPr>
          <w:p w14:paraId="6558C28D">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2888" w:type="dxa"/>
            <w:noWrap w:val="0"/>
            <w:vAlign w:val="center"/>
          </w:tcPr>
          <w:p w14:paraId="6A4ABB0F">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资格要求</w:t>
            </w:r>
            <w:r>
              <w:rPr>
                <w:rStyle w:val="48"/>
                <w:rFonts w:hint="default" w:ascii="Times New Roman" w:hAnsi="Times New Roman" w:cs="Times New Roman"/>
                <w:color w:val="auto"/>
                <w:szCs w:val="21"/>
                <w:highlight w:val="none"/>
              </w:rPr>
              <w:footnoteReference w:id="17"/>
            </w:r>
          </w:p>
        </w:tc>
        <w:tc>
          <w:tcPr>
            <w:tcW w:w="2887" w:type="dxa"/>
            <w:noWrap w:val="0"/>
            <w:vAlign w:val="center"/>
          </w:tcPr>
          <w:p w14:paraId="14A395B6">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在岗要求</w:t>
            </w:r>
          </w:p>
        </w:tc>
      </w:tr>
      <w:tr w14:paraId="4149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380F0A87">
            <w:pPr>
              <w:pageBreakBefore w:val="0"/>
              <w:kinsoku/>
              <w:wordWrap w:val="0"/>
              <w:bidi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1559" w:type="dxa"/>
            <w:noWrap w:val="0"/>
            <w:vAlign w:val="center"/>
          </w:tcPr>
          <w:p w14:paraId="6DACDB29">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p>
        </w:tc>
        <w:tc>
          <w:tcPr>
            <w:tcW w:w="2888" w:type="dxa"/>
            <w:noWrap w:val="0"/>
            <w:vAlign w:val="center"/>
          </w:tcPr>
          <w:p w14:paraId="0A5155FA">
            <w:pPr>
              <w:pageBreakBefore w:val="0"/>
              <w:kinsoku/>
              <w:wordWrap w:val="0"/>
              <w:bidi w:val="0"/>
              <w:adjustRightInd w:val="0"/>
              <w:snapToGrid w:val="0"/>
              <w:spacing w:line="300" w:lineRule="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具有公路工程专业二级及以上建造师证书以及交通运输主管部门颁发的有效期内的安全生产考核合格“B”类证书；具有公路工程类似工程项目经理任职业绩。</w:t>
            </w:r>
          </w:p>
          <w:p w14:paraId="57C1F01E">
            <w:pPr>
              <w:pageBreakBefore w:val="0"/>
              <w:kinsoku/>
              <w:wordWrap w:val="0"/>
              <w:bidi w:val="0"/>
              <w:adjustRightInd w:val="0"/>
              <w:snapToGrid w:val="0"/>
              <w:spacing w:line="300" w:lineRule="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相关</w:t>
            </w:r>
            <w:r>
              <w:rPr>
                <w:rFonts w:hint="default" w:ascii="Times New Roman" w:hAnsi="Times New Roman" w:cs="Times New Roman"/>
                <w:color w:val="auto"/>
                <w:szCs w:val="21"/>
                <w:highlight w:val="none"/>
              </w:rPr>
              <w:t>证书在有效期内且证书目前必须注册在投标人单位</w:t>
            </w:r>
            <w:r>
              <w:rPr>
                <w:rFonts w:hint="eastAsia" w:cs="Times New Roman"/>
                <w:color w:val="auto"/>
                <w:szCs w:val="21"/>
                <w:highlight w:val="none"/>
                <w:lang w:eastAsia="zh-CN"/>
              </w:rPr>
              <w:t>。</w:t>
            </w:r>
          </w:p>
        </w:tc>
        <w:tc>
          <w:tcPr>
            <w:tcW w:w="2887" w:type="dxa"/>
            <w:vMerge w:val="restart"/>
            <w:noWrap w:val="0"/>
            <w:vAlign w:val="center"/>
          </w:tcPr>
          <w:p w14:paraId="6CC9A75D">
            <w:pPr>
              <w:pageBreakBefore w:val="0"/>
              <w:kinsoku/>
              <w:wordWrap w:val="0"/>
              <w:bidi w:val="0"/>
              <w:adjustRightInd w:val="0"/>
              <w:snapToGrid w:val="0"/>
              <w:spacing w:line="300" w:lineRule="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无在岗项目（指目前未在其他项目上任职，或虽在其他项目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w:t>
            </w:r>
          </w:p>
        </w:tc>
      </w:tr>
      <w:tr w14:paraId="4877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1670" w:type="dxa"/>
            <w:noWrap w:val="0"/>
            <w:vAlign w:val="center"/>
          </w:tcPr>
          <w:p w14:paraId="1976AE3F">
            <w:pPr>
              <w:pageBreakBefore w:val="0"/>
              <w:kinsoku/>
              <w:wordWrap w:val="0"/>
              <w:bidi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w:t>
            </w:r>
          </w:p>
        </w:tc>
        <w:tc>
          <w:tcPr>
            <w:tcW w:w="1559" w:type="dxa"/>
            <w:noWrap w:val="0"/>
            <w:vAlign w:val="center"/>
          </w:tcPr>
          <w:p w14:paraId="34E4D889">
            <w:pPr>
              <w:pageBreakBefore w:val="0"/>
              <w:kinsoku/>
              <w:wordWrap w:val="0"/>
              <w:bidi w:val="0"/>
              <w:adjustRightInd w:val="0"/>
              <w:snapToGrid w:val="0"/>
              <w:spacing w:line="300" w:lineRule="auto"/>
              <w:jc w:val="center"/>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p>
        </w:tc>
        <w:tc>
          <w:tcPr>
            <w:tcW w:w="2888" w:type="dxa"/>
            <w:noWrap w:val="0"/>
            <w:vAlign w:val="center"/>
          </w:tcPr>
          <w:p w14:paraId="5F568A04">
            <w:pPr>
              <w:pageBreakBefore w:val="0"/>
              <w:kinsoku/>
              <w:wordWrap w:val="0"/>
              <w:bidi w:val="0"/>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具有公路工程相关专业中级及以上技术职称</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具有公路工程类似工程管理业绩</w:t>
            </w:r>
            <w:r>
              <w:rPr>
                <w:rFonts w:hint="default" w:ascii="Times New Roman" w:hAnsi="Times New Roman" w:cs="Times New Roman"/>
                <w:color w:val="auto"/>
                <w:szCs w:val="21"/>
                <w:highlight w:val="none"/>
              </w:rPr>
              <w:t>。</w:t>
            </w:r>
          </w:p>
          <w:p w14:paraId="127AD28E">
            <w:pPr>
              <w:pageBreakBefore w:val="0"/>
              <w:kinsoku/>
              <w:wordWrap w:val="0"/>
              <w:bidi w:val="0"/>
              <w:adjustRightInd w:val="0"/>
              <w:snapToGrid w:val="0"/>
              <w:spacing w:line="300" w:lineRule="auto"/>
              <w:rPr>
                <w:rFonts w:hint="eastAsia" w:ascii="Times New Roman" w:hAnsi="Times New Roman" w:eastAsia="宋体" w:cs="Times New Roman"/>
                <w:color w:val="auto"/>
                <w:szCs w:val="21"/>
                <w:highlight w:val="none"/>
                <w:lang w:eastAsia="zh-CN"/>
              </w:rPr>
            </w:pPr>
          </w:p>
        </w:tc>
        <w:tc>
          <w:tcPr>
            <w:tcW w:w="2887" w:type="dxa"/>
            <w:vMerge w:val="continue"/>
            <w:noWrap w:val="0"/>
            <w:vAlign w:val="center"/>
          </w:tcPr>
          <w:p w14:paraId="21EF82F1">
            <w:pPr>
              <w:pageBreakBefore w:val="0"/>
              <w:kinsoku/>
              <w:wordWrap w:val="0"/>
              <w:bidi w:val="0"/>
              <w:adjustRightInd w:val="0"/>
              <w:snapToGrid w:val="0"/>
              <w:spacing w:line="300" w:lineRule="auto"/>
              <w:rPr>
                <w:rFonts w:hint="default" w:ascii="Times New Roman" w:hAnsi="Times New Roman" w:cs="Times New Roman"/>
                <w:color w:val="auto"/>
                <w:szCs w:val="21"/>
                <w:highlight w:val="none"/>
              </w:rPr>
            </w:pPr>
          </w:p>
        </w:tc>
      </w:tr>
      <w:tr w14:paraId="0A99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9004" w:type="dxa"/>
            <w:gridSpan w:val="4"/>
            <w:noWrap w:val="0"/>
            <w:vAlign w:val="top"/>
          </w:tcPr>
          <w:p w14:paraId="0A9D08BF">
            <w:pPr>
              <w:pageBreakBefore w:val="0"/>
              <w:kinsoku/>
              <w:wordWrap w:val="0"/>
              <w:bidi w:val="0"/>
              <w:adjustRightInd w:val="0"/>
              <w:snapToGrid w:val="0"/>
              <w:spacing w:line="300" w:lineRule="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注：项目经理和项目总工程师均不得同时在两个及以上项目任职。相关业绩证明材料须体现人员姓名及职务，业绩证明材料包括但不限于中标通知书、施工合同及竣工验收报告；若前述材料未体现项目经理、项目总工姓名及任职情况，投标人须另行提供业主单位出具的任职证明或项目任命文件或施工许可文件或交通建设市场信用信息平台公示截图等有效佐证材料，佐证材料须加盖公章，信息真实可查，否则该项业绩不予认可。</w:t>
            </w:r>
          </w:p>
        </w:tc>
      </w:tr>
    </w:tbl>
    <w:p w14:paraId="18D76ECB">
      <w:pPr>
        <w:pageBreakBefore w:val="0"/>
        <w:kinsoku/>
        <w:wordWrap w:val="0"/>
        <w:bidi w:val="0"/>
        <w:adjustRightInd w:val="0"/>
        <w:snapToGrid w:val="0"/>
        <w:spacing w:line="240" w:lineRule="exact"/>
        <w:rPr>
          <w:rFonts w:hint="default" w:ascii="Times New Roman" w:hAnsi="Times New Roman" w:eastAsia="隶书" w:cs="Times New Roman"/>
          <w:b/>
          <w:bCs/>
          <w:color w:val="auto"/>
          <w:sz w:val="32"/>
          <w:szCs w:val="32"/>
          <w:highlight w:val="none"/>
        </w:rPr>
      </w:pPr>
    </w:p>
    <w:p w14:paraId="073DC223">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color w:val="auto"/>
          <w:szCs w:val="21"/>
          <w:highlight w:val="none"/>
        </w:rPr>
      </w:pPr>
    </w:p>
    <w:p w14:paraId="7F57F205">
      <w:pPr>
        <w:pStyle w:val="5"/>
        <w:pageBreakBefore w:val="0"/>
        <w:kinsoku/>
        <w:wordWrap w:val="0"/>
        <w:bidi w:val="0"/>
        <w:spacing w:before="240" w:after="240" w:line="240" w:lineRule="atLeast"/>
        <w:jc w:val="center"/>
        <w:outlineLvl w:val="2"/>
        <w:rPr>
          <w:rFonts w:hint="default" w:ascii="Times New Roman" w:hAnsi="Times New Roman" w:eastAsia="黑体" w:cs="Times New Roman"/>
          <w:color w:val="auto"/>
          <w:sz w:val="28"/>
          <w:szCs w:val="28"/>
          <w:highlight w:val="none"/>
        </w:rPr>
      </w:pPr>
      <w:bookmarkStart w:id="105" w:name="_Toc234832868"/>
      <w:r>
        <w:rPr>
          <w:rFonts w:hint="default" w:ascii="Times New Roman" w:hAnsi="Times New Roman" w:eastAsia="黑体" w:cs="Times New Roman"/>
          <w:color w:val="auto"/>
          <w:sz w:val="28"/>
          <w:szCs w:val="28"/>
          <w:highlight w:val="none"/>
        </w:rPr>
        <w:br w:type="page"/>
      </w:r>
      <w:bookmarkStart w:id="106" w:name="_Toc5891"/>
      <w:bookmarkStart w:id="107" w:name="_Toc32755"/>
      <w:bookmarkStart w:id="108" w:name="_Toc29411"/>
      <w:bookmarkStart w:id="109" w:name="_Toc18718"/>
      <w:r>
        <w:rPr>
          <w:rFonts w:hint="default" w:ascii="Times New Roman" w:hAnsi="Times New Roman" w:eastAsia="黑体" w:cs="Times New Roman"/>
          <w:b w:val="0"/>
          <w:bCs/>
          <w:i w:val="0"/>
          <w:iCs w:val="0"/>
          <w:color w:val="auto"/>
          <w:sz w:val="28"/>
          <w:szCs w:val="28"/>
          <w:highlight w:val="none"/>
        </w:rPr>
        <w:t>附录6资格审查条件（其他管理和技术人员最低要求）</w:t>
      </w:r>
      <w:r>
        <w:rPr>
          <w:rFonts w:hint="default" w:ascii="Times New Roman" w:hAnsi="Times New Roman" w:eastAsia="黑体" w:cs="Times New Roman"/>
          <w:b w:val="0"/>
          <w:bCs/>
          <w:i w:val="0"/>
          <w:iCs w:val="0"/>
          <w:color w:val="auto"/>
          <w:sz w:val="28"/>
          <w:szCs w:val="28"/>
          <w:highlight w:val="none"/>
          <w:vertAlign w:val="superscript"/>
        </w:rPr>
        <w:footnoteReference w:id="18"/>
      </w:r>
      <w:bookmarkEnd w:id="105"/>
      <w:bookmarkEnd w:id="106"/>
      <w:bookmarkEnd w:id="107"/>
      <w:bookmarkEnd w:id="108"/>
      <w:bookmarkEnd w:id="10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025D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419B1A4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1331" w:type="dxa"/>
            <w:noWrap w:val="0"/>
            <w:vAlign w:val="center"/>
          </w:tcPr>
          <w:p w14:paraId="0748ED2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5847" w:type="dxa"/>
            <w:noWrap w:val="0"/>
            <w:vAlign w:val="center"/>
          </w:tcPr>
          <w:p w14:paraId="71CCD8A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资格要求</w:t>
            </w:r>
          </w:p>
        </w:tc>
      </w:tr>
      <w:tr w14:paraId="0948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70E00058">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1331" w:type="dxa"/>
            <w:noWrap w:val="0"/>
            <w:vAlign w:val="center"/>
          </w:tcPr>
          <w:p w14:paraId="55CA95F2">
            <w:pPr>
              <w:pageBreakBefore w:val="0"/>
              <w:kinsoku/>
              <w:wordWrap w:val="0"/>
              <w:bidi w:val="0"/>
              <w:adjustRightInd w:val="0"/>
              <w:snapToGrid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5847" w:type="dxa"/>
            <w:noWrap w:val="0"/>
            <w:vAlign w:val="center"/>
          </w:tcPr>
          <w:p w14:paraId="054345CC">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r>
      <w:tr w14:paraId="6E85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F9F0E6C">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noWrap w:val="0"/>
            <w:vAlign w:val="center"/>
          </w:tcPr>
          <w:p w14:paraId="070060E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noWrap w:val="0"/>
            <w:vAlign w:val="center"/>
          </w:tcPr>
          <w:p w14:paraId="6580F046">
            <w:pPr>
              <w:pageBreakBefore w:val="0"/>
              <w:kinsoku/>
              <w:wordWrap w:val="0"/>
              <w:bidi w:val="0"/>
              <w:spacing w:line="400" w:lineRule="atLeast"/>
              <w:rPr>
                <w:rFonts w:hint="default" w:ascii="Times New Roman" w:hAnsi="Times New Roman" w:cs="Times New Roman"/>
                <w:color w:val="auto"/>
                <w:sz w:val="24"/>
                <w:highlight w:val="none"/>
              </w:rPr>
            </w:pPr>
          </w:p>
        </w:tc>
      </w:tr>
      <w:tr w14:paraId="469A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7BE5848B">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noWrap w:val="0"/>
            <w:vAlign w:val="center"/>
          </w:tcPr>
          <w:p w14:paraId="44E797B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noWrap w:val="0"/>
            <w:vAlign w:val="center"/>
          </w:tcPr>
          <w:p w14:paraId="3405F47E">
            <w:pPr>
              <w:pageBreakBefore w:val="0"/>
              <w:kinsoku/>
              <w:wordWrap w:val="0"/>
              <w:bidi w:val="0"/>
              <w:spacing w:line="400" w:lineRule="atLeast"/>
              <w:rPr>
                <w:rFonts w:hint="default" w:ascii="Times New Roman" w:hAnsi="Times New Roman" w:cs="Times New Roman"/>
                <w:color w:val="auto"/>
                <w:sz w:val="24"/>
                <w:highlight w:val="none"/>
              </w:rPr>
            </w:pPr>
          </w:p>
        </w:tc>
      </w:tr>
      <w:tr w14:paraId="6411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5489104">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7C899F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52A8683F">
            <w:pPr>
              <w:pageBreakBefore w:val="0"/>
              <w:kinsoku/>
              <w:wordWrap w:val="0"/>
              <w:bidi w:val="0"/>
              <w:spacing w:line="400" w:lineRule="atLeast"/>
              <w:rPr>
                <w:rFonts w:hint="default" w:ascii="Times New Roman" w:hAnsi="Times New Roman" w:cs="Times New Roman"/>
                <w:color w:val="auto"/>
                <w:sz w:val="24"/>
                <w:highlight w:val="none"/>
              </w:rPr>
            </w:pPr>
          </w:p>
        </w:tc>
      </w:tr>
      <w:tr w14:paraId="522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4DF93B1">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CFE3F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3C2606E6">
            <w:pPr>
              <w:pageBreakBefore w:val="0"/>
              <w:kinsoku/>
              <w:wordWrap w:val="0"/>
              <w:bidi w:val="0"/>
              <w:spacing w:line="400" w:lineRule="atLeast"/>
              <w:rPr>
                <w:rFonts w:hint="default" w:ascii="Times New Roman" w:hAnsi="Times New Roman" w:cs="Times New Roman"/>
                <w:color w:val="auto"/>
                <w:sz w:val="24"/>
                <w:highlight w:val="none"/>
              </w:rPr>
            </w:pPr>
          </w:p>
        </w:tc>
      </w:tr>
      <w:tr w14:paraId="75A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6BF237B">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53F408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DB74A6F">
            <w:pPr>
              <w:pageBreakBefore w:val="0"/>
              <w:kinsoku/>
              <w:wordWrap w:val="0"/>
              <w:bidi w:val="0"/>
              <w:spacing w:line="400" w:lineRule="atLeast"/>
              <w:rPr>
                <w:rFonts w:hint="default" w:ascii="Times New Roman" w:hAnsi="Times New Roman" w:cs="Times New Roman"/>
                <w:color w:val="auto"/>
                <w:sz w:val="24"/>
                <w:highlight w:val="none"/>
              </w:rPr>
            </w:pPr>
          </w:p>
        </w:tc>
      </w:tr>
      <w:tr w14:paraId="720C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D112895">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9B7C26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33770FD6">
            <w:pPr>
              <w:pageBreakBefore w:val="0"/>
              <w:kinsoku/>
              <w:wordWrap w:val="0"/>
              <w:bidi w:val="0"/>
              <w:spacing w:line="400" w:lineRule="atLeast"/>
              <w:rPr>
                <w:rFonts w:hint="default" w:ascii="Times New Roman" w:hAnsi="Times New Roman" w:cs="Times New Roman"/>
                <w:color w:val="auto"/>
                <w:sz w:val="24"/>
                <w:highlight w:val="none"/>
              </w:rPr>
            </w:pPr>
          </w:p>
        </w:tc>
      </w:tr>
      <w:tr w14:paraId="272C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503C3B2">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BDF40A5">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34034B57">
            <w:pPr>
              <w:pageBreakBefore w:val="0"/>
              <w:kinsoku/>
              <w:wordWrap w:val="0"/>
              <w:bidi w:val="0"/>
              <w:spacing w:line="400" w:lineRule="atLeast"/>
              <w:rPr>
                <w:rFonts w:hint="default" w:ascii="Times New Roman" w:hAnsi="Times New Roman" w:cs="Times New Roman"/>
                <w:color w:val="auto"/>
                <w:sz w:val="24"/>
                <w:highlight w:val="none"/>
              </w:rPr>
            </w:pPr>
          </w:p>
        </w:tc>
      </w:tr>
      <w:tr w14:paraId="469D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8B9DD23">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A3E938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EDD1D00">
            <w:pPr>
              <w:pageBreakBefore w:val="0"/>
              <w:kinsoku/>
              <w:wordWrap w:val="0"/>
              <w:bidi w:val="0"/>
              <w:spacing w:line="400" w:lineRule="atLeast"/>
              <w:rPr>
                <w:rFonts w:hint="default" w:ascii="Times New Roman" w:hAnsi="Times New Roman" w:cs="Times New Roman"/>
                <w:color w:val="auto"/>
                <w:sz w:val="24"/>
                <w:highlight w:val="none"/>
              </w:rPr>
            </w:pPr>
          </w:p>
        </w:tc>
      </w:tr>
      <w:tr w14:paraId="3D78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CF012D0">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EE565A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84FC905">
            <w:pPr>
              <w:pageBreakBefore w:val="0"/>
              <w:kinsoku/>
              <w:wordWrap w:val="0"/>
              <w:bidi w:val="0"/>
              <w:spacing w:line="400" w:lineRule="atLeast"/>
              <w:rPr>
                <w:rFonts w:hint="default" w:ascii="Times New Roman" w:hAnsi="Times New Roman" w:cs="Times New Roman"/>
                <w:color w:val="auto"/>
                <w:sz w:val="24"/>
                <w:highlight w:val="none"/>
              </w:rPr>
            </w:pPr>
          </w:p>
        </w:tc>
      </w:tr>
      <w:tr w14:paraId="466D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BE28FB3">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826FB10">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97442F">
            <w:pPr>
              <w:pageBreakBefore w:val="0"/>
              <w:kinsoku/>
              <w:wordWrap w:val="0"/>
              <w:bidi w:val="0"/>
              <w:spacing w:line="400" w:lineRule="atLeast"/>
              <w:rPr>
                <w:rFonts w:hint="default" w:ascii="Times New Roman" w:hAnsi="Times New Roman" w:cs="Times New Roman"/>
                <w:color w:val="auto"/>
                <w:sz w:val="24"/>
                <w:highlight w:val="none"/>
              </w:rPr>
            </w:pPr>
          </w:p>
        </w:tc>
      </w:tr>
      <w:tr w14:paraId="0868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04554B9">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B1586F0">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1B7896B">
            <w:pPr>
              <w:pageBreakBefore w:val="0"/>
              <w:kinsoku/>
              <w:wordWrap w:val="0"/>
              <w:bidi w:val="0"/>
              <w:spacing w:line="400" w:lineRule="atLeast"/>
              <w:rPr>
                <w:rFonts w:hint="default" w:ascii="Times New Roman" w:hAnsi="Times New Roman" w:cs="Times New Roman"/>
                <w:color w:val="auto"/>
                <w:sz w:val="24"/>
                <w:highlight w:val="none"/>
              </w:rPr>
            </w:pPr>
          </w:p>
        </w:tc>
      </w:tr>
      <w:tr w14:paraId="0062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3CD2B748">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ABDC22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487905E8">
            <w:pPr>
              <w:pageBreakBefore w:val="0"/>
              <w:kinsoku/>
              <w:wordWrap w:val="0"/>
              <w:bidi w:val="0"/>
              <w:spacing w:line="400" w:lineRule="atLeast"/>
              <w:rPr>
                <w:rFonts w:hint="default" w:ascii="Times New Roman" w:hAnsi="Times New Roman" w:cs="Times New Roman"/>
                <w:color w:val="auto"/>
                <w:sz w:val="24"/>
                <w:highlight w:val="none"/>
              </w:rPr>
            </w:pPr>
          </w:p>
        </w:tc>
      </w:tr>
      <w:tr w14:paraId="2666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jc w:val="center"/>
        </w:trPr>
        <w:tc>
          <w:tcPr>
            <w:tcW w:w="9004" w:type="dxa"/>
            <w:gridSpan w:val="3"/>
            <w:tcBorders>
              <w:top w:val="single" w:color="auto" w:sz="4" w:space="0"/>
              <w:left w:val="single" w:color="auto" w:sz="4" w:space="0"/>
              <w:bottom w:val="single" w:color="auto" w:sz="4" w:space="0"/>
              <w:right w:val="single" w:color="auto" w:sz="4" w:space="0"/>
            </w:tcBorders>
            <w:noWrap w:val="0"/>
            <w:vAlign w:val="top"/>
          </w:tcPr>
          <w:p w14:paraId="0C46FE9B">
            <w:pPr>
              <w:pageBreakBefore w:val="0"/>
              <w:kinsoku/>
              <w:wordWrap w:val="0"/>
              <w:bidi w:val="0"/>
              <w:spacing w:line="400" w:lineRule="atLeast"/>
              <w:rPr>
                <w:rFonts w:hint="eastAsia" w:cs="Times New Roman"/>
                <w:color w:val="auto"/>
                <w:sz w:val="24"/>
                <w:highlight w:val="none"/>
                <w:lang w:val="en-US" w:eastAsia="zh-CN"/>
              </w:rPr>
            </w:pPr>
            <w:r>
              <w:rPr>
                <w:rFonts w:hint="eastAsia" w:cs="Times New Roman"/>
                <w:color w:val="auto"/>
                <w:sz w:val="24"/>
                <w:highlight w:val="none"/>
                <w:lang w:val="en-US" w:eastAsia="zh-CN"/>
              </w:rPr>
              <w:t>注：</w:t>
            </w:r>
          </w:p>
          <w:p w14:paraId="025E93C9">
            <w:pPr>
              <w:pageBreakBefore w:val="0"/>
              <w:kinsoku/>
              <w:wordWrap w:val="0"/>
              <w:bidi w:val="0"/>
              <w:spacing w:line="400" w:lineRule="atLeast"/>
              <w:rPr>
                <w:rFonts w:hint="eastAsia" w:cs="Times New Roman"/>
                <w:color w:val="auto"/>
                <w:sz w:val="24"/>
                <w:highlight w:val="none"/>
                <w:lang w:val="en-US" w:eastAsia="zh-CN"/>
              </w:rPr>
            </w:pPr>
          </w:p>
        </w:tc>
      </w:tr>
    </w:tbl>
    <w:p w14:paraId="59784BBB">
      <w:pPr>
        <w:pageBreakBefore w:val="0"/>
        <w:kinsoku/>
        <w:wordWrap w:val="0"/>
        <w:bidi w:val="0"/>
        <w:adjustRightInd w:val="0"/>
        <w:snapToGrid w:val="0"/>
        <w:spacing w:line="400" w:lineRule="atLeast"/>
        <w:jc w:val="center"/>
        <w:rPr>
          <w:rFonts w:hint="default" w:ascii="Times New Roman" w:hAnsi="Times New Roman" w:eastAsia="黑体" w:cs="Times New Roman"/>
          <w:color w:val="auto"/>
          <w:sz w:val="24"/>
          <w:highlight w:val="none"/>
        </w:rPr>
      </w:pPr>
    </w:p>
    <w:p w14:paraId="010F9F97">
      <w:pPr>
        <w:pStyle w:val="5"/>
        <w:pageBreakBefore w:val="0"/>
        <w:kinsoku/>
        <w:wordWrap w:val="0"/>
        <w:bidi w:val="0"/>
        <w:spacing w:before="240" w:after="240" w:line="240" w:lineRule="atLeast"/>
        <w:jc w:val="center"/>
        <w:outlineLvl w:val="2"/>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4"/>
          <w:highlight w:val="none"/>
        </w:rPr>
        <w:br w:type="page"/>
      </w:r>
      <w:bookmarkStart w:id="110" w:name="_Toc11147"/>
      <w:bookmarkStart w:id="111" w:name="_Toc234832869"/>
      <w:bookmarkStart w:id="112" w:name="_Toc1224"/>
      <w:bookmarkStart w:id="113" w:name="_Toc18471"/>
      <w:bookmarkStart w:id="114" w:name="_Toc29351"/>
      <w:r>
        <w:rPr>
          <w:rFonts w:hint="default" w:ascii="Times New Roman" w:hAnsi="Times New Roman" w:eastAsia="黑体" w:cs="Times New Roman"/>
          <w:b w:val="0"/>
          <w:bCs/>
          <w:i w:val="0"/>
          <w:iCs w:val="0"/>
          <w:color w:val="auto"/>
          <w:sz w:val="28"/>
          <w:szCs w:val="28"/>
          <w:highlight w:val="none"/>
        </w:rPr>
        <w:t>附录7资格审查条件（主要机械设备和试验检测设备最低要求）</w:t>
      </w:r>
      <w:r>
        <w:rPr>
          <w:rFonts w:hint="default" w:ascii="Times New Roman" w:hAnsi="Times New Roman" w:eastAsia="黑体" w:cs="Times New Roman"/>
          <w:b w:val="0"/>
          <w:bCs/>
          <w:i w:val="0"/>
          <w:iCs w:val="0"/>
          <w:color w:val="auto"/>
          <w:sz w:val="28"/>
          <w:szCs w:val="28"/>
          <w:highlight w:val="none"/>
          <w:vertAlign w:val="superscript"/>
        </w:rPr>
        <w:footnoteReference w:id="19"/>
      </w:r>
      <w:bookmarkEnd w:id="110"/>
      <w:bookmarkEnd w:id="111"/>
      <w:bookmarkEnd w:id="112"/>
      <w:bookmarkEnd w:id="113"/>
      <w:bookmarkEnd w:id="11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0181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658C5B9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设备名称</w:t>
            </w:r>
          </w:p>
        </w:tc>
        <w:tc>
          <w:tcPr>
            <w:tcW w:w="3224" w:type="dxa"/>
            <w:noWrap w:val="0"/>
            <w:vAlign w:val="center"/>
          </w:tcPr>
          <w:p w14:paraId="384F64F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规格、功率及容量</w:t>
            </w:r>
          </w:p>
        </w:tc>
        <w:tc>
          <w:tcPr>
            <w:tcW w:w="1197" w:type="dxa"/>
            <w:noWrap w:val="0"/>
            <w:vAlign w:val="center"/>
          </w:tcPr>
          <w:p w14:paraId="29C05A7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p>
        </w:tc>
        <w:tc>
          <w:tcPr>
            <w:tcW w:w="2371" w:type="dxa"/>
            <w:noWrap w:val="0"/>
            <w:vAlign w:val="center"/>
          </w:tcPr>
          <w:p w14:paraId="1FA86F2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最低数量要求</w:t>
            </w:r>
          </w:p>
        </w:tc>
      </w:tr>
      <w:tr w14:paraId="04CB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315677C">
            <w:pPr>
              <w:pageBreakBefore w:val="0"/>
              <w:kinsoku/>
              <w:wordWrap w:val="0"/>
              <w:bidi w:val="0"/>
              <w:adjustRightInd w:val="0"/>
              <w:snapToGrid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3224" w:type="dxa"/>
            <w:noWrap w:val="0"/>
            <w:vAlign w:val="center"/>
          </w:tcPr>
          <w:p w14:paraId="7EB777B1">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1197" w:type="dxa"/>
            <w:noWrap w:val="0"/>
            <w:vAlign w:val="center"/>
          </w:tcPr>
          <w:p w14:paraId="22069BE7">
            <w:pPr>
              <w:pageBreakBefore w:val="0"/>
              <w:kinsoku/>
              <w:wordWrap w:val="0"/>
              <w:bidi w:val="0"/>
              <w:adjustRightInd w:val="0"/>
              <w:snapToGrid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2371" w:type="dxa"/>
            <w:noWrap w:val="0"/>
            <w:vAlign w:val="center"/>
          </w:tcPr>
          <w:p w14:paraId="5FEE6FD6">
            <w:pPr>
              <w:pageBreakBefore w:val="0"/>
              <w:kinsoku/>
              <w:wordWrap w:val="0"/>
              <w:bidi w:val="0"/>
              <w:spacing w:line="400" w:lineRule="atLeast"/>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r>
      <w:tr w14:paraId="5405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7B027D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2BF6172F">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02D81D1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3FA7F101">
            <w:pPr>
              <w:pageBreakBefore w:val="0"/>
              <w:kinsoku/>
              <w:wordWrap w:val="0"/>
              <w:bidi w:val="0"/>
              <w:spacing w:line="400" w:lineRule="atLeast"/>
              <w:rPr>
                <w:rFonts w:hint="default" w:ascii="Times New Roman" w:hAnsi="Times New Roman" w:cs="Times New Roman"/>
                <w:color w:val="auto"/>
                <w:sz w:val="24"/>
                <w:highlight w:val="none"/>
              </w:rPr>
            </w:pPr>
          </w:p>
        </w:tc>
      </w:tr>
      <w:tr w14:paraId="4D45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2DD239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4AC76D62">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1B3D9D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4579AF50">
            <w:pPr>
              <w:pageBreakBefore w:val="0"/>
              <w:kinsoku/>
              <w:wordWrap w:val="0"/>
              <w:bidi w:val="0"/>
              <w:spacing w:line="400" w:lineRule="atLeast"/>
              <w:rPr>
                <w:rFonts w:hint="default" w:ascii="Times New Roman" w:hAnsi="Times New Roman" w:cs="Times New Roman"/>
                <w:color w:val="auto"/>
                <w:sz w:val="24"/>
                <w:highlight w:val="none"/>
              </w:rPr>
            </w:pPr>
          </w:p>
        </w:tc>
      </w:tr>
      <w:tr w14:paraId="0A1D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73AC1F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0773061B">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51E36C0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656B6F6B">
            <w:pPr>
              <w:pageBreakBefore w:val="0"/>
              <w:kinsoku/>
              <w:wordWrap w:val="0"/>
              <w:bidi w:val="0"/>
              <w:spacing w:line="400" w:lineRule="atLeast"/>
              <w:rPr>
                <w:rFonts w:hint="default" w:ascii="Times New Roman" w:hAnsi="Times New Roman" w:cs="Times New Roman"/>
                <w:color w:val="auto"/>
                <w:sz w:val="24"/>
                <w:highlight w:val="none"/>
              </w:rPr>
            </w:pPr>
          </w:p>
        </w:tc>
      </w:tr>
      <w:tr w14:paraId="2D33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55DDDD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06DACE0F">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27C279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741BC422">
            <w:pPr>
              <w:pageBreakBefore w:val="0"/>
              <w:kinsoku/>
              <w:wordWrap w:val="0"/>
              <w:bidi w:val="0"/>
              <w:spacing w:line="400" w:lineRule="atLeast"/>
              <w:rPr>
                <w:rFonts w:hint="default" w:ascii="Times New Roman" w:hAnsi="Times New Roman" w:cs="Times New Roman"/>
                <w:color w:val="auto"/>
                <w:sz w:val="24"/>
                <w:highlight w:val="none"/>
              </w:rPr>
            </w:pPr>
          </w:p>
        </w:tc>
      </w:tr>
      <w:tr w14:paraId="0566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41A1C9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16F1F90C">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2E3D930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711D5BCE">
            <w:pPr>
              <w:pageBreakBefore w:val="0"/>
              <w:kinsoku/>
              <w:wordWrap w:val="0"/>
              <w:bidi w:val="0"/>
              <w:spacing w:line="400" w:lineRule="atLeast"/>
              <w:rPr>
                <w:rFonts w:hint="default" w:ascii="Times New Roman" w:hAnsi="Times New Roman" w:cs="Times New Roman"/>
                <w:color w:val="auto"/>
                <w:sz w:val="24"/>
                <w:highlight w:val="none"/>
              </w:rPr>
            </w:pPr>
          </w:p>
        </w:tc>
      </w:tr>
      <w:tr w14:paraId="5B3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A99C27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49B7802D">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F68869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1258E95D">
            <w:pPr>
              <w:pageBreakBefore w:val="0"/>
              <w:kinsoku/>
              <w:wordWrap w:val="0"/>
              <w:bidi w:val="0"/>
              <w:spacing w:line="400" w:lineRule="atLeast"/>
              <w:rPr>
                <w:rFonts w:hint="default" w:ascii="Times New Roman" w:hAnsi="Times New Roman" w:cs="Times New Roman"/>
                <w:color w:val="auto"/>
                <w:sz w:val="24"/>
                <w:highlight w:val="none"/>
              </w:rPr>
            </w:pPr>
          </w:p>
        </w:tc>
      </w:tr>
      <w:tr w14:paraId="61D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42B866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3E638CBF">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70A25255">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4100B1EC">
            <w:pPr>
              <w:pageBreakBefore w:val="0"/>
              <w:kinsoku/>
              <w:wordWrap w:val="0"/>
              <w:bidi w:val="0"/>
              <w:spacing w:line="400" w:lineRule="atLeast"/>
              <w:rPr>
                <w:rFonts w:hint="default" w:ascii="Times New Roman" w:hAnsi="Times New Roman" w:cs="Times New Roman"/>
                <w:color w:val="auto"/>
                <w:sz w:val="24"/>
                <w:highlight w:val="none"/>
              </w:rPr>
            </w:pPr>
          </w:p>
        </w:tc>
      </w:tr>
      <w:tr w14:paraId="3D3C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FC2BDD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0E4F56D5">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3F8F982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0EDB5244">
            <w:pPr>
              <w:pageBreakBefore w:val="0"/>
              <w:kinsoku/>
              <w:wordWrap w:val="0"/>
              <w:bidi w:val="0"/>
              <w:spacing w:line="400" w:lineRule="atLeast"/>
              <w:rPr>
                <w:rFonts w:hint="default" w:ascii="Times New Roman" w:hAnsi="Times New Roman" w:cs="Times New Roman"/>
                <w:color w:val="auto"/>
                <w:sz w:val="24"/>
                <w:highlight w:val="none"/>
              </w:rPr>
            </w:pPr>
          </w:p>
        </w:tc>
      </w:tr>
      <w:tr w14:paraId="5F25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6814F5B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noWrap w:val="0"/>
            <w:vAlign w:val="center"/>
          </w:tcPr>
          <w:p w14:paraId="798ADC4A">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noWrap w:val="0"/>
            <w:vAlign w:val="center"/>
          </w:tcPr>
          <w:p w14:paraId="0938722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noWrap w:val="0"/>
            <w:vAlign w:val="center"/>
          </w:tcPr>
          <w:p w14:paraId="53E6534B">
            <w:pPr>
              <w:pageBreakBefore w:val="0"/>
              <w:kinsoku/>
              <w:wordWrap w:val="0"/>
              <w:bidi w:val="0"/>
              <w:spacing w:line="400" w:lineRule="atLeast"/>
              <w:rPr>
                <w:rFonts w:hint="default" w:ascii="Times New Roman" w:hAnsi="Times New Roman" w:cs="Times New Roman"/>
                <w:color w:val="auto"/>
                <w:sz w:val="24"/>
                <w:highlight w:val="none"/>
              </w:rPr>
            </w:pPr>
          </w:p>
        </w:tc>
      </w:tr>
      <w:tr w14:paraId="5E86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D76926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55395D69">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B3CE60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BE2A236">
            <w:pPr>
              <w:pageBreakBefore w:val="0"/>
              <w:kinsoku/>
              <w:wordWrap w:val="0"/>
              <w:bidi w:val="0"/>
              <w:spacing w:line="400" w:lineRule="atLeast"/>
              <w:rPr>
                <w:rFonts w:hint="default" w:ascii="Times New Roman" w:hAnsi="Times New Roman" w:cs="Times New Roman"/>
                <w:color w:val="auto"/>
                <w:sz w:val="24"/>
                <w:highlight w:val="none"/>
              </w:rPr>
            </w:pPr>
          </w:p>
        </w:tc>
      </w:tr>
      <w:tr w14:paraId="4044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7F4E7D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E512752">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4A81F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112AA1B">
            <w:pPr>
              <w:pageBreakBefore w:val="0"/>
              <w:kinsoku/>
              <w:wordWrap w:val="0"/>
              <w:bidi w:val="0"/>
              <w:spacing w:line="400" w:lineRule="atLeast"/>
              <w:rPr>
                <w:rFonts w:hint="default" w:ascii="Times New Roman" w:hAnsi="Times New Roman" w:cs="Times New Roman"/>
                <w:color w:val="auto"/>
                <w:sz w:val="24"/>
                <w:highlight w:val="none"/>
              </w:rPr>
            </w:pPr>
          </w:p>
        </w:tc>
      </w:tr>
      <w:tr w14:paraId="1054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45BAD8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219984B">
            <w:pPr>
              <w:pageBreakBefore w:val="0"/>
              <w:kinsoku/>
              <w:wordWrap w:val="0"/>
              <w:bidi w:val="0"/>
              <w:spacing w:line="400" w:lineRule="atLeast"/>
              <w:rPr>
                <w:rFonts w:hint="default" w:ascii="Times New Roman" w:hAnsi="Times New Roman" w:cs="Times New Roman"/>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0B66A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2555E9A3">
            <w:pPr>
              <w:pageBreakBefore w:val="0"/>
              <w:kinsoku/>
              <w:wordWrap w:val="0"/>
              <w:bidi w:val="0"/>
              <w:spacing w:line="400" w:lineRule="atLeast"/>
              <w:rPr>
                <w:rFonts w:hint="default" w:ascii="Times New Roman" w:hAnsi="Times New Roman" w:cs="Times New Roman"/>
                <w:color w:val="auto"/>
                <w:sz w:val="24"/>
                <w:highlight w:val="none"/>
              </w:rPr>
            </w:pPr>
          </w:p>
        </w:tc>
      </w:tr>
      <w:tr w14:paraId="2B16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8696" w:type="dxa"/>
            <w:gridSpan w:val="4"/>
            <w:tcBorders>
              <w:top w:val="single" w:color="auto" w:sz="4" w:space="0"/>
              <w:left w:val="single" w:color="auto" w:sz="4" w:space="0"/>
              <w:bottom w:val="single" w:color="auto" w:sz="4" w:space="0"/>
              <w:right w:val="single" w:color="auto" w:sz="4" w:space="0"/>
            </w:tcBorders>
            <w:noWrap w:val="0"/>
            <w:vAlign w:val="top"/>
          </w:tcPr>
          <w:p w14:paraId="42A7BC4A">
            <w:pPr>
              <w:pageBreakBefore w:val="0"/>
              <w:kinsoku/>
              <w:wordWrap w:val="0"/>
              <w:bidi w:val="0"/>
              <w:spacing w:line="400" w:lineRule="atLeas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注：</w:t>
            </w:r>
          </w:p>
        </w:tc>
      </w:tr>
    </w:tbl>
    <w:p w14:paraId="720C995C">
      <w:pPr>
        <w:pageBreakBefore w:val="0"/>
        <w:kinsoku/>
        <w:wordWrap w:val="0"/>
        <w:bidi w:val="0"/>
        <w:adjustRightInd w:val="0"/>
        <w:snapToGrid w:val="0"/>
        <w:spacing w:line="400" w:lineRule="atLeast"/>
        <w:rPr>
          <w:rFonts w:hint="default" w:ascii="Times New Roman" w:hAnsi="Times New Roman" w:cs="Times New Roman"/>
          <w:bCs/>
          <w:color w:val="auto"/>
          <w:highlight w:val="none"/>
        </w:rPr>
      </w:pPr>
    </w:p>
    <w:p w14:paraId="21478BE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color w:val="auto"/>
          <w:sz w:val="28"/>
          <w:szCs w:val="28"/>
          <w:highlight w:val="none"/>
        </w:rPr>
      </w:pPr>
      <w:r>
        <w:rPr>
          <w:rFonts w:hint="default" w:ascii="Times New Roman" w:hAnsi="Times New Roman" w:cs="Times New Roman"/>
          <w:color w:val="auto"/>
          <w:sz w:val="24"/>
          <w:highlight w:val="none"/>
        </w:rPr>
        <w:br w:type="page"/>
      </w:r>
      <w:bookmarkStart w:id="115" w:name="_Toc32159"/>
      <w:bookmarkStart w:id="116" w:name="_Toc19462"/>
      <w:bookmarkStart w:id="117" w:name="_Toc5465"/>
      <w:bookmarkStart w:id="118" w:name="_Toc650"/>
      <w:bookmarkStart w:id="119" w:name="_Toc234832870"/>
      <w:r>
        <w:rPr>
          <w:rFonts w:hint="default" w:ascii="黑体" w:hAnsi="黑体" w:eastAsia="黑体" w:cs="黑体"/>
          <w:b w:val="0"/>
          <w:bCs/>
          <w:i w:val="0"/>
          <w:iCs w:val="0"/>
          <w:color w:val="auto"/>
          <w:sz w:val="28"/>
          <w:szCs w:val="28"/>
          <w:highlight w:val="none"/>
          <w:lang w:val="en-US" w:eastAsia="zh-CN"/>
        </w:rPr>
        <w:t>1.总则</w:t>
      </w:r>
      <w:bookmarkEnd w:id="115"/>
      <w:bookmarkEnd w:id="116"/>
      <w:bookmarkEnd w:id="117"/>
      <w:bookmarkEnd w:id="118"/>
      <w:bookmarkEnd w:id="119"/>
    </w:p>
    <w:p w14:paraId="3664509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宋体" w:cs="Times New Roman"/>
          <w:b w:val="0"/>
          <w:color w:val="auto"/>
          <w:sz w:val="24"/>
          <w:szCs w:val="24"/>
          <w:highlight w:val="none"/>
        </w:rPr>
      </w:pPr>
      <w:bookmarkStart w:id="120" w:name="_Toc234832871"/>
      <w:bookmarkStart w:id="121" w:name="_Toc17948"/>
      <w:bookmarkStart w:id="122" w:name="_Toc13586"/>
      <w:r>
        <w:rPr>
          <w:rFonts w:hint="default" w:ascii="Times New Roman" w:hAnsi="Times New Roman" w:eastAsia="黑体" w:cs="Times New Roman"/>
          <w:b w:val="0"/>
          <w:color w:val="auto"/>
          <w:sz w:val="24"/>
          <w:szCs w:val="24"/>
          <w:highlight w:val="none"/>
        </w:rPr>
        <w:t>1.1项目概况</w:t>
      </w:r>
      <w:bookmarkEnd w:id="120"/>
      <w:bookmarkEnd w:id="121"/>
      <w:bookmarkEnd w:id="122"/>
    </w:p>
    <w:p w14:paraId="2E59AF4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1.1.1根据《中华人民共和国招标投标法》《中华人民共和国招标投标法实施条例》《公路工程建设项目招标投标管理办法》等有关法律、法规和规章的规定，本招标项目已具备招标条件，现对本标段施工进行招标。</w:t>
      </w:r>
    </w:p>
    <w:p w14:paraId="71297F2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1.1.2本招标项目招标人：见投标人须知前附表。</w:t>
      </w:r>
    </w:p>
    <w:p w14:paraId="1BA9A3C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1.1.3本标段招标代理机构：见投标人须知前附表。</w:t>
      </w:r>
    </w:p>
    <w:p w14:paraId="316F181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1.1.4本招标项目名称：见投标人须知前附表。</w:t>
      </w:r>
    </w:p>
    <w:p w14:paraId="4D326B6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1.1.5本标段建设地点：见投标人须知前附表。</w:t>
      </w:r>
    </w:p>
    <w:p w14:paraId="58C43E3A">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eastAsia" w:ascii="Times New Roman" w:hAnsi="Times New Roman" w:eastAsia="黑体" w:cs="Times New Roman"/>
          <w:b w:val="0"/>
          <w:color w:val="auto"/>
          <w:sz w:val="24"/>
          <w:szCs w:val="24"/>
          <w:highlight w:val="none"/>
          <w:lang w:eastAsia="zh-CN"/>
        </w:rPr>
      </w:pPr>
      <w:bookmarkStart w:id="123" w:name="_Toc22508"/>
      <w:bookmarkStart w:id="124" w:name="_Toc11370"/>
      <w:bookmarkStart w:id="125" w:name="_Toc234832872"/>
      <w:r>
        <w:rPr>
          <w:rFonts w:hint="default" w:ascii="Times New Roman" w:hAnsi="Times New Roman" w:eastAsia="黑体" w:cs="Times New Roman"/>
          <w:b w:val="0"/>
          <w:color w:val="auto"/>
          <w:sz w:val="24"/>
          <w:szCs w:val="24"/>
          <w:highlight w:val="none"/>
        </w:rPr>
        <w:t>1.2招标项目的资金来源和落实情况</w:t>
      </w:r>
      <w:bookmarkEnd w:id="123"/>
      <w:bookmarkEnd w:id="124"/>
      <w:bookmarkEnd w:id="125"/>
    </w:p>
    <w:p w14:paraId="49057A7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1.2.1资金来源及比例：见投标人须知前附表。</w:t>
      </w:r>
    </w:p>
    <w:p w14:paraId="0EFA0B0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1.2.2资金落实情况：见投标人须知前附表。</w:t>
      </w:r>
    </w:p>
    <w:p w14:paraId="59A81BF4">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26" w:name="_Toc234832873"/>
      <w:bookmarkStart w:id="127" w:name="_Toc14618"/>
      <w:bookmarkStart w:id="128" w:name="_Toc10840"/>
      <w:r>
        <w:rPr>
          <w:rFonts w:hint="default" w:ascii="Times New Roman" w:hAnsi="Times New Roman" w:eastAsia="黑体" w:cs="Times New Roman"/>
          <w:b w:val="0"/>
          <w:color w:val="auto"/>
          <w:sz w:val="24"/>
          <w:szCs w:val="24"/>
          <w:highlight w:val="none"/>
        </w:rPr>
        <w:t>1.3招标范围、计划工期、质量要求</w:t>
      </w:r>
      <w:bookmarkEnd w:id="126"/>
      <w:r>
        <w:rPr>
          <w:rFonts w:hint="default" w:ascii="Times New Roman" w:hAnsi="Times New Roman" w:eastAsia="黑体" w:cs="Times New Roman"/>
          <w:b w:val="0"/>
          <w:color w:val="auto"/>
          <w:sz w:val="24"/>
          <w:szCs w:val="24"/>
          <w:highlight w:val="none"/>
        </w:rPr>
        <w:t>和安全目标</w:t>
      </w:r>
      <w:bookmarkEnd w:id="127"/>
      <w:bookmarkEnd w:id="128"/>
    </w:p>
    <w:p w14:paraId="15732ED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1.3.1招标范围：见投标人须知前附表。</w:t>
      </w:r>
    </w:p>
    <w:p w14:paraId="18B8656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1.3.2本标段的计划工期：见投标人须知前附表。</w:t>
      </w:r>
    </w:p>
    <w:p w14:paraId="015A706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1.3.3本标段的质量要求：见投标人须知前附表。</w:t>
      </w:r>
    </w:p>
    <w:p w14:paraId="72CE5CD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1.3.4本标段的安全目标：见投标人须知前附表。</w:t>
      </w:r>
    </w:p>
    <w:p w14:paraId="27E60B2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29" w:name="_Toc234832875"/>
      <w:bookmarkStart w:id="130" w:name="_Toc23631"/>
      <w:bookmarkStart w:id="131" w:name="_Toc32367"/>
      <w:r>
        <w:rPr>
          <w:rFonts w:hint="default" w:ascii="Times New Roman" w:hAnsi="Times New Roman" w:eastAsia="黑体" w:cs="Times New Roman"/>
          <w:b w:val="0"/>
          <w:color w:val="auto"/>
          <w:sz w:val="24"/>
          <w:szCs w:val="24"/>
          <w:highlight w:val="none"/>
        </w:rPr>
        <w:t>1.4投标人资格要求</w:t>
      </w:r>
      <w:bookmarkEnd w:id="129"/>
      <w:bookmarkEnd w:id="130"/>
      <w:bookmarkEnd w:id="131"/>
    </w:p>
    <w:p w14:paraId="3C5049D3">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1.4.1投标人应具备承担本标段施工的资质条件、能力和信誉。</w:t>
      </w:r>
    </w:p>
    <w:p w14:paraId="3415E3CC">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（1）资质要求：见投标人须知前附表；</w:t>
      </w:r>
    </w:p>
    <w:p w14:paraId="2600F976">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（2）财务要求：见投标人须知前附表；</w:t>
      </w:r>
    </w:p>
    <w:p w14:paraId="35238DCA">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（3）业绩要求：见投标人须知前附表；</w:t>
      </w:r>
    </w:p>
    <w:p w14:paraId="25462144">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（4）信誉要求：见投标人须知前附表；</w:t>
      </w:r>
    </w:p>
    <w:p w14:paraId="5D4193FF">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（5）项目经理和项目总工资格：见投标人须知前附表；</w:t>
      </w:r>
    </w:p>
    <w:p w14:paraId="30CEBD57">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（6）其他要求：见投标人须知前附表。</w:t>
      </w:r>
    </w:p>
    <w:p w14:paraId="19B5661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需要提交的相关证明材料见本章第3.5款的规定。</w:t>
      </w:r>
    </w:p>
    <w:p w14:paraId="2B802F7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1.4.2投标人须知前附表规定接受联合体投标的，联合体除应符合本章第1.4.1项和投标人须知前附表的要求外，还应遵守以下规定：</w:t>
      </w:r>
    </w:p>
    <w:p w14:paraId="2E5296D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（1）联合体各方应按招标文件提供的格式签订联合体协议书，明确联合体牵头人和各方权利义务，并承诺就中标项目向招标人承担连带责任；</w:t>
      </w:r>
    </w:p>
    <w:p w14:paraId="29C5007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（2）由同一专业的单位组成的联合体，按照资质等级较低的单位确定资质等级；</w:t>
      </w:r>
    </w:p>
    <w:p w14:paraId="5DE4A87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（3）联合体各方不得再以自己名义单独或参加其他联合体在同</w:t>
      </w:r>
      <w:r>
        <w:rPr>
          <w:rFonts w:hint="eastAsia" w:cs="Times New Roman"/>
          <w:color w:val="auto"/>
          <w:sz w:val="24"/>
          <w:highlight w:val="none"/>
          <w:lang w:val="en-US" w:eastAsia="zh-CN"/>
        </w:rPr>
        <w:t>一</w:t>
      </w:r>
      <w:r>
        <w:rPr>
          <w:rFonts w:hint="eastAsia" w:cs="Times New Roman"/>
          <w:color w:val="auto"/>
          <w:sz w:val="24"/>
          <w:highlight w:val="none"/>
          <w:lang w:eastAsia="zh-CN"/>
        </w:rPr>
        <w:t>标段</w:t>
      </w:r>
      <w:r>
        <w:rPr>
          <w:rFonts w:hint="default" w:ascii="Times New Roman" w:hAnsi="Times New Roman" w:eastAsia="宋体" w:cs="Times New Roman"/>
          <w:color w:val="auto"/>
          <w:sz w:val="24"/>
          <w:highlight w:val="none"/>
        </w:rPr>
        <w:t>中投标；</w:t>
      </w:r>
    </w:p>
    <w:p w14:paraId="6079BC0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2F731E39">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4"/>
          <w:highlight w:val="none"/>
        </w:rPr>
        <w:t>5）尽管委任了联合体牵头人，但联合体各成员在投标、签订合同与履行合同过程中，仍负有连带的和各自的法律责任。</w:t>
      </w:r>
    </w:p>
    <w:p w14:paraId="127A20DD">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1.4.3投标人（包括联合体各成员）不得与本标段相关单位存在下列关联关系：</w:t>
      </w:r>
    </w:p>
    <w:p w14:paraId="3DEBF860">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（1）为招标人不具有独立法人资格的附属机构（单位）；</w:t>
      </w:r>
    </w:p>
    <w:p w14:paraId="12C35752">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（2）与招标人存在利害关系且可能影响招标公正性；</w:t>
      </w:r>
    </w:p>
    <w:p w14:paraId="0808A76D">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（3）与本标段的其他投标人同为一个单位负责人；</w:t>
      </w:r>
    </w:p>
    <w:p w14:paraId="0F274C0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（4）与本标段的其他投标人存在控股、管理关系；</w:t>
      </w:r>
    </w:p>
    <w:p w14:paraId="7DB43CB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（5）为本标段前期准备提供设计或咨询服务的法人或其任何附属机构（单位）；</w:t>
      </w:r>
    </w:p>
    <w:p w14:paraId="06CD221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（6）为本标段的监理人；</w:t>
      </w:r>
    </w:p>
    <w:p w14:paraId="0ED1FFF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（7）为本标段的代建人；</w:t>
      </w:r>
    </w:p>
    <w:p w14:paraId="00FFE49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（8）为本标段的招标代理机构；</w:t>
      </w:r>
    </w:p>
    <w:p w14:paraId="7E8D43DB">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（9）与本标段的监理人或代建人或招标代理机构同为一个法定代表人；</w:t>
      </w:r>
    </w:p>
    <w:p w14:paraId="2578711B">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（10）与本标段的监理人或代建人或招标代理机构存在控股或参股关系；</w:t>
      </w:r>
    </w:p>
    <w:p w14:paraId="4D9A891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（11）法律法规或投标人须知前附表规定的其他情形。</w:t>
      </w:r>
    </w:p>
    <w:p w14:paraId="3C37ED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1.4.4投标人（包括联合体各成员）不得存在下列不良状况或不良信用记录：</w:t>
      </w:r>
    </w:p>
    <w:p w14:paraId="25050FE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（1）被省级及以上交通运输主管部门取消招标项目所在地的投标资格且处于有效期内；</w:t>
      </w:r>
    </w:p>
    <w:p w14:paraId="2F093C94">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（2）被责令停业，暂扣或吊销执照，或吊销资质证书；</w:t>
      </w:r>
    </w:p>
    <w:p w14:paraId="1AE6F5B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（3）进入清算程序，或被宣告破产，或其他丧失履约能力的情形；</w:t>
      </w:r>
    </w:p>
    <w:p w14:paraId="01EA104D">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（4）在国家企业信用信息公示系统（http://www.gsxt.gov.cn/）中被列入严重违法失信企业名单；</w:t>
      </w:r>
    </w:p>
    <w:p w14:paraId="1F45795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（5）在</w:t>
      </w:r>
      <w:r>
        <w:rPr>
          <w:rFonts w:hint="eastAsia" w:ascii="宋体" w:hAnsi="宋体" w:eastAsia="宋体" w:cs="宋体"/>
          <w:color w:val="auto"/>
          <w:highlight w:val="none"/>
        </w:rPr>
        <w:t>“</w:t>
      </w:r>
      <w:r>
        <w:rPr>
          <w:rFonts w:hint="default" w:ascii="Times New Roman" w:hAnsi="Times New Roman" w:eastAsia="宋体" w:cs="Times New Roman"/>
          <w:color w:val="auto"/>
          <w:highlight w:val="none"/>
        </w:rPr>
        <w:t>信用中国</w:t>
      </w:r>
      <w:r>
        <w:rPr>
          <w:rFonts w:hint="eastAsia" w:ascii="宋体" w:hAnsi="宋体" w:eastAsia="宋体" w:cs="宋体"/>
          <w:color w:val="auto"/>
          <w:highlight w:val="none"/>
        </w:rPr>
        <w:t>”</w:t>
      </w:r>
      <w:r>
        <w:rPr>
          <w:rFonts w:hint="default" w:ascii="Times New Roman" w:hAnsi="Times New Roman" w:eastAsia="宋体" w:cs="Times New Roman"/>
          <w:color w:val="auto"/>
          <w:highlight w:val="none"/>
        </w:rPr>
        <w:t>网站（http://www.creditchina.gov.cn/）（或中国执行信息公开网http://zxgk.court.gov.cn/shixin/）中被列入失信被执行人名单；</w:t>
      </w:r>
    </w:p>
    <w:p w14:paraId="2EE9527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（6）投标人或其法定代表人、拟委任的项目经理在近三年内有行贿犯罪行为的；</w:t>
      </w:r>
    </w:p>
    <w:p w14:paraId="31B890BF">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（7）法律法规或投标人须知前附表规定的其他情形。</w:t>
      </w:r>
    </w:p>
    <w:p w14:paraId="539D07B5">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highlight w:val="none"/>
        </w:rPr>
        <w:t>1.4.5根据《关于发布公路工程从业企业资质名录的通知》（厅公路字〔2011〕114号）要求，投标人如为名录范围的施工企业，则应进入交通运输部</w:t>
      </w:r>
      <w:r>
        <w:rPr>
          <w:rFonts w:hint="eastAsia" w:ascii="宋体" w:hAnsi="宋体" w:eastAsia="宋体" w:cs="宋体"/>
          <w:color w:val="auto"/>
          <w:kern w:val="0"/>
          <w:highlight w:val="none"/>
        </w:rPr>
        <w:t>“</w:t>
      </w:r>
      <w:r>
        <w:rPr>
          <w:rFonts w:hint="default" w:ascii="Times New Roman" w:hAnsi="Times New Roman" w:eastAsia="宋体" w:cs="Times New Roman"/>
          <w:color w:val="auto"/>
          <w:kern w:val="0"/>
          <w:highlight w:val="none"/>
        </w:rPr>
        <w:t>全国公路建设市场监督管理系统（https://hwdms.mot.gov.cn/BMWebSite/）</w:t>
      </w:r>
      <w:r>
        <w:rPr>
          <w:rFonts w:hint="eastAsia" w:ascii="宋体" w:hAnsi="宋体" w:eastAsia="宋体" w:cs="宋体"/>
          <w:color w:val="auto"/>
          <w:kern w:val="0"/>
          <w:highlight w:val="none"/>
        </w:rPr>
        <w:t>”</w:t>
      </w:r>
      <w:r>
        <w:rPr>
          <w:rFonts w:hint="default" w:ascii="Times New Roman" w:hAnsi="Times New Roman" w:eastAsia="宋体" w:cs="Times New Roman"/>
          <w:color w:val="auto"/>
          <w:kern w:val="0"/>
          <w:highlight w:val="none"/>
        </w:rPr>
        <w:t>中的公路工程施工资质企业名录，且投标人名称和资质与该名录中的相应企业名称和资质完全一致。</w:t>
      </w:r>
      <w:r>
        <w:rPr>
          <w:rStyle w:val="48"/>
          <w:rFonts w:ascii="Times New Roman" w:hAnsi="Times New Roman" w:eastAsia="宋体" w:cs="Times New Roman"/>
          <w:color w:val="auto"/>
          <w:highlight w:val="none"/>
        </w:rPr>
        <w:footnoteReference w:id="20"/>
      </w:r>
    </w:p>
    <w:p w14:paraId="7032F2E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32" w:name="_Toc234832876"/>
      <w:bookmarkStart w:id="133" w:name="_Toc29333"/>
      <w:bookmarkStart w:id="134" w:name="_Toc14149"/>
      <w:r>
        <w:rPr>
          <w:rFonts w:hint="default" w:ascii="Times New Roman" w:hAnsi="Times New Roman" w:eastAsia="黑体" w:cs="Times New Roman"/>
          <w:b w:val="0"/>
          <w:color w:val="auto"/>
          <w:sz w:val="24"/>
          <w:szCs w:val="24"/>
          <w:highlight w:val="none"/>
        </w:rPr>
        <w:t>1.5费用承担</w:t>
      </w:r>
      <w:bookmarkEnd w:id="132"/>
      <w:bookmarkEnd w:id="133"/>
      <w:bookmarkEnd w:id="134"/>
    </w:p>
    <w:p w14:paraId="2E2DEA9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投标人准备和参加投标活动发生的费用自理。</w:t>
      </w:r>
    </w:p>
    <w:p w14:paraId="6ECFA61A">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35" w:name="_Toc23807"/>
      <w:bookmarkStart w:id="136" w:name="_Toc234832877"/>
      <w:bookmarkStart w:id="137" w:name="_Toc26593"/>
      <w:r>
        <w:rPr>
          <w:rFonts w:hint="default" w:ascii="Times New Roman" w:hAnsi="Times New Roman" w:eastAsia="黑体" w:cs="Times New Roman"/>
          <w:b w:val="0"/>
          <w:color w:val="auto"/>
          <w:sz w:val="24"/>
          <w:szCs w:val="24"/>
          <w:highlight w:val="none"/>
        </w:rPr>
        <w:t>1.6保密</w:t>
      </w:r>
      <w:bookmarkEnd w:id="135"/>
      <w:bookmarkEnd w:id="136"/>
      <w:bookmarkEnd w:id="137"/>
    </w:p>
    <w:p w14:paraId="5DCEC4D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参与招标投标活动的各方应对招标文件和投标文件中的商业和技术等秘密保密，</w:t>
      </w:r>
      <w:r>
        <w:rPr>
          <w:rFonts w:hint="default" w:ascii="Times New Roman" w:hAnsi="Times New Roman" w:eastAsia="宋体" w:cs="Times New Roman"/>
          <w:color w:val="auto"/>
          <w:kern w:val="0"/>
          <w:sz w:val="24"/>
          <w:szCs w:val="20"/>
          <w:highlight w:val="none"/>
        </w:rPr>
        <w:t>否则应承担相应的法律责任。</w:t>
      </w:r>
    </w:p>
    <w:p w14:paraId="76830B8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38" w:name="_Toc20284"/>
      <w:bookmarkStart w:id="139" w:name="_Toc234832878"/>
      <w:bookmarkStart w:id="140" w:name="_Toc5479"/>
      <w:r>
        <w:rPr>
          <w:rFonts w:hint="default" w:ascii="Times New Roman" w:hAnsi="Times New Roman" w:eastAsia="黑体" w:cs="Times New Roman"/>
          <w:b w:val="0"/>
          <w:color w:val="auto"/>
          <w:sz w:val="24"/>
          <w:szCs w:val="24"/>
          <w:highlight w:val="none"/>
        </w:rPr>
        <w:t>1.7语言文字</w:t>
      </w:r>
      <w:bookmarkEnd w:id="138"/>
      <w:bookmarkEnd w:id="139"/>
      <w:bookmarkEnd w:id="140"/>
    </w:p>
    <w:p w14:paraId="73B64E52">
      <w:pPr>
        <w:pageBreakBefore w:val="0"/>
        <w:kinsoku/>
        <w:wordWrap w:val="0"/>
        <w:bidi w:val="0"/>
        <w:spacing w:line="400" w:lineRule="atLeast"/>
        <w:ind w:firstLine="480" w:firstLineChars="200"/>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招标投标文件使用的语言文字为中文。专用术语使用外文的，应附有中文注释。</w:t>
      </w:r>
    </w:p>
    <w:p w14:paraId="239AB891">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41" w:name="_Toc234832879"/>
      <w:bookmarkStart w:id="142" w:name="_Toc7349"/>
      <w:bookmarkStart w:id="143" w:name="_Toc30856"/>
      <w:r>
        <w:rPr>
          <w:rFonts w:hint="default" w:ascii="Times New Roman" w:hAnsi="Times New Roman" w:eastAsia="黑体" w:cs="Times New Roman"/>
          <w:b w:val="0"/>
          <w:color w:val="auto"/>
          <w:sz w:val="24"/>
          <w:szCs w:val="24"/>
          <w:highlight w:val="none"/>
        </w:rPr>
        <w:t>1.8计量单位</w:t>
      </w:r>
      <w:bookmarkEnd w:id="141"/>
      <w:bookmarkEnd w:id="142"/>
      <w:bookmarkEnd w:id="143"/>
    </w:p>
    <w:p w14:paraId="39FCC3D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所有计量均采用中华人民共和国法定计量单位。</w:t>
      </w:r>
    </w:p>
    <w:p w14:paraId="241BD721">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44" w:name="_Toc234832880"/>
      <w:bookmarkStart w:id="145" w:name="_Toc11612"/>
      <w:bookmarkStart w:id="146" w:name="_Toc32593"/>
      <w:r>
        <w:rPr>
          <w:rFonts w:hint="default" w:ascii="Times New Roman" w:hAnsi="Times New Roman" w:eastAsia="黑体" w:cs="Times New Roman"/>
          <w:b w:val="0"/>
          <w:color w:val="auto"/>
          <w:sz w:val="24"/>
          <w:szCs w:val="24"/>
          <w:highlight w:val="none"/>
        </w:rPr>
        <w:t>1.9踏勘现场</w:t>
      </w:r>
      <w:bookmarkEnd w:id="144"/>
      <w:bookmarkEnd w:id="145"/>
      <w:bookmarkEnd w:id="146"/>
    </w:p>
    <w:p w14:paraId="74DB142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1.9.1第一章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招标公告</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071B35C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1.9.2投标人踏勘现场发生的费用自理。</w:t>
      </w:r>
    </w:p>
    <w:p w14:paraId="60FA39B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1.9.3除招标人的原因外，投标人自行负责在踏勘现场中所发生的人员伤亡和财产损失。</w:t>
      </w:r>
    </w:p>
    <w:p w14:paraId="294C5EA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1.9.4招标人在踏勘现场中介绍的工程场地和相关的周边环境情况，供投标人在编制投标文件时参考，招标人不对投标人据此作出的判断和决策负责。</w:t>
      </w:r>
    </w:p>
    <w:p w14:paraId="68F3504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1.9.5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59D5CB1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47" w:name="_Toc17701"/>
      <w:bookmarkStart w:id="148" w:name="_Toc6877"/>
      <w:bookmarkStart w:id="149" w:name="_Toc234832881"/>
      <w:r>
        <w:rPr>
          <w:rFonts w:hint="default" w:ascii="Times New Roman" w:hAnsi="Times New Roman" w:eastAsia="黑体" w:cs="Times New Roman"/>
          <w:b w:val="0"/>
          <w:color w:val="auto"/>
          <w:sz w:val="24"/>
          <w:szCs w:val="24"/>
          <w:highlight w:val="none"/>
        </w:rPr>
        <w:t>1.10投标预备会</w:t>
      </w:r>
      <w:bookmarkEnd w:id="147"/>
      <w:bookmarkEnd w:id="148"/>
      <w:bookmarkEnd w:id="149"/>
    </w:p>
    <w:p w14:paraId="150847C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1.10.1第一章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招标公告</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规定召开投标预备会的，招标人按规定的时间和地点召开投标预备会，澄清投标人提出的问题。</w:t>
      </w:r>
    </w:p>
    <w:p w14:paraId="1A53C90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1.10.2投标人应按投标人须知前附表规定的时间和形式将提出的问题送达招标人，以便招标人在会议期间澄清。</w:t>
      </w:r>
    </w:p>
    <w:p w14:paraId="1C33DAE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1.10.3投标预备会后，招标人将对投标人所提问题的澄清，以本章第2.2款规定的形式通知所有</w:t>
      </w:r>
      <w:r>
        <w:rPr>
          <w:rFonts w:hint="default" w:ascii="Times New Roman" w:hAnsi="Times New Roman" w:cs="Times New Roman"/>
          <w:color w:val="auto"/>
          <w:szCs w:val="24"/>
          <w:highlight w:val="none"/>
          <w:lang w:eastAsia="zh-CN"/>
        </w:rPr>
        <w:t>获取招标文件</w:t>
      </w:r>
      <w:r>
        <w:rPr>
          <w:rFonts w:hint="default" w:ascii="Times New Roman" w:hAnsi="Times New Roman" w:eastAsia="宋体" w:cs="Times New Roman"/>
          <w:color w:val="auto"/>
          <w:szCs w:val="24"/>
          <w:highlight w:val="none"/>
        </w:rPr>
        <w:t>的投标人。该澄清内容为招标文件的组成部分。</w:t>
      </w:r>
    </w:p>
    <w:p w14:paraId="150251AC">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50" w:name="_Toc10304"/>
      <w:bookmarkStart w:id="151" w:name="_Toc234832882"/>
      <w:bookmarkStart w:id="152" w:name="_Toc20656"/>
      <w:r>
        <w:rPr>
          <w:rFonts w:hint="default" w:ascii="Times New Roman" w:hAnsi="Times New Roman" w:eastAsia="黑体" w:cs="Times New Roman"/>
          <w:b w:val="0"/>
          <w:color w:val="auto"/>
          <w:sz w:val="24"/>
          <w:szCs w:val="24"/>
          <w:highlight w:val="none"/>
        </w:rPr>
        <w:t>1.11分包</w:t>
      </w:r>
      <w:bookmarkEnd w:id="150"/>
      <w:bookmarkEnd w:id="151"/>
      <w:bookmarkEnd w:id="152"/>
    </w:p>
    <w:p w14:paraId="5195373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highlight w:val="none"/>
        </w:rPr>
        <w:t>1.11.1</w:t>
      </w:r>
      <w:r>
        <w:rPr>
          <w:rFonts w:hint="default" w:ascii="Times New Roman" w:hAnsi="Times New Roman" w:eastAsia="宋体" w:cs="Times New Roman"/>
          <w:color w:val="auto"/>
          <w:szCs w:val="24"/>
          <w:highlight w:val="none"/>
        </w:rPr>
        <w:t>投标人拟在中标后将中标项目的部分工作进行分包的，应</w:t>
      </w:r>
      <w:r>
        <w:rPr>
          <w:rFonts w:hint="eastAsia" w:ascii="Times New Roman" w:cs="Times New Roman"/>
          <w:color w:val="auto"/>
          <w:szCs w:val="24"/>
          <w:highlight w:val="none"/>
          <w:lang w:val="en-US" w:eastAsia="zh-CN"/>
        </w:rPr>
        <w:t>按辽宁省交通运输厅关于印发《辽宁省公路工程施工分包管理实施细则》的通知（辽交公路规〔2025〕1号）要求执行。</w:t>
      </w:r>
    </w:p>
    <w:p w14:paraId="7CAD9C3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1.11.2中标人不得向他人转让中标项目，接受分包的人不得再次分包。中标人应就分包项目向招标人负责，接受分包的人就分包项目承担连带责任。</w:t>
      </w:r>
    </w:p>
    <w:p w14:paraId="2B73748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53" w:name="_Toc234832883"/>
      <w:bookmarkStart w:id="154" w:name="_Toc10366"/>
      <w:bookmarkStart w:id="155" w:name="_Toc3394"/>
      <w:r>
        <w:rPr>
          <w:rFonts w:hint="default" w:ascii="Times New Roman" w:hAnsi="Times New Roman" w:eastAsia="黑体" w:cs="Times New Roman"/>
          <w:b w:val="0"/>
          <w:color w:val="auto"/>
          <w:sz w:val="24"/>
          <w:szCs w:val="24"/>
          <w:highlight w:val="none"/>
        </w:rPr>
        <w:t>1.12</w:t>
      </w:r>
      <w:bookmarkEnd w:id="153"/>
      <w:r>
        <w:rPr>
          <w:rFonts w:hint="default" w:ascii="Times New Roman" w:hAnsi="Times New Roman" w:eastAsia="黑体" w:cs="Times New Roman"/>
          <w:b w:val="0"/>
          <w:color w:val="auto"/>
          <w:sz w:val="24"/>
          <w:szCs w:val="24"/>
          <w:highlight w:val="none"/>
        </w:rPr>
        <w:t>响应和偏差</w:t>
      </w:r>
      <w:bookmarkEnd w:id="154"/>
      <w:bookmarkEnd w:id="155"/>
    </w:p>
    <w:p w14:paraId="62BC17BC">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1.12.1投标文件偏离招标文件某些要求，视为投标文件存在偏差。偏差包括重大偏差和细微偏差。</w:t>
      </w:r>
    </w:p>
    <w:p w14:paraId="4773A100">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1.12.2投标文件应对招标文件的实质性要求和条件作出满足性或更有利于招标人的响应，否则，视为投标文件存在重大偏差，投标人的投标将被否决。</w:t>
      </w:r>
    </w:p>
    <w:p w14:paraId="40B873A8">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投标文件存在第三章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中所列任一否决投标情形的，均属于存在重大偏差。</w:t>
      </w:r>
    </w:p>
    <w:p w14:paraId="2B0D2EE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1.12.3投标文件中的下列偏差为细微偏差：</w:t>
      </w:r>
    </w:p>
    <w:p w14:paraId="04DE253D">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w:t>
      </w:r>
      <w:r>
        <w:rPr>
          <w:rFonts w:hint="default" w:ascii="Times New Roman" w:hAnsi="Times New Roman" w:eastAsia="宋体" w:cs="Times New Roman"/>
          <w:color w:val="auto"/>
          <w:highlight w:val="none"/>
        </w:rPr>
        <w:t>在按照</w:t>
      </w:r>
      <w:r>
        <w:rPr>
          <w:rFonts w:hint="default" w:ascii="Times New Roman" w:hAnsi="Times New Roman" w:eastAsia="宋体" w:cs="Times New Roman"/>
          <w:color w:val="auto"/>
          <w:szCs w:val="24"/>
          <w:highlight w:val="none"/>
        </w:rPr>
        <w:t>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的规定对投标价进行其他错误</w:t>
      </w:r>
      <w:r>
        <w:rPr>
          <w:rFonts w:hint="default" w:ascii="Times New Roman" w:hAnsi="Times New Roman" w:eastAsia="宋体" w:cs="Times New Roman"/>
          <w:color w:val="auto"/>
          <w:highlight w:val="none"/>
        </w:rPr>
        <w:t>修正后，最终投标报价未超过最高投标限价（如有）的情况下，出现</w:t>
      </w:r>
      <w:r>
        <w:rPr>
          <w:rFonts w:hint="default" w:ascii="Times New Roman" w:hAnsi="Times New Roman" w:eastAsia="宋体" w:cs="Times New Roman"/>
          <w:color w:val="auto"/>
          <w:szCs w:val="24"/>
          <w:highlight w:val="none"/>
        </w:rPr>
        <w:t>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规定的投标报价其他错误；</w:t>
      </w:r>
    </w:p>
    <w:p w14:paraId="78B11C1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（2）施工组织设计（含关键工程技术方案）和项目管理机构不够完善；</w:t>
      </w:r>
    </w:p>
    <w:p w14:paraId="532DBA89">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（3）投标文件个别文字有遗漏错误等不影响投标文件实质性内容的偏差。</w:t>
      </w:r>
    </w:p>
    <w:p w14:paraId="30841D02">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1.12.4评标委员会对投标文件中的细微偏差按如下规定处理：</w:t>
      </w:r>
    </w:p>
    <w:p w14:paraId="40B07133">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（1）对于本章第1.12.3项（1）目所述的细微偏差，按照第三章</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评标办法</w:t>
      </w:r>
      <w:r>
        <w:rPr>
          <w:rFonts w:hint="eastAsia" w:ascii="宋体" w:hAnsi="宋体" w:eastAsia="宋体" w:cs="宋体"/>
          <w:color w:val="auto"/>
          <w:szCs w:val="24"/>
          <w:highlight w:val="none"/>
        </w:rPr>
        <w:t>”</w:t>
      </w:r>
      <w:r>
        <w:rPr>
          <w:rFonts w:hint="default" w:ascii="Times New Roman" w:hAnsi="Times New Roman" w:eastAsia="宋体" w:cs="Times New Roman"/>
          <w:color w:val="auto"/>
          <w:szCs w:val="24"/>
          <w:highlight w:val="none"/>
        </w:rPr>
        <w:t>的规定予以修正并要求投标人进行澄清；</w:t>
      </w:r>
    </w:p>
    <w:p w14:paraId="61C8967A">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77ED413E">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（3）对于本章第1.12.3项（3）目所述的细微偏差，可要求投标人对细微偏差进行澄清。</w:t>
      </w:r>
    </w:p>
    <w:p w14:paraId="1CB6186B">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1.12.5投标人应根据招标文件的要求提供施工组织设计等内容以对招标文件作出响应。</w:t>
      </w:r>
    </w:p>
    <w:p w14:paraId="43AB67C4">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156" w:name="_Toc234832884"/>
      <w:bookmarkStart w:id="157" w:name="_Toc20402"/>
      <w:bookmarkStart w:id="158" w:name="_Toc5915"/>
      <w:bookmarkStart w:id="159" w:name="_Toc5070"/>
      <w:bookmarkStart w:id="160" w:name="_Toc28741"/>
      <w:r>
        <w:rPr>
          <w:rFonts w:hint="default" w:ascii="黑体" w:hAnsi="黑体" w:eastAsia="黑体" w:cs="黑体"/>
          <w:b w:val="0"/>
          <w:bCs/>
          <w:i w:val="0"/>
          <w:iCs w:val="0"/>
          <w:color w:val="auto"/>
          <w:sz w:val="28"/>
          <w:szCs w:val="28"/>
          <w:highlight w:val="none"/>
          <w:lang w:val="en-US" w:eastAsia="zh-CN"/>
        </w:rPr>
        <w:t>2.招标文件</w:t>
      </w:r>
      <w:bookmarkEnd w:id="156"/>
      <w:bookmarkEnd w:id="157"/>
      <w:bookmarkEnd w:id="158"/>
      <w:bookmarkEnd w:id="159"/>
      <w:bookmarkEnd w:id="160"/>
    </w:p>
    <w:p w14:paraId="0FC14816">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61" w:name="_Toc28112"/>
      <w:bookmarkStart w:id="162" w:name="_Toc12252"/>
      <w:bookmarkStart w:id="163" w:name="_Toc234832885"/>
      <w:r>
        <w:rPr>
          <w:rFonts w:hint="default" w:ascii="Times New Roman" w:hAnsi="Times New Roman" w:eastAsia="黑体" w:cs="Times New Roman"/>
          <w:b w:val="0"/>
          <w:color w:val="auto"/>
          <w:sz w:val="24"/>
          <w:szCs w:val="24"/>
          <w:highlight w:val="none"/>
        </w:rPr>
        <w:t>2.1招标文件的组成</w:t>
      </w:r>
      <w:bookmarkEnd w:id="161"/>
      <w:bookmarkEnd w:id="162"/>
      <w:bookmarkEnd w:id="163"/>
    </w:p>
    <w:p w14:paraId="73D23D7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本招标文件包括：</w:t>
      </w:r>
    </w:p>
    <w:p w14:paraId="404FF1E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（1）招标公告；</w:t>
      </w:r>
    </w:p>
    <w:p w14:paraId="7F6BE76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（2）投标人须知；</w:t>
      </w:r>
    </w:p>
    <w:p w14:paraId="690C1C1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（3）评标办法；</w:t>
      </w:r>
    </w:p>
    <w:p w14:paraId="4426374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（4）合同条款及格式；</w:t>
      </w:r>
    </w:p>
    <w:p w14:paraId="645DD70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（5）工程量清单；</w:t>
      </w:r>
    </w:p>
    <w:p w14:paraId="7A572A7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（6）图纸；</w:t>
      </w:r>
    </w:p>
    <w:p w14:paraId="61AF8E4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（7）技术规范；</w:t>
      </w:r>
    </w:p>
    <w:p w14:paraId="7D4DEB1E">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（8）工程量清单计量规则；</w:t>
      </w:r>
    </w:p>
    <w:p w14:paraId="5893FBC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（9）投标文件格式；</w:t>
      </w:r>
    </w:p>
    <w:p w14:paraId="0217829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（10）投标人须知前附表规定的其他资料。</w:t>
      </w:r>
    </w:p>
    <w:p w14:paraId="6EAB9F2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根据本章第1.10款、第2.2款和第2.3款对招标文件所作的澄清、修改，构成招标文件的组成部分。</w:t>
      </w:r>
    </w:p>
    <w:p w14:paraId="090D0631">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当招标文件、招标文件的澄清或修改等在同一内容的表述上不一致时，以最后发出的书面文件为准。</w:t>
      </w:r>
    </w:p>
    <w:p w14:paraId="09AF4845">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64" w:name="_Toc6916"/>
      <w:bookmarkStart w:id="165" w:name="_Toc13346"/>
      <w:bookmarkStart w:id="166" w:name="_Toc234832886"/>
      <w:r>
        <w:rPr>
          <w:rFonts w:hint="default" w:ascii="Times New Roman" w:hAnsi="Times New Roman" w:eastAsia="黑体" w:cs="Times New Roman"/>
          <w:b w:val="0"/>
          <w:color w:val="auto"/>
          <w:sz w:val="24"/>
          <w:szCs w:val="24"/>
          <w:highlight w:val="none"/>
        </w:rPr>
        <w:t>2.2招标文件的澄清</w:t>
      </w:r>
      <w:bookmarkEnd w:id="164"/>
      <w:bookmarkEnd w:id="165"/>
      <w:bookmarkEnd w:id="166"/>
    </w:p>
    <w:p w14:paraId="0406C51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7B5B43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2.2.2招标文件的澄清以投标人须知前附表规定的形式发给所有</w:t>
      </w:r>
      <w:r>
        <w:rPr>
          <w:rFonts w:hint="default" w:ascii="Times New Roman" w:hAnsi="Times New Roman" w:cs="Times New Roman"/>
          <w:color w:val="auto"/>
          <w:sz w:val="24"/>
          <w:highlight w:val="none"/>
          <w:lang w:eastAsia="zh-CN"/>
        </w:rPr>
        <w:t>获取招标文件</w:t>
      </w:r>
      <w:r>
        <w:rPr>
          <w:rFonts w:hint="default" w:ascii="Times New Roman" w:hAnsi="Times New Roman" w:eastAsia="宋体" w:cs="Times New Roman"/>
          <w:color w:val="auto"/>
          <w:sz w:val="24"/>
          <w:highlight w:val="none"/>
        </w:rPr>
        <w:t>的投标人，但不指明澄清问题的来源。澄清发出的时间距本章第4.2.1项规定的投标截止时间不足15日，且澄清内容可能影响投标文件编制的，将相应延长投标截止时间。</w:t>
      </w:r>
    </w:p>
    <w:p w14:paraId="264C476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2.2.3</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lang w:val="en-US" w:eastAsia="zh-CN"/>
        </w:rPr>
        <w:t>应</w:t>
      </w:r>
      <w:r>
        <w:rPr>
          <w:rFonts w:hint="default" w:ascii="Times New Roman" w:hAnsi="Times New Roman" w:cs="Times New Roman"/>
          <w:color w:val="auto"/>
          <w:sz w:val="24"/>
          <w:szCs w:val="24"/>
          <w:highlight w:val="none"/>
        </w:rPr>
        <w:t>按照投标人须知前附表要求及时收悉澄清内容。</w:t>
      </w:r>
      <w:r>
        <w:rPr>
          <w:rFonts w:hint="default" w:ascii="Times New Roman" w:hAnsi="Times New Roman" w:cs="Times New Roman"/>
          <w:color w:val="auto"/>
          <w:sz w:val="24"/>
          <w:highlight w:val="none"/>
        </w:rPr>
        <w:t>投标人应注意及时浏览网上发出的澄清，因投标人自身原因未及时获知澄清内容而导致的任何后果将由投标人自行承担</w:t>
      </w:r>
      <w:r>
        <w:rPr>
          <w:rFonts w:hint="default" w:ascii="Times New Roman" w:hAnsi="Times New Roman" w:eastAsia="宋体" w:cs="Times New Roman"/>
          <w:color w:val="auto"/>
          <w:sz w:val="24"/>
          <w:highlight w:val="none"/>
        </w:rPr>
        <w:t>。</w:t>
      </w:r>
    </w:p>
    <w:p w14:paraId="508D4E5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2.2.4除非招标人认为确有必要答复，否则，招标人有权拒绝回复投标人在本章第2.2.1项规定的时间后提出的任何澄清要求。</w:t>
      </w:r>
    </w:p>
    <w:p w14:paraId="5EF78C1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67" w:name="_Toc19533"/>
      <w:bookmarkStart w:id="168" w:name="_Toc234832887"/>
      <w:bookmarkStart w:id="169" w:name="_Toc20407"/>
      <w:r>
        <w:rPr>
          <w:rFonts w:hint="default" w:ascii="Times New Roman" w:hAnsi="Times New Roman" w:eastAsia="黑体" w:cs="Times New Roman"/>
          <w:b w:val="0"/>
          <w:color w:val="auto"/>
          <w:sz w:val="24"/>
          <w:szCs w:val="24"/>
          <w:highlight w:val="none"/>
        </w:rPr>
        <w:t>2.3招标文件的修改</w:t>
      </w:r>
      <w:bookmarkEnd w:id="167"/>
      <w:bookmarkEnd w:id="168"/>
      <w:bookmarkEnd w:id="169"/>
    </w:p>
    <w:p w14:paraId="7FB7BF4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2.3.1招标人以投标人须知前附表规定的形式修改招标文件。修改招标文件的时间距本章第4.2.1项规定的投标截止时间不足15日，且修改内容可能影响投标文件编制的，将相应延长投标截止时间。</w:t>
      </w:r>
    </w:p>
    <w:p w14:paraId="4FC9607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2.3.2</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lang w:val="en-US" w:eastAsia="zh-CN"/>
        </w:rPr>
        <w:t>应</w:t>
      </w:r>
      <w:r>
        <w:rPr>
          <w:rFonts w:hint="default" w:ascii="Times New Roman" w:hAnsi="Times New Roman" w:cs="Times New Roman"/>
          <w:color w:val="auto"/>
          <w:sz w:val="24"/>
          <w:szCs w:val="24"/>
          <w:highlight w:val="none"/>
        </w:rPr>
        <w:t>按照投标人须知前附表要求及时收悉</w:t>
      </w:r>
      <w:r>
        <w:rPr>
          <w:rFonts w:hint="default" w:ascii="Times New Roman" w:hAnsi="Times New Roman" w:cs="Times New Roman"/>
          <w:color w:val="auto"/>
          <w:sz w:val="24"/>
          <w:szCs w:val="24"/>
          <w:highlight w:val="none"/>
          <w:lang w:val="en-US" w:eastAsia="zh-CN"/>
        </w:rPr>
        <w:t>修改</w:t>
      </w:r>
      <w:r>
        <w:rPr>
          <w:rFonts w:hint="default" w:ascii="Times New Roman" w:hAnsi="Times New Roman" w:cs="Times New Roman"/>
          <w:color w:val="auto"/>
          <w:sz w:val="24"/>
          <w:szCs w:val="24"/>
          <w:highlight w:val="none"/>
        </w:rPr>
        <w:t>内容</w:t>
      </w:r>
      <w:r>
        <w:rPr>
          <w:rFonts w:hint="default" w:ascii="Times New Roman" w:hAnsi="Times New Roman" w:cs="Times New Roman"/>
          <w:color w:val="auto"/>
          <w:sz w:val="24"/>
          <w:highlight w:val="none"/>
        </w:rPr>
        <w:t>。投标人应注意及时浏览网上发出的修改，因投标人自身原因未及时获知修改内容而导致的任何后果将由投标人自行承担</w:t>
      </w:r>
      <w:r>
        <w:rPr>
          <w:rFonts w:hint="default" w:ascii="Times New Roman" w:hAnsi="Times New Roman" w:eastAsia="宋体" w:cs="Times New Roman"/>
          <w:color w:val="auto"/>
          <w:sz w:val="24"/>
          <w:highlight w:val="none"/>
        </w:rPr>
        <w:t>。</w:t>
      </w:r>
    </w:p>
    <w:p w14:paraId="15ACC5E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70" w:name="_Toc13132"/>
      <w:bookmarkStart w:id="171" w:name="_Toc8985"/>
      <w:r>
        <w:rPr>
          <w:rFonts w:hint="default" w:ascii="Times New Roman" w:hAnsi="Times New Roman" w:eastAsia="黑体" w:cs="Times New Roman"/>
          <w:b w:val="0"/>
          <w:color w:val="auto"/>
          <w:sz w:val="24"/>
          <w:szCs w:val="24"/>
          <w:highlight w:val="none"/>
        </w:rPr>
        <w:t>2.4招标文件的异议</w:t>
      </w:r>
      <w:bookmarkEnd w:id="170"/>
      <w:bookmarkEnd w:id="171"/>
    </w:p>
    <w:p w14:paraId="3B84DDB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投标人或其他利害关系人对招标文件有异议的，应在投标截止时间10日前以书面形式提出。招标人将在收到异议之日起3日内作出答复；作出答复前，将暂停招标投标活动。</w:t>
      </w:r>
    </w:p>
    <w:p w14:paraId="2FEC106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172" w:name="_Toc5874"/>
      <w:bookmarkStart w:id="173" w:name="_Toc24250"/>
      <w:bookmarkStart w:id="174" w:name="_Toc234832888"/>
      <w:bookmarkStart w:id="175" w:name="_Toc4963"/>
      <w:bookmarkStart w:id="176" w:name="_Toc22401"/>
      <w:r>
        <w:rPr>
          <w:rFonts w:hint="default" w:ascii="黑体" w:hAnsi="黑体" w:eastAsia="黑体" w:cs="黑体"/>
          <w:b w:val="0"/>
          <w:bCs/>
          <w:i w:val="0"/>
          <w:iCs w:val="0"/>
          <w:color w:val="auto"/>
          <w:sz w:val="28"/>
          <w:szCs w:val="28"/>
          <w:highlight w:val="none"/>
          <w:lang w:val="en-US" w:eastAsia="zh-CN"/>
        </w:rPr>
        <w:t>3.投标文件</w:t>
      </w:r>
      <w:bookmarkEnd w:id="172"/>
      <w:bookmarkEnd w:id="173"/>
      <w:bookmarkEnd w:id="174"/>
      <w:bookmarkEnd w:id="175"/>
      <w:bookmarkEnd w:id="176"/>
    </w:p>
    <w:p w14:paraId="410DFC4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77" w:name="_Toc20988"/>
      <w:bookmarkStart w:id="178" w:name="_Toc18046"/>
      <w:bookmarkStart w:id="179" w:name="_Toc234832889"/>
      <w:r>
        <w:rPr>
          <w:rFonts w:hint="default" w:ascii="Times New Roman" w:hAnsi="Times New Roman" w:eastAsia="黑体" w:cs="Times New Roman"/>
          <w:b w:val="0"/>
          <w:color w:val="auto"/>
          <w:sz w:val="24"/>
          <w:szCs w:val="24"/>
          <w:highlight w:val="none"/>
        </w:rPr>
        <w:t>3.1投标文件的组成</w:t>
      </w:r>
      <w:bookmarkEnd w:id="177"/>
      <w:bookmarkEnd w:id="178"/>
      <w:bookmarkEnd w:id="179"/>
    </w:p>
    <w:p w14:paraId="123D447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3.1.1投标文件应采用双信封形式，包括下列内容：</w:t>
      </w:r>
    </w:p>
    <w:p w14:paraId="26E5475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第一个信封（商务及技术文件）：</w:t>
      </w:r>
    </w:p>
    <w:p w14:paraId="4C5B620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（1）投标函及投标函附录；</w:t>
      </w:r>
    </w:p>
    <w:p w14:paraId="40E0293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（2）授权委托书或法定代表人身份证明；</w:t>
      </w:r>
    </w:p>
    <w:p w14:paraId="38B08C7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（3）联合体协议书（如有）；</w:t>
      </w:r>
    </w:p>
    <w:p w14:paraId="2922554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（4）投标保证金（如有）；</w:t>
      </w:r>
    </w:p>
    <w:p w14:paraId="31D2109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（5）施工组织设计；</w:t>
      </w:r>
    </w:p>
    <w:p w14:paraId="4D88D14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（6）项目管理机构；</w:t>
      </w:r>
    </w:p>
    <w:p w14:paraId="417831D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（7）拟分包项目情况表（</w:t>
      </w:r>
      <w:r>
        <w:rPr>
          <w:rFonts w:hint="eastAsia" w:cs="Times New Roman"/>
          <w:color w:val="auto"/>
          <w:sz w:val="24"/>
          <w:highlight w:val="none"/>
          <w:lang w:val="en-US" w:eastAsia="zh-CN"/>
        </w:rPr>
        <w:t>如有</w:t>
      </w:r>
      <w:r>
        <w:rPr>
          <w:rFonts w:hint="default" w:ascii="Times New Roman" w:hAnsi="Times New Roman" w:eastAsia="宋体" w:cs="Times New Roman"/>
          <w:color w:val="auto"/>
          <w:sz w:val="24"/>
          <w:highlight w:val="none"/>
        </w:rPr>
        <w:t>）</w:t>
      </w:r>
    </w:p>
    <w:p w14:paraId="2BC519D8">
      <w:pPr>
        <w:pageBreakBefore w:val="0"/>
        <w:kinsoku/>
        <w:wordWrap w:val="0"/>
        <w:bidi w:val="0"/>
        <w:spacing w:line="400" w:lineRule="atLeast"/>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rPr>
        <w:t>）资格审查资料；</w:t>
      </w:r>
    </w:p>
    <w:p w14:paraId="47A3DEC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）投标人须知前附表规定的其他资料。</w:t>
      </w:r>
    </w:p>
    <w:p w14:paraId="0632E21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第二个信封（报价文件）：</w:t>
      </w:r>
    </w:p>
    <w:p w14:paraId="33C4C1C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（1）投标函；</w:t>
      </w:r>
    </w:p>
    <w:p w14:paraId="6258017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）已标价工程量清单；</w:t>
      </w:r>
    </w:p>
    <w:p w14:paraId="5FF0AB6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）合同用款估算表。</w:t>
      </w:r>
    </w:p>
    <w:p w14:paraId="3B2CEEA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投标人在评标过程中作出的符合法律法规和招标文件规定的澄清确认，构成投标文件的组成部分。</w:t>
      </w:r>
    </w:p>
    <w:p w14:paraId="7E910E3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3.1.2投标人须知前附表规定不接受联合体投标的，或投标人没有组成联合体的，投标文件不包括本章第3.1.1（3）目所指的联合体协议书。</w:t>
      </w:r>
    </w:p>
    <w:p w14:paraId="605A34E0">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3.1.3投标人须知前附表未要求提交投标保证金的，投标文件不包括本章第3.1.1（4）目所指的投标保证金。</w:t>
      </w:r>
    </w:p>
    <w:p w14:paraId="5662B81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eastAsia" w:ascii="Times New Roman" w:hAnsi="Times New Roman" w:eastAsia="黑体" w:cs="Times New Roman"/>
          <w:b w:val="0"/>
          <w:color w:val="auto"/>
          <w:sz w:val="24"/>
          <w:szCs w:val="24"/>
          <w:highlight w:val="none"/>
          <w:lang w:eastAsia="zh-CN"/>
        </w:rPr>
      </w:pPr>
      <w:bookmarkStart w:id="180" w:name="_Toc234832890"/>
      <w:bookmarkStart w:id="181" w:name="_Toc22349"/>
      <w:bookmarkStart w:id="182" w:name="_Toc4919"/>
      <w:r>
        <w:rPr>
          <w:rFonts w:hint="default" w:ascii="Times New Roman" w:hAnsi="Times New Roman" w:eastAsia="黑体" w:cs="Times New Roman"/>
          <w:b w:val="0"/>
          <w:color w:val="auto"/>
          <w:sz w:val="24"/>
          <w:szCs w:val="24"/>
          <w:highlight w:val="none"/>
        </w:rPr>
        <w:t>3.2投标报价</w:t>
      </w:r>
      <w:bookmarkEnd w:id="180"/>
      <w:bookmarkEnd w:id="181"/>
      <w:bookmarkEnd w:id="182"/>
    </w:p>
    <w:p w14:paraId="54EBC6E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3.2.1投标报价应包括国家规定的增值税税金，除投标人须知前附表另有规定外，增值税税金按一般计税方法计算。投标人应按第九章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投标文件格式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的要求在投标函中进行报价并填写工程量清单相应表格。</w:t>
      </w:r>
    </w:p>
    <w:p w14:paraId="0A6676D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本项目招标采用工程量清单，招标人在</w:t>
      </w:r>
      <w:r>
        <w:rPr>
          <w:rFonts w:hint="default" w:ascii="Times New Roman" w:hAnsi="Times New Roman" w:cs="Times New Roman"/>
          <w:color w:val="auto"/>
          <w:sz w:val="24"/>
          <w:highlight w:val="none"/>
          <w:lang w:val="en-US" w:eastAsia="zh-CN"/>
        </w:rPr>
        <w:t>发布</w:t>
      </w:r>
      <w:r>
        <w:rPr>
          <w:rFonts w:hint="default" w:ascii="Times New Roman" w:hAnsi="Times New Roman" w:eastAsia="宋体" w:cs="Times New Roman"/>
          <w:color w:val="auto"/>
          <w:sz w:val="24"/>
          <w:highlight w:val="none"/>
        </w:rPr>
        <w:t>招标文件的同时将工程量清单电子文件上传至投标人须知前附表载明的网站供投标人自行下载。投标人填写工程量清单中各子目的单价</w:t>
      </w:r>
      <w:r>
        <w:rPr>
          <w:rFonts w:hint="eastAsia" w:cs="Times New Roman"/>
          <w:color w:val="auto"/>
          <w:sz w:val="24"/>
          <w:highlight w:val="none"/>
          <w:lang w:val="en-US" w:eastAsia="zh-CN"/>
        </w:rPr>
        <w:t>或</w:t>
      </w:r>
      <w:r>
        <w:rPr>
          <w:rFonts w:hint="default" w:ascii="Times New Roman" w:hAnsi="Times New Roman" w:eastAsia="宋体" w:cs="Times New Roman"/>
          <w:color w:val="auto"/>
          <w:sz w:val="24"/>
          <w:highlight w:val="none"/>
        </w:rPr>
        <w:t>总额价，即可完成投标工程量清单的编制，确定投标报价，并</w:t>
      </w:r>
      <w:r>
        <w:rPr>
          <w:rFonts w:hint="eastAsia" w:cs="Times New Roman"/>
          <w:color w:val="auto"/>
          <w:sz w:val="24"/>
          <w:highlight w:val="none"/>
          <w:lang w:val="en-US" w:eastAsia="zh-CN"/>
        </w:rPr>
        <w:t>生成电子版</w:t>
      </w:r>
      <w:r>
        <w:rPr>
          <w:rFonts w:hint="default" w:ascii="Times New Roman" w:hAnsi="Times New Roman" w:eastAsia="宋体" w:cs="Times New Roman"/>
          <w:color w:val="auto"/>
          <w:sz w:val="24"/>
          <w:highlight w:val="none"/>
        </w:rPr>
        <w:t>工程量清单，编入投标文件。投标人未在工程量清单中填入单价或总额价的工程子目，将被认为其已包含在工程量清单其他子目的单价和总额价中，招标人将不予支付。</w:t>
      </w:r>
    </w:p>
    <w:p w14:paraId="5305714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严禁投标人修改工程量清单电子文件中的数据、格式及运算定义。</w:t>
      </w:r>
    </w:p>
    <w:p w14:paraId="6160B73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投标人根据招标人提供的工程量清单电子文件填报完成并</w:t>
      </w:r>
      <w:r>
        <w:rPr>
          <w:rFonts w:hint="eastAsia" w:cs="Times New Roman"/>
          <w:color w:val="auto"/>
          <w:sz w:val="24"/>
          <w:highlight w:val="none"/>
          <w:lang w:val="en-US" w:eastAsia="zh-CN"/>
        </w:rPr>
        <w:t>生成</w:t>
      </w:r>
      <w:r>
        <w:rPr>
          <w:rFonts w:hint="default" w:ascii="Times New Roman" w:hAnsi="Times New Roman" w:eastAsia="宋体" w:cs="Times New Roman"/>
          <w:color w:val="auto"/>
          <w:sz w:val="24"/>
          <w:highlight w:val="none"/>
        </w:rPr>
        <w:t>的投标工程量清单中的投标报价和投标函大写金额报价应一致，如果报价金额出现差异，其投标将被否决。</w:t>
      </w:r>
    </w:p>
    <w:p w14:paraId="127378F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3.2.2投标人应充分了解本项目的总体情况以及影响投标报价的其他要素。</w:t>
      </w:r>
    </w:p>
    <w:p w14:paraId="1B3121F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3.2.3本项目的报价方式见投标人须知前附表。投标人在投标截止时间前修改投标函中的投标总报价，应同时修改投标文件</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已标价工程量清单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中的相应报价。此修改须符合本章第4.3款的有关要求。</w:t>
      </w:r>
    </w:p>
    <w:p w14:paraId="100EF9F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3.2.4投标人如果发现工程量清单中的数量与图纸中数量不一致时，应立即通知招标人核查，除非招标人</w:t>
      </w:r>
      <w:r>
        <w:rPr>
          <w:rFonts w:hint="eastAsia" w:cs="Times New Roman"/>
          <w:color w:val="auto"/>
          <w:sz w:val="24"/>
          <w:highlight w:val="none"/>
          <w:lang w:val="en-US" w:eastAsia="zh-CN"/>
        </w:rPr>
        <w:t>在指定媒介上</w:t>
      </w:r>
      <w:r>
        <w:rPr>
          <w:rFonts w:hint="default" w:ascii="Times New Roman" w:hAnsi="Times New Roman" w:eastAsia="宋体" w:cs="Times New Roman"/>
          <w:color w:val="auto"/>
          <w:sz w:val="24"/>
          <w:highlight w:val="none"/>
        </w:rPr>
        <w:t>以书面方式予以更正，否则，应以工程量清单中列出的数量为准。</w:t>
      </w:r>
    </w:p>
    <w:p w14:paraId="69BAB19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3.2.5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1F96823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A3869F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rPr>
        <w:t>招标人设有最高投标限价的，投标人的投标报价不得超过最高投标限价，最高投标限价在投标</w:t>
      </w:r>
      <w:bookmarkStart w:id="183" w:name="_Toc152045544"/>
      <w:bookmarkStart w:id="184" w:name="_Toc361508600"/>
      <w:bookmarkStart w:id="185" w:name="_Toc300834965"/>
      <w:bookmarkStart w:id="186" w:name="_Toc144974512"/>
      <w:bookmarkStart w:id="187" w:name="_Toc352691488"/>
      <w:bookmarkStart w:id="188" w:name="_Toc247527569"/>
      <w:bookmarkStart w:id="189" w:name="_Toc10429"/>
      <w:bookmarkStart w:id="190" w:name="_Toc247513968"/>
      <w:bookmarkStart w:id="191" w:name="_Toc384308225"/>
      <w:bookmarkStart w:id="192" w:name="_Toc152042320"/>
      <w:bookmarkStart w:id="193" w:name="_Toc369531531"/>
      <w:r>
        <w:rPr>
          <w:rFonts w:hint="default" w:ascii="Times New Roman" w:hAnsi="Times New Roman" w:eastAsia="宋体" w:cs="Times New Roman"/>
          <w:color w:val="auto"/>
          <w:sz w:val="24"/>
          <w:highlight w:val="none"/>
        </w:rPr>
        <w:t>人须知前附表中载明。</w:t>
      </w:r>
      <w:bookmarkEnd w:id="183"/>
      <w:bookmarkEnd w:id="184"/>
      <w:bookmarkEnd w:id="185"/>
      <w:bookmarkEnd w:id="186"/>
      <w:bookmarkEnd w:id="187"/>
      <w:bookmarkEnd w:id="188"/>
      <w:bookmarkEnd w:id="189"/>
      <w:bookmarkEnd w:id="190"/>
      <w:bookmarkEnd w:id="191"/>
      <w:bookmarkEnd w:id="192"/>
      <w:bookmarkEnd w:id="193"/>
    </w:p>
    <w:p w14:paraId="3726AAA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3.2.</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rPr>
        <w:t>投标报价的其他要求见投标人须知前附表。</w:t>
      </w:r>
    </w:p>
    <w:p w14:paraId="46BF4AE0">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94" w:name="_Toc5681"/>
      <w:bookmarkStart w:id="195" w:name="_Toc234832891"/>
      <w:bookmarkStart w:id="196" w:name="_Toc31161"/>
      <w:r>
        <w:rPr>
          <w:rFonts w:hint="default" w:ascii="Times New Roman" w:hAnsi="Times New Roman" w:eastAsia="黑体" w:cs="Times New Roman"/>
          <w:b w:val="0"/>
          <w:color w:val="auto"/>
          <w:sz w:val="24"/>
          <w:szCs w:val="24"/>
          <w:highlight w:val="none"/>
        </w:rPr>
        <w:t>3.3投标有效期</w:t>
      </w:r>
      <w:bookmarkEnd w:id="194"/>
      <w:bookmarkEnd w:id="195"/>
      <w:bookmarkEnd w:id="196"/>
    </w:p>
    <w:p w14:paraId="5C64B1F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3.3.1除投标人须知前附表另有规定外，投标有效期为90日。</w:t>
      </w:r>
    </w:p>
    <w:p w14:paraId="704D9D9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3.3.2在投标有效期内，投标人撤销投标文件的，应承担招标文件和法律规定的责任。</w:t>
      </w:r>
    </w:p>
    <w:p w14:paraId="3F08B12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3.3.3出现特殊情况需要延长投标有效期的，招标人</w:t>
      </w:r>
      <w:r>
        <w:rPr>
          <w:rFonts w:hint="eastAsia" w:cs="Times New Roman"/>
          <w:color w:val="auto"/>
          <w:sz w:val="24"/>
          <w:highlight w:val="none"/>
          <w:lang w:val="en-US" w:eastAsia="zh-CN"/>
        </w:rPr>
        <w:t>通过电子交易平台</w:t>
      </w:r>
      <w:r>
        <w:rPr>
          <w:rFonts w:hint="default" w:ascii="Times New Roman" w:hAnsi="Times New Roman" w:eastAsia="宋体" w:cs="Times New Roman"/>
          <w:color w:val="auto"/>
          <w:sz w:val="24"/>
          <w:highlight w:val="none"/>
        </w:rPr>
        <w:t>通知所有投标人延长投标有效期。投标人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E2DFEB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197" w:name="_Toc17536"/>
      <w:bookmarkStart w:id="198" w:name="_Toc234832892"/>
      <w:bookmarkStart w:id="199" w:name="_Toc14943"/>
      <w:r>
        <w:rPr>
          <w:rFonts w:hint="default" w:ascii="Times New Roman" w:hAnsi="Times New Roman" w:eastAsia="黑体" w:cs="Times New Roman"/>
          <w:b w:val="0"/>
          <w:color w:val="auto"/>
          <w:sz w:val="24"/>
          <w:szCs w:val="24"/>
          <w:highlight w:val="none"/>
        </w:rPr>
        <w:t>3.4投标保证金</w:t>
      </w:r>
      <w:bookmarkEnd w:id="197"/>
      <w:bookmarkEnd w:id="198"/>
      <w:bookmarkEnd w:id="199"/>
    </w:p>
    <w:p w14:paraId="4B2CAB1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3.4.1投标人在递交投标文件的同时，应按投标人须知前附表规定的金额和第九章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投标文件格式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规定的投标保证金格式递交投标保证金，并作为其投标文件的组成部分。联合体投标的，其投标保证金由牵头人递交，并应符合投标人须知前附表的规定。</w:t>
      </w:r>
    </w:p>
    <w:p w14:paraId="0A3EDB8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投标保证金应采用现金、支票、银行保函或招标人在投标人须知前附表规定的其他形式。</w:t>
      </w:r>
    </w:p>
    <w:p w14:paraId="59501211">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6563E8B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（2）若采用银行保函，则应由符合投标人须知前附表规定级别的银行开具，并采用招标文件提供的格式。银行保函</w:t>
      </w:r>
      <w:r>
        <w:rPr>
          <w:rFonts w:hint="eastAsia" w:cs="Times New Roman"/>
          <w:color w:val="auto"/>
          <w:sz w:val="24"/>
          <w:highlight w:val="none"/>
          <w:lang w:eastAsia="zh-CN"/>
        </w:rPr>
        <w:t>原件扫描件</w:t>
      </w:r>
      <w:r>
        <w:rPr>
          <w:rFonts w:hint="eastAsia" w:cs="Times New Roman"/>
          <w:color w:val="auto"/>
          <w:sz w:val="24"/>
          <w:highlight w:val="none"/>
          <w:lang w:val="en-US" w:eastAsia="zh-CN"/>
        </w:rPr>
        <w:t>编辑</w:t>
      </w:r>
      <w:r>
        <w:rPr>
          <w:rFonts w:hint="default" w:ascii="Times New Roman" w:hAnsi="Times New Roman" w:eastAsia="宋体" w:cs="Times New Roman"/>
          <w:color w:val="auto"/>
          <w:sz w:val="24"/>
          <w:highlight w:val="none"/>
        </w:rPr>
        <w:t>在投标文件内。</w:t>
      </w:r>
    </w:p>
    <w:p w14:paraId="79638B5D">
      <w:pPr>
        <w:pageBreakBefore w:val="0"/>
        <w:kinsoku/>
        <w:wordWrap w:val="0"/>
        <w:bidi w:val="0"/>
        <w:spacing w:line="400" w:lineRule="atLeast"/>
        <w:ind w:firstLine="480" w:firstLineChars="200"/>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）若采用电子保函形式提交，投标人应在投标文件中提供电子保函的扫描件和电子化保函验真渠道。</w:t>
      </w:r>
    </w:p>
    <w:p w14:paraId="4D7E9EF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无论采取何种形式的投标保证金，投标保证金有效期均应与投标有效期一致。招标人如果按本章第3.3.3项的规定延长了投标有效期，则投标保证金的有效期也相应延长。</w:t>
      </w:r>
    </w:p>
    <w:p w14:paraId="4A889F0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3.4.2投标人不按本章第3.4.1项要求提交投标保证金的，评标委员会将否决其投标。</w:t>
      </w:r>
    </w:p>
    <w:p w14:paraId="16A18F0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352F863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利息计算原则见投标人须知前附表。</w:t>
      </w:r>
    </w:p>
    <w:p w14:paraId="770502A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3.4.4有下列情形之一的，投标保证金将不予退还：</w:t>
      </w:r>
    </w:p>
    <w:p w14:paraId="443C06E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（1）投标人在投标有效期内撤销投标文件；</w:t>
      </w:r>
    </w:p>
    <w:p w14:paraId="72AD31E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（2）中标人在收到中标通知书后，无正当理由不与招标人订立合同，在签订合同时向招标人提出附加条件，或不按照招标文件要求提交履约保证金；</w:t>
      </w:r>
    </w:p>
    <w:p w14:paraId="492C8B2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（3）发生投标人须知前附表规定的其他可以不予退还投标保证金的情形。</w:t>
      </w:r>
    </w:p>
    <w:p w14:paraId="6D247F0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00" w:name="_Toc234832894"/>
      <w:bookmarkStart w:id="201" w:name="_Toc19802"/>
      <w:bookmarkStart w:id="202" w:name="_Toc6927"/>
      <w:r>
        <w:rPr>
          <w:rFonts w:hint="default" w:ascii="Times New Roman" w:hAnsi="Times New Roman" w:eastAsia="黑体" w:cs="Times New Roman"/>
          <w:b w:val="0"/>
          <w:color w:val="auto"/>
          <w:sz w:val="24"/>
          <w:szCs w:val="24"/>
          <w:highlight w:val="none"/>
        </w:rPr>
        <w:t>3.5资格审查资料</w:t>
      </w:r>
      <w:bookmarkEnd w:id="200"/>
      <w:bookmarkEnd w:id="201"/>
      <w:bookmarkEnd w:id="202"/>
    </w:p>
    <w:p w14:paraId="32E3BDD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除投标人须知前附表另有规定外，投标人应按下列规定提供资格审查资料，以证明其满足本章第1.4款规定的资质、财务、业绩、信誉等要求。</w:t>
      </w:r>
    </w:p>
    <w:p w14:paraId="454F859C">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eastAsia" w:cs="Times New Roman"/>
          <w:color w:val="auto"/>
          <w:sz w:val="24"/>
          <w:szCs w:val="24"/>
          <w:highlight w:val="none"/>
          <w:lang w:val="en-US" w:eastAsia="zh-CN"/>
        </w:rPr>
        <w:t>主体信息库</w:t>
      </w:r>
      <w:r>
        <w:rPr>
          <w:rFonts w:hint="default" w:ascii="Times New Roman" w:hAnsi="Times New Roman" w:eastAsia="宋体" w:cs="Times New Roman"/>
          <w:color w:val="auto"/>
          <w:sz w:val="24"/>
          <w:szCs w:val="24"/>
          <w:highlight w:val="none"/>
        </w:rPr>
        <w:t>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5402C40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投标人基本情况表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应附企业法人营业执照、施工资质证书、安全生产许可证、基本账户开户许可证</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基本存款账户信息</w:t>
      </w:r>
      <w:r>
        <w:rPr>
          <w:rFonts w:hint="default" w:ascii="Times New Roman" w:hAnsi="Times New Roman" w:eastAsia="宋体" w:cs="Times New Roman"/>
          <w:color w:val="auto"/>
          <w:sz w:val="24"/>
          <w:highlight w:val="none"/>
        </w:rPr>
        <w:t>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原件扫描件</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，投标人在交通运输部</w:t>
      </w:r>
      <w:r>
        <w:rPr>
          <w:rFonts w:hint="eastAsia" w:ascii="宋体" w:hAnsi="宋体" w:eastAsia="宋体" w:cs="宋体"/>
          <w:color w:val="auto"/>
          <w:sz w:val="24"/>
          <w:highlight w:val="none"/>
        </w:rPr>
        <w:t>“</w:t>
      </w:r>
      <w:r>
        <w:rPr>
          <w:rFonts w:hint="eastAsia" w:cs="Times New Roman"/>
          <w:color w:val="auto"/>
          <w:sz w:val="24"/>
          <w:highlight w:val="none"/>
          <w:lang w:eastAsia="zh-CN"/>
        </w:rPr>
        <w:t>全国公路建设市场监督管理系统</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公路工程施工资质企业名录中的网页截图</w:t>
      </w:r>
      <w:r>
        <w:rPr>
          <w:rStyle w:val="48"/>
          <w:rFonts w:ascii="Times New Roman" w:hAnsi="Times New Roman" w:eastAsia="宋体" w:cs="Times New Roman"/>
          <w:color w:val="auto"/>
          <w:highlight w:val="none"/>
        </w:rPr>
        <w:footnoteReference w:id="21"/>
      </w:r>
      <w:r>
        <w:rPr>
          <w:rFonts w:hint="default" w:ascii="Times New Roman" w:hAnsi="Times New Roman" w:eastAsia="宋体" w:cs="Times New Roman"/>
          <w:color w:val="auto"/>
          <w:sz w:val="24"/>
          <w:highlight w:val="none"/>
        </w:rPr>
        <w:t>，以及投标人在国家企业信用信息公示系统中基础信息（体现股东及出资详细信息）的网页截图。</w:t>
      </w:r>
    </w:p>
    <w:p w14:paraId="7B5BA36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企业法人营业执照、施工资质证书、安全生产许可证、基本账户开户许可证</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基本存款账户信息</w:t>
      </w:r>
      <w:r>
        <w:rPr>
          <w:rFonts w:hint="default" w:ascii="Times New Roman" w:hAnsi="Times New Roman" w:eastAsia="宋体" w:cs="Times New Roman"/>
          <w:color w:val="auto"/>
          <w:sz w:val="24"/>
          <w:highlight w:val="none"/>
        </w:rPr>
        <w:t>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原件扫描件</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应提供全本（证书封面、封底、空白页除外），应包括投标人名称、投标人其他相关信息、颁发机构名称、投标人信息变更情况等关键页在内。</w:t>
      </w:r>
    </w:p>
    <w:p w14:paraId="4864A8A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3.5.2</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财务状况表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应附经会计师事务所或审计机构审计的财务会计报表，包括资产负债表、现金流量表、利润表和财务情况说明书的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原件扫描件</w:t>
      </w:r>
      <w:r>
        <w:rPr>
          <w:rFonts w:hint="eastAsia" w:ascii="宋体" w:hAnsi="宋体" w:eastAsia="宋体" w:cs="宋体"/>
          <w:color w:val="auto"/>
          <w:sz w:val="24"/>
          <w:highlight w:val="none"/>
          <w:lang w:eastAsia="zh-CN"/>
        </w:rPr>
        <w:t>”</w:t>
      </w:r>
      <w:r>
        <w:rPr>
          <w:rFonts w:hint="default" w:ascii="Times New Roman" w:hAnsi="Times New Roman" w:eastAsia="宋体" w:cs="Times New Roman"/>
          <w:color w:val="auto"/>
          <w:sz w:val="24"/>
          <w:highlight w:val="none"/>
        </w:rPr>
        <w:t>，具体年份要求见投标人须知前附表。投标人的成立时间少于投标人须知前附表规定年份的，应提供成立以来的财务状况表。</w:t>
      </w:r>
    </w:p>
    <w:p w14:paraId="7756AA32">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3.5.3</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近年完成的类似项目</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具体时间要求见投标人须知前附表。</w:t>
      </w:r>
    </w:p>
    <w:p w14:paraId="6CC214E4">
      <w:pPr>
        <w:pageBreakBefore w:val="0"/>
        <w:kinsoku/>
        <w:wordWrap w:val="0"/>
        <w:topLinePunct/>
        <w:bidi w:val="0"/>
        <w:spacing w:line="400" w:lineRule="atLeast"/>
        <w:ind w:firstLine="480" w:firstLineChars="200"/>
        <w:rPr>
          <w:rFonts w:hint="eastAsia" w:ascii="宋体" w:hAnsi="宋体" w:eastAsia="宋体" w:cs="宋体"/>
          <w:color w:val="auto"/>
          <w:sz w:val="24"/>
          <w:highlight w:val="none"/>
        </w:rPr>
      </w:pPr>
      <w:r>
        <w:rPr>
          <w:rFonts w:hint="eastAsia" w:cs="Times New Roman"/>
          <w:color w:val="auto"/>
          <w:sz w:val="24"/>
          <w:highlight w:val="none"/>
          <w:lang w:val="en-US" w:eastAsia="zh-CN"/>
        </w:rPr>
        <w:t>投标人应在</w:t>
      </w:r>
      <w:r>
        <w:rPr>
          <w:rFonts w:hint="eastAsia" w:ascii="宋体" w:hAnsi="宋体" w:eastAsia="宋体" w:cs="宋体"/>
          <w:color w:val="auto"/>
          <w:sz w:val="24"/>
          <w:highlight w:val="none"/>
        </w:rPr>
        <w:t>“辽宁省公共资源交易一张网电子化平台”</w:t>
      </w:r>
      <w:r>
        <w:rPr>
          <w:rFonts w:hint="eastAsia" w:ascii="宋体" w:hAnsi="宋体" w:cs="宋体"/>
          <w:color w:val="auto"/>
          <w:sz w:val="24"/>
          <w:highlight w:val="none"/>
          <w:lang w:eastAsia="zh-CN"/>
        </w:rPr>
        <w:t>主体信息库</w:t>
      </w:r>
      <w:r>
        <w:rPr>
          <w:rFonts w:hint="eastAsia" w:ascii="宋体" w:hAnsi="宋体" w:eastAsia="宋体" w:cs="宋体"/>
          <w:color w:val="auto"/>
          <w:sz w:val="24"/>
          <w:highlight w:val="none"/>
        </w:rPr>
        <w:t>中选择并进行超链接</w:t>
      </w:r>
      <w:r>
        <w:rPr>
          <w:rFonts w:hint="eastAsia" w:ascii="宋体" w:hAnsi="宋体" w:cs="宋体"/>
          <w:color w:val="auto"/>
          <w:sz w:val="24"/>
          <w:highlight w:val="none"/>
          <w:lang w:eastAsia="zh-CN"/>
        </w:rPr>
        <w:t>。</w:t>
      </w:r>
    </w:p>
    <w:p w14:paraId="24023A47">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投标人的信誉情况表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应附投标人在国家企业信用信息公示系统中未被列入严重违法失信企业名单、在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信用中国</w:t>
      </w:r>
      <w:r>
        <w:rPr>
          <w:rFonts w:hint="eastAsia" w:ascii="宋体" w:hAnsi="宋体" w:eastAsia="宋体" w:cs="宋体"/>
          <w:color w:val="auto"/>
          <w:sz w:val="24"/>
          <w:highlight w:val="none"/>
        </w:rPr>
        <w:t>”（或中国执行信息公开网）</w:t>
      </w:r>
      <w:r>
        <w:rPr>
          <w:rFonts w:hint="default" w:ascii="Times New Roman" w:hAnsi="Times New Roman" w:eastAsia="宋体" w:cs="Times New Roman"/>
          <w:color w:val="auto"/>
          <w:sz w:val="24"/>
          <w:highlight w:val="none"/>
        </w:rPr>
        <w:t>网站中未被列入失信被执行人名单的网页截图，以及</w:t>
      </w:r>
      <w:r>
        <w:rPr>
          <w:rFonts w:hint="default" w:ascii="Times New Roman" w:hAnsi="Times New Roman" w:cs="Times New Roman"/>
          <w:color w:val="auto"/>
          <w:sz w:val="24"/>
          <w:szCs w:val="24"/>
          <w:highlight w:val="none"/>
          <w:lang w:val="en-US" w:eastAsia="zh-CN"/>
        </w:rPr>
        <w:t>近三年内（以投标截止日期为截止日、往前推算3个年度）投标人单位、个人（指法定代表人、拟投入的项目经理）均无行贿犯罪行为的书面承诺</w:t>
      </w:r>
      <w:r>
        <w:rPr>
          <w:rFonts w:hint="eastAsia" w:cs="Times New Roman"/>
          <w:color w:val="auto"/>
          <w:sz w:val="24"/>
          <w:szCs w:val="24"/>
          <w:highlight w:val="none"/>
          <w:lang w:val="en-US" w:eastAsia="zh-CN"/>
        </w:rPr>
        <w:t>“原件扫描件”</w:t>
      </w:r>
      <w:r>
        <w:rPr>
          <w:rFonts w:hint="default" w:ascii="Times New Roman" w:hAnsi="Times New Roman" w:cs="Times New Roman"/>
          <w:color w:val="auto"/>
          <w:sz w:val="24"/>
          <w:szCs w:val="24"/>
          <w:highlight w:val="none"/>
          <w:lang w:val="en-US" w:eastAsia="zh-CN"/>
        </w:rPr>
        <w:t>（格式详见招标文件第九章）</w:t>
      </w:r>
      <w:r>
        <w:rPr>
          <w:rFonts w:hint="default" w:ascii="Times New Roman" w:hAnsi="Times New Roman" w:eastAsia="宋体" w:cs="Times New Roman"/>
          <w:color w:val="auto"/>
          <w:sz w:val="24"/>
          <w:highlight w:val="none"/>
        </w:rPr>
        <w:t>。</w:t>
      </w:r>
    </w:p>
    <w:p w14:paraId="6A23B367">
      <w:pPr>
        <w:pageBreakBefore w:val="0"/>
        <w:kinsoku/>
        <w:wordWrap w:val="0"/>
        <w:bidi w:val="0"/>
        <w:spacing w:line="400" w:lineRule="atLeast"/>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3.5.5</w:t>
      </w:r>
      <w:r>
        <w:rPr>
          <w:rFonts w:hint="eastAsia" w:ascii="宋体" w:hAnsi="宋体" w:eastAsia="宋体" w:cs="宋体"/>
          <w:b/>
          <w:bCs/>
          <w:color w:val="auto"/>
          <w:sz w:val="24"/>
          <w:highlight w:val="none"/>
        </w:rPr>
        <w:t>“</w:t>
      </w:r>
      <w:r>
        <w:rPr>
          <w:rFonts w:hint="default" w:ascii="Times New Roman" w:hAnsi="Times New Roman" w:eastAsia="宋体" w:cs="Times New Roman"/>
          <w:b/>
          <w:bCs/>
          <w:color w:val="auto"/>
          <w:sz w:val="24"/>
          <w:highlight w:val="none"/>
        </w:rPr>
        <w:t>拟委任的项目经理和项目总工资历表</w:t>
      </w:r>
      <w:r>
        <w:rPr>
          <w:rFonts w:hint="eastAsia" w:ascii="宋体" w:hAnsi="宋体" w:eastAsia="宋体" w:cs="宋体"/>
          <w:b/>
          <w:bCs/>
          <w:color w:val="auto"/>
          <w:sz w:val="24"/>
          <w:highlight w:val="none"/>
        </w:rPr>
        <w:t>”</w:t>
      </w:r>
      <w:r>
        <w:rPr>
          <w:rFonts w:hint="default" w:ascii="Times New Roman" w:hAnsi="Times New Roman" w:eastAsia="宋体" w:cs="Times New Roman"/>
          <w:b/>
          <w:bCs/>
          <w:color w:val="auto"/>
          <w:sz w:val="24"/>
          <w:highlight w:val="none"/>
        </w:rPr>
        <w:t>应附项目经理和项目总工的身份证、职称资格证书</w:t>
      </w:r>
      <w:r>
        <w:rPr>
          <w:rFonts w:hint="eastAsia" w:cs="Times New Roman"/>
          <w:b/>
          <w:bCs/>
          <w:color w:val="auto"/>
          <w:sz w:val="24"/>
          <w:highlight w:val="none"/>
          <w:lang w:eastAsia="zh-CN"/>
        </w:rPr>
        <w:t>、业绩证明材料</w:t>
      </w:r>
      <w:r>
        <w:rPr>
          <w:rFonts w:hint="default" w:ascii="Times New Roman" w:hAnsi="Times New Roman" w:eastAsia="宋体" w:cs="Times New Roman"/>
          <w:b/>
          <w:bCs/>
          <w:color w:val="auto"/>
          <w:sz w:val="24"/>
          <w:highlight w:val="none"/>
        </w:rPr>
        <w:t>以及资格审查条件所要求的其他相关证书（如建造师注册证书、安全生产考核合格证书等）的</w:t>
      </w:r>
      <w:r>
        <w:rPr>
          <w:rFonts w:hint="eastAsia" w:cs="Times New Roman"/>
          <w:b/>
          <w:bCs/>
          <w:color w:val="auto"/>
          <w:sz w:val="24"/>
          <w:highlight w:val="none"/>
          <w:lang w:eastAsia="zh-CN"/>
        </w:rPr>
        <w:t>原件扫描件</w:t>
      </w:r>
      <w:r>
        <w:rPr>
          <w:rFonts w:hint="default" w:ascii="Times New Roman" w:hAnsi="Times New Roman" w:eastAsia="宋体" w:cs="Times New Roman"/>
          <w:b/>
          <w:bCs/>
          <w:color w:val="auto"/>
          <w:sz w:val="24"/>
          <w:highlight w:val="none"/>
        </w:rPr>
        <w:t>，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w:t>
      </w:r>
      <w:r>
        <w:rPr>
          <w:rFonts w:hint="eastAsia" w:cs="Times New Roman"/>
          <w:b/>
          <w:bCs/>
          <w:color w:val="auto"/>
          <w:sz w:val="24"/>
          <w:highlight w:val="none"/>
          <w:lang w:eastAsia="zh-CN"/>
        </w:rPr>
        <w:t>原件扫描件</w:t>
      </w:r>
      <w:r>
        <w:rPr>
          <w:rFonts w:hint="default" w:ascii="Times New Roman" w:hAnsi="Times New Roman" w:eastAsia="宋体" w:cs="Times New Roman"/>
          <w:b/>
          <w:bCs/>
          <w:color w:val="auto"/>
          <w:sz w:val="24"/>
          <w:highlight w:val="none"/>
        </w:rPr>
        <w:t>。</w:t>
      </w:r>
    </w:p>
    <w:p w14:paraId="7C9346FB">
      <w:pPr>
        <w:pageBreakBefore w:val="0"/>
        <w:kinsoku/>
        <w:wordWrap w:val="0"/>
        <w:topLinePunct/>
        <w:bidi w:val="0"/>
        <w:spacing w:line="400" w:lineRule="atLeast"/>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如项目经理或项目总工目前仍在其他项目上任职，则投标人应提供承诺上述人员能够从该项目撤离的书面</w:t>
      </w:r>
      <w:r>
        <w:rPr>
          <w:rFonts w:hint="eastAsia" w:cs="Times New Roman"/>
          <w:b/>
          <w:bCs/>
          <w:color w:val="auto"/>
          <w:sz w:val="24"/>
          <w:highlight w:val="none"/>
          <w:lang w:val="en-US" w:eastAsia="zh-CN"/>
        </w:rPr>
        <w:t>承诺</w:t>
      </w:r>
      <w:r>
        <w:rPr>
          <w:rFonts w:hint="default" w:ascii="Times New Roman" w:hAnsi="Times New Roman" w:eastAsia="宋体" w:cs="Times New Roman"/>
          <w:b/>
          <w:bCs/>
          <w:color w:val="auto"/>
          <w:sz w:val="24"/>
          <w:highlight w:val="none"/>
        </w:rPr>
        <w:t>。</w:t>
      </w:r>
    </w:p>
    <w:p w14:paraId="0F248A8F">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3.5.6</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拟委任的其他管理和技术人员汇总表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（如有）应填报满足投标人须知前附表附录6规定的其他人员的相关信息。</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拟委任的其他管理和技术人员资历表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（如有）中相关人员应附身份证、职称资格证书以及资格审查条件所要求的其他相关证书的</w:t>
      </w:r>
      <w:r>
        <w:rPr>
          <w:rFonts w:hint="eastAsia" w:cs="Times New Roman"/>
          <w:color w:val="auto"/>
          <w:sz w:val="24"/>
          <w:highlight w:val="none"/>
          <w:lang w:eastAsia="zh-CN"/>
        </w:rPr>
        <w:t>原件扫描件</w:t>
      </w:r>
      <w:r>
        <w:rPr>
          <w:rFonts w:hint="default" w:ascii="Times New Roman" w:hAnsi="Times New Roman" w:eastAsia="宋体" w:cs="Times New Roman"/>
          <w:color w:val="auto"/>
          <w:sz w:val="24"/>
          <w:highlight w:val="none"/>
        </w:rPr>
        <w:t>，相关业绩证明材料</w:t>
      </w:r>
      <w:r>
        <w:rPr>
          <w:rFonts w:hint="eastAsia" w:cs="Times New Roman"/>
          <w:color w:val="auto"/>
          <w:sz w:val="24"/>
          <w:highlight w:val="none"/>
          <w:lang w:eastAsia="zh-CN"/>
        </w:rPr>
        <w:t>原件扫描件</w:t>
      </w:r>
      <w:r>
        <w:rPr>
          <w:rFonts w:hint="default" w:ascii="Times New Roman" w:hAnsi="Times New Roman" w:eastAsia="宋体" w:cs="Times New Roman"/>
          <w:color w:val="auto"/>
          <w:sz w:val="24"/>
          <w:highlight w:val="none"/>
        </w:rPr>
        <w:t>，以及投标人所属社保机构出具的社保缴费证明或其他能够证明其参加社保的有效证明材料</w:t>
      </w:r>
      <w:r>
        <w:rPr>
          <w:rFonts w:hint="eastAsia" w:cs="Times New Roman"/>
          <w:color w:val="auto"/>
          <w:sz w:val="24"/>
          <w:highlight w:val="none"/>
          <w:lang w:eastAsia="zh-CN"/>
        </w:rPr>
        <w:t>原件扫描件</w:t>
      </w:r>
      <w:r>
        <w:rPr>
          <w:rFonts w:hint="default" w:ascii="Times New Roman" w:hAnsi="Times New Roman" w:eastAsia="宋体" w:cs="Times New Roman"/>
          <w:color w:val="auto"/>
          <w:sz w:val="24"/>
          <w:highlight w:val="none"/>
        </w:rPr>
        <w:t>。</w:t>
      </w:r>
    </w:p>
    <w:p w14:paraId="12D35623">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3.5.7</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拟投入本标段的主要施工机械表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拟配备本标段的主要材料试验、测量、质检仪器设备表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（如有）应填报满足投标人须知前附表附录7规定的机械设备和试验检测设备。</w:t>
      </w:r>
    </w:p>
    <w:p w14:paraId="5E08746A">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3.5.8投标人须知前附表规定接受联合体投标的，本章第3.5.1项至第3.5.7项规定的表格和资料应包括联合体各方相关情况。</w:t>
      </w:r>
    </w:p>
    <w:p w14:paraId="3A044053">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3.5.9除合同条款约定的特殊情形外，投标人在投标文件中填报的项目经理和项目总工不允许更换。</w:t>
      </w:r>
    </w:p>
    <w:p w14:paraId="03027EED">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3.5.10投标人应根据本单位实际情况及时完成相关信息的申报、录入和动态更新，并对相关信息的真实性、完整性和准确性负责。</w:t>
      </w:r>
    </w:p>
    <w:p w14:paraId="77552F20">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3.5.11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w:t>
      </w:r>
      <w:r>
        <w:rPr>
          <w:rFonts w:hint="default" w:ascii="Times New Roman" w:hAnsi="Times New Roman" w:eastAsia="宋体" w:cs="Times New Roman"/>
          <w:color w:val="auto"/>
          <w:sz w:val="24"/>
          <w:highlight w:val="none"/>
          <w:lang w:val="en-US"/>
        </w:rPr>
        <w:t>10</w:t>
      </w:r>
      <w:r>
        <w:rPr>
          <w:rFonts w:hint="default" w:ascii="Times New Roman" w:hAnsi="Times New Roman" w:eastAsia="宋体" w:cs="Times New Roman"/>
          <w:color w:val="auto"/>
          <w:sz w:val="24"/>
          <w:highlight w:val="none"/>
        </w:rPr>
        <w:t>％签约合同价的金额作为违约金。同时招标人将投标人上述弄虚作假行为上报省级交通运输主管部门，作为不良记录纳入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eastAsia="宋体" w:cs="Times New Roman"/>
          <w:color w:val="auto"/>
          <w:sz w:val="24"/>
          <w:highlight w:val="none"/>
        </w:rPr>
        <w:t>。</w:t>
      </w:r>
    </w:p>
    <w:p w14:paraId="6C499E81">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03" w:name="_Toc28097"/>
      <w:bookmarkStart w:id="204" w:name="_Toc234832895"/>
      <w:bookmarkStart w:id="205" w:name="_Toc28562"/>
      <w:r>
        <w:rPr>
          <w:rFonts w:hint="default" w:ascii="Times New Roman" w:hAnsi="Times New Roman" w:eastAsia="黑体" w:cs="Times New Roman"/>
          <w:b w:val="0"/>
          <w:color w:val="auto"/>
          <w:sz w:val="24"/>
          <w:szCs w:val="24"/>
          <w:highlight w:val="none"/>
        </w:rPr>
        <w:t>3.6备选投标方案</w:t>
      </w:r>
      <w:bookmarkEnd w:id="203"/>
      <w:bookmarkEnd w:id="204"/>
      <w:bookmarkEnd w:id="205"/>
    </w:p>
    <w:p w14:paraId="7A2D7A5C">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3.6.1除投标人须知前附表规定允许外，投标人不得递交备选投标方案，否则其投标将被否决。</w:t>
      </w:r>
    </w:p>
    <w:p w14:paraId="436D9CC1">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CCACC">
      <w:pPr>
        <w:pageBreakBefore w:val="0"/>
        <w:kinsoku/>
        <w:wordWrap w:val="0"/>
        <w:topLinePunct/>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3.6.3投标人提供两个或两个以上投标报价，或在投标文件中提供一个报价，但同时提供两个或两个以上</w:t>
      </w:r>
      <w:bookmarkStart w:id="206" w:name="_Toc29902"/>
      <w:bookmarkStart w:id="207" w:name="_Toc144974518"/>
      <w:bookmarkStart w:id="208" w:name="_Toc352691495"/>
      <w:bookmarkStart w:id="209" w:name="_Toc361508607"/>
      <w:bookmarkStart w:id="210" w:name="_Toc152042326"/>
      <w:bookmarkStart w:id="211" w:name="_Toc247527575"/>
      <w:bookmarkStart w:id="212" w:name="_Toc247513974"/>
      <w:bookmarkStart w:id="213" w:name="_Toc369531538"/>
      <w:bookmarkStart w:id="214" w:name="_Toc152045550"/>
      <w:bookmarkStart w:id="215" w:name="_Toc384308232"/>
      <w:bookmarkStart w:id="216" w:name="_Toc300834971"/>
      <w:r>
        <w:rPr>
          <w:rFonts w:hint="default" w:ascii="Times New Roman" w:hAnsi="Times New Roman" w:eastAsia="宋体" w:cs="Times New Roman"/>
          <w:color w:val="auto"/>
          <w:sz w:val="24"/>
          <w:highlight w:val="none"/>
        </w:rPr>
        <w:t>施工组织设计的</w:t>
      </w:r>
      <w:bookmarkEnd w:id="206"/>
      <w:bookmarkEnd w:id="207"/>
      <w:bookmarkEnd w:id="208"/>
      <w:bookmarkEnd w:id="209"/>
      <w:bookmarkEnd w:id="210"/>
      <w:bookmarkEnd w:id="211"/>
      <w:bookmarkEnd w:id="212"/>
      <w:bookmarkEnd w:id="213"/>
      <w:bookmarkEnd w:id="214"/>
      <w:bookmarkEnd w:id="215"/>
      <w:bookmarkEnd w:id="216"/>
      <w:r>
        <w:rPr>
          <w:rFonts w:hint="default" w:ascii="Times New Roman" w:hAnsi="Times New Roman" w:eastAsia="宋体" w:cs="Times New Roman"/>
          <w:color w:val="auto"/>
          <w:sz w:val="24"/>
          <w:highlight w:val="none"/>
        </w:rPr>
        <w:t>，视为提供备选方案。</w:t>
      </w:r>
    </w:p>
    <w:p w14:paraId="19CEF2F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17" w:name="_Toc234832896"/>
      <w:bookmarkStart w:id="218" w:name="_Toc13945"/>
      <w:bookmarkStart w:id="219" w:name="_Toc10660"/>
      <w:r>
        <w:rPr>
          <w:rFonts w:hint="default" w:ascii="Times New Roman" w:hAnsi="Times New Roman" w:eastAsia="黑体" w:cs="Times New Roman"/>
          <w:b w:val="0"/>
          <w:color w:val="auto"/>
          <w:sz w:val="24"/>
          <w:szCs w:val="24"/>
          <w:highlight w:val="none"/>
        </w:rPr>
        <w:t>3.7投标文件的编制</w:t>
      </w:r>
      <w:bookmarkEnd w:id="217"/>
      <w:bookmarkEnd w:id="218"/>
      <w:bookmarkEnd w:id="219"/>
    </w:p>
    <w:p w14:paraId="4A56497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3.7.1投标文件应按第九章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投标文件格式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进行编写，如有必要，可以增加附页，作为投标文件的组成部分。其中，投标函附录在满足招标文件实质性要求的基础上，可以提出比招标文件要求更有利于招标人的承诺。</w:t>
      </w:r>
    </w:p>
    <w:p w14:paraId="67E1C52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3.7.2投标文件应对招标文件有关工期、投标有效期、质量要求、安全目标、技术标准和要求、招标范围等实质性内容作出响应。</w:t>
      </w:r>
    </w:p>
    <w:p w14:paraId="0F0DC07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3.7.3投标文件的制作应满足以下规定：</w:t>
      </w:r>
    </w:p>
    <w:p w14:paraId="56049F7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（1）投标文件由投标人使用</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自带的</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投标文件制作工具</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制作生成。</w:t>
      </w:r>
    </w:p>
    <w:p w14:paraId="1B78D44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（2）投标人在编制投标文件时应建立分级目录，并按照标签提示导入相关内容。</w:t>
      </w:r>
    </w:p>
    <w:p w14:paraId="5D57F1C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，应从</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主体信息库</w:t>
      </w:r>
      <w:r>
        <w:rPr>
          <w:rFonts w:hint="default" w:ascii="Times New Roman" w:hAnsi="Times New Roman" w:cs="Times New Roman"/>
          <w:color w:val="auto"/>
          <w:sz w:val="24"/>
          <w:szCs w:val="24"/>
          <w:highlight w:val="none"/>
        </w:rPr>
        <w:t>中选择并进行超链接，未标示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的证明资料均应直接制作生成。</w:t>
      </w:r>
    </w:p>
    <w:p w14:paraId="2C426F4F">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（4）投标文件中的已标价报价清单数据文件应与招标人提供的报价清单数据文件格式一致。</w:t>
      </w:r>
    </w:p>
    <w:p w14:paraId="69E58466">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（5）第</w:t>
      </w:r>
      <w:r>
        <w:rPr>
          <w:rFonts w:hint="default" w:ascii="Times New Roman" w:hAnsi="Times New Roman" w:cs="Times New Roman"/>
          <w:color w:val="auto"/>
          <w:sz w:val="24"/>
          <w:szCs w:val="24"/>
          <w:highlight w:val="none"/>
          <w:lang w:val="en-US" w:eastAsia="zh-CN"/>
        </w:rPr>
        <w:t>九</w:t>
      </w:r>
      <w:r>
        <w:rPr>
          <w:rFonts w:hint="default" w:ascii="Times New Roman" w:hAnsi="Times New Roman" w:cs="Times New Roman"/>
          <w:color w:val="auto"/>
          <w:sz w:val="24"/>
          <w:szCs w:val="24"/>
          <w:highlight w:val="none"/>
        </w:rPr>
        <w:t>章</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投标文件格式</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中要求盖单位章和（或）签字的地方，投标人均应使用CA数字证书加盖投标人的单位电子印章和（或）法定代表人</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其</w:t>
      </w:r>
      <w:r>
        <w:rPr>
          <w:rFonts w:hint="default" w:ascii="Times New Roman" w:hAnsi="Times New Roman" w:cs="Times New Roman"/>
          <w:color w:val="auto"/>
          <w:sz w:val="24"/>
          <w:szCs w:val="24"/>
          <w:highlight w:val="none"/>
          <w:lang w:val="en-US" w:eastAsia="zh-CN"/>
        </w:rPr>
        <w:t>委托代理人</w:t>
      </w:r>
      <w:r>
        <w:rPr>
          <w:rFonts w:hint="default" w:ascii="Times New Roman" w:hAnsi="Times New Roman" w:cs="Times New Roman"/>
          <w:color w:val="auto"/>
          <w:sz w:val="24"/>
          <w:szCs w:val="24"/>
          <w:highlight w:val="none"/>
        </w:rPr>
        <w:t>的个人电子印章或</w:t>
      </w:r>
      <w:r>
        <w:rPr>
          <w:rFonts w:hint="eastAsia" w:cs="Times New Roman"/>
          <w:color w:val="auto"/>
          <w:sz w:val="24"/>
          <w:szCs w:val="24"/>
          <w:highlight w:val="none"/>
          <w:lang w:eastAsia="zh-CN"/>
        </w:rPr>
        <w:t>电子签名</w:t>
      </w:r>
      <w:r>
        <w:rPr>
          <w:rFonts w:hint="default" w:ascii="Times New Roman" w:hAnsi="Times New Roman" w:cs="Times New Roman"/>
          <w:color w:val="auto"/>
          <w:sz w:val="24"/>
          <w:szCs w:val="24"/>
          <w:highlight w:val="none"/>
        </w:rPr>
        <w:t>。联合体投标的，投标文件由联合体牵头人按上述规定加盖联合体牵头人单位电子印章和（或）法定代表人</w:t>
      </w:r>
      <w:r>
        <w:rPr>
          <w:rFonts w:hint="default" w:ascii="Times New Roman" w:hAnsi="Times New Roman" w:cs="Times New Roman"/>
          <w:color w:val="auto"/>
          <w:sz w:val="24"/>
          <w:szCs w:val="24"/>
          <w:highlight w:val="none"/>
          <w:lang w:val="en-US" w:eastAsia="zh-CN"/>
        </w:rPr>
        <w:t>或</w:t>
      </w:r>
      <w:r>
        <w:rPr>
          <w:rFonts w:hint="eastAsia" w:cs="Times New Roman"/>
          <w:color w:val="auto"/>
          <w:sz w:val="24"/>
          <w:szCs w:val="24"/>
          <w:highlight w:val="none"/>
          <w:lang w:val="en-US" w:eastAsia="zh-CN"/>
        </w:rPr>
        <w:t>其</w:t>
      </w:r>
      <w:r>
        <w:rPr>
          <w:rFonts w:hint="default" w:ascii="Times New Roman" w:hAnsi="Times New Roman" w:cs="Times New Roman"/>
          <w:color w:val="auto"/>
          <w:sz w:val="24"/>
          <w:szCs w:val="24"/>
          <w:highlight w:val="none"/>
          <w:lang w:val="en-US" w:eastAsia="zh-CN"/>
        </w:rPr>
        <w:t>委托代理人</w:t>
      </w:r>
      <w:r>
        <w:rPr>
          <w:rFonts w:hint="default" w:ascii="Times New Roman" w:hAnsi="Times New Roman" w:cs="Times New Roman"/>
          <w:color w:val="auto"/>
          <w:sz w:val="24"/>
          <w:szCs w:val="24"/>
          <w:highlight w:val="none"/>
        </w:rPr>
        <w:t>的个人电子印章或</w:t>
      </w:r>
      <w:r>
        <w:rPr>
          <w:rFonts w:hint="eastAsia" w:cs="Times New Roman"/>
          <w:color w:val="auto"/>
          <w:sz w:val="24"/>
          <w:szCs w:val="24"/>
          <w:highlight w:val="none"/>
          <w:lang w:eastAsia="zh-CN"/>
        </w:rPr>
        <w:t>电子签名</w:t>
      </w:r>
      <w:r>
        <w:rPr>
          <w:rFonts w:hint="default" w:ascii="Times New Roman" w:hAnsi="Times New Roman" w:cs="Times New Roman"/>
          <w:color w:val="auto"/>
          <w:sz w:val="24"/>
          <w:szCs w:val="24"/>
          <w:highlight w:val="none"/>
        </w:rPr>
        <w:t>。</w:t>
      </w:r>
    </w:p>
    <w:p w14:paraId="28CC0E55">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（6）投标文件制作完成后，投标人应使用CA数字证书对投标文件进行文件加密，形成加密的投标文件。</w:t>
      </w:r>
    </w:p>
    <w:p w14:paraId="6E94776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（7）投标文件制作的具体方法详见</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投标文件制作工具</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中的</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操作指南</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rPr>
        <w:t>。</w:t>
      </w:r>
    </w:p>
    <w:p w14:paraId="5A5B75BF">
      <w:pPr>
        <w:pageBreakBefore w:val="0"/>
        <w:kinsoku/>
        <w:wordWrap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3.7.4因投标人自身原因而导致投标文件无法导入</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电子开标、评标系统，该投标视为无效投标，投标人自行承担由此导致的全部责任</w:t>
      </w:r>
      <w:r>
        <w:rPr>
          <w:rFonts w:hint="default" w:ascii="Times New Roman" w:hAnsi="Times New Roman" w:cs="Times New Roman"/>
          <w:color w:val="auto"/>
          <w:sz w:val="24"/>
          <w:szCs w:val="24"/>
          <w:highlight w:val="none"/>
          <w:lang w:eastAsia="zh-CN"/>
        </w:rPr>
        <w:t>。</w:t>
      </w:r>
    </w:p>
    <w:p w14:paraId="633F04B2">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3.7.5</w:t>
      </w:r>
      <w:r>
        <w:rPr>
          <w:rFonts w:hint="default" w:ascii="Times New Roman" w:hAnsi="Times New Roman" w:cs="Times New Roman"/>
          <w:color w:val="auto"/>
          <w:sz w:val="24"/>
          <w:szCs w:val="24"/>
          <w:highlight w:val="none"/>
        </w:rPr>
        <w:t>投标文件上传的要求</w:t>
      </w:r>
      <w:r>
        <w:rPr>
          <w:rFonts w:hint="default" w:ascii="Times New Roman" w:hAnsi="Times New Roman" w:cs="Times New Roman"/>
          <w:color w:val="auto"/>
          <w:sz w:val="24"/>
          <w:szCs w:val="24"/>
          <w:highlight w:val="none"/>
          <w:lang w:val="en-US" w:eastAsia="zh-CN"/>
        </w:rPr>
        <w:t>：见投标人须知前附表。</w:t>
      </w:r>
    </w:p>
    <w:p w14:paraId="7FEDA837">
      <w:pPr>
        <w:pStyle w:val="16"/>
        <w:pageBreakBefore w:val="0"/>
        <w:kinsoku/>
        <w:wordWrap w:val="0"/>
        <w:topLinePunct/>
        <w:bidi w:val="0"/>
        <w:spacing w:line="400" w:lineRule="atLeast"/>
        <w:ind w:firstLine="480" w:firstLineChars="200"/>
        <w:rPr>
          <w:rFonts w:hint="default" w:ascii="Times New Roman" w:hAnsi="Times New Roman" w:eastAsia="宋体" w:cs="Times New Roman"/>
          <w:color w:val="auto"/>
          <w:szCs w:val="24"/>
          <w:highlight w:val="none"/>
        </w:rPr>
      </w:pPr>
      <w:r>
        <w:rPr>
          <w:rFonts w:hint="default" w:ascii="Times New Roman" w:hAnsi="Times New Roman" w:cs="Times New Roman"/>
          <w:color w:val="auto"/>
          <w:sz w:val="24"/>
          <w:szCs w:val="24"/>
          <w:highlight w:val="none"/>
        </w:rPr>
        <w:t>3.7.</w:t>
      </w:r>
      <w:r>
        <w:rPr>
          <w:rFonts w:hint="default" w:ascii="Times New Roman" w:hAnsi="Times New Roman" w:cs="Times New Roman"/>
          <w:color w:val="auto"/>
          <w:sz w:val="24"/>
          <w:szCs w:val="24"/>
          <w:highlight w:val="none"/>
          <w:lang w:val="en-US" w:eastAsia="zh-CN"/>
        </w:rPr>
        <w:t>6投标文件其他要求</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见投标人须知前附表。</w:t>
      </w:r>
    </w:p>
    <w:p w14:paraId="7A8BB656">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20" w:name="_Toc234832897"/>
      <w:bookmarkStart w:id="221" w:name="_Toc3604"/>
      <w:bookmarkStart w:id="222" w:name="_Toc2947"/>
      <w:bookmarkStart w:id="223" w:name="_Toc17066"/>
      <w:bookmarkStart w:id="224" w:name="_Toc15271"/>
      <w:r>
        <w:rPr>
          <w:rFonts w:hint="default" w:ascii="黑体" w:hAnsi="黑体" w:eastAsia="黑体" w:cs="黑体"/>
          <w:b w:val="0"/>
          <w:bCs/>
          <w:i w:val="0"/>
          <w:iCs w:val="0"/>
          <w:color w:val="auto"/>
          <w:sz w:val="28"/>
          <w:szCs w:val="28"/>
          <w:highlight w:val="none"/>
          <w:lang w:val="en-US" w:eastAsia="zh-CN"/>
        </w:rPr>
        <w:t>4.投标</w:t>
      </w:r>
      <w:bookmarkEnd w:id="220"/>
      <w:bookmarkEnd w:id="221"/>
      <w:bookmarkEnd w:id="222"/>
      <w:bookmarkEnd w:id="223"/>
      <w:bookmarkEnd w:id="224"/>
      <w:r>
        <w:rPr>
          <w:rFonts w:hint="default" w:ascii="黑体" w:hAnsi="黑体" w:eastAsia="黑体" w:cs="黑体"/>
          <w:b w:val="0"/>
          <w:bCs/>
          <w:i w:val="0"/>
          <w:iCs w:val="0"/>
          <w:color w:val="auto"/>
          <w:sz w:val="28"/>
          <w:szCs w:val="28"/>
          <w:highlight w:val="none"/>
          <w:lang w:val="en-US" w:eastAsia="zh-CN"/>
        </w:rPr>
        <w:tab/>
      </w:r>
    </w:p>
    <w:p w14:paraId="6CD44FC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25" w:name="_Toc2664"/>
      <w:bookmarkStart w:id="226" w:name="_Toc21870"/>
      <w:bookmarkStart w:id="227" w:name="_Toc26001"/>
      <w:r>
        <w:rPr>
          <w:rFonts w:hint="default" w:ascii="Times New Roman" w:hAnsi="Times New Roman" w:eastAsia="黑体" w:cs="Times New Roman"/>
          <w:b w:val="0"/>
          <w:color w:val="auto"/>
          <w:sz w:val="24"/>
          <w:szCs w:val="24"/>
          <w:highlight w:val="none"/>
        </w:rPr>
        <w:t>4.1投标文件的密封和标记</w:t>
      </w:r>
      <w:bookmarkEnd w:id="225"/>
      <w:bookmarkEnd w:id="226"/>
      <w:bookmarkEnd w:id="227"/>
    </w:p>
    <w:p w14:paraId="1B11954D">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投标文件应按照本章第3.7.3项要求制作并加密，未按要求加密的投标文件，招标人（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）将拒绝接收并提示。</w:t>
      </w:r>
    </w:p>
    <w:p w14:paraId="2B44AD0F">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p>
    <w:p w14:paraId="2B75E028">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28" w:name="_Toc26071"/>
      <w:bookmarkStart w:id="229" w:name="_Toc10211"/>
      <w:bookmarkStart w:id="230" w:name="_Toc10897"/>
      <w:r>
        <w:rPr>
          <w:rFonts w:hint="default" w:ascii="Times New Roman" w:hAnsi="Times New Roman" w:eastAsia="黑体" w:cs="Times New Roman"/>
          <w:b w:val="0"/>
          <w:color w:val="auto"/>
          <w:sz w:val="24"/>
          <w:szCs w:val="24"/>
          <w:highlight w:val="none"/>
        </w:rPr>
        <w:t>4.2投标文件的递交</w:t>
      </w:r>
      <w:bookmarkEnd w:id="228"/>
      <w:bookmarkEnd w:id="229"/>
      <w:bookmarkEnd w:id="230"/>
    </w:p>
    <w:p w14:paraId="481A8B3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4.2.1投标人应在第一章</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招标公告</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规定的投标截止时间前，通过互联网使用CA数字证书登录</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）将拒绝接收。</w:t>
      </w:r>
    </w:p>
    <w:p w14:paraId="756A47C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4.2.2根据本章第4.1款的规定，投标人递交的投标文件，只要出现应当拒收的情形，其投标文件予以拒收。</w:t>
      </w:r>
    </w:p>
    <w:p w14:paraId="660ACC5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31" w:name="_Toc31061"/>
      <w:bookmarkStart w:id="232" w:name="_Toc16651"/>
      <w:bookmarkStart w:id="233" w:name="_Toc10369"/>
      <w:r>
        <w:rPr>
          <w:rFonts w:hint="default" w:ascii="Times New Roman" w:hAnsi="Times New Roman" w:eastAsia="黑体" w:cs="Times New Roman"/>
          <w:b w:val="0"/>
          <w:color w:val="auto"/>
          <w:sz w:val="24"/>
          <w:szCs w:val="24"/>
          <w:highlight w:val="none"/>
        </w:rPr>
        <w:t>4.3投标文件的修改与撤回</w:t>
      </w:r>
      <w:bookmarkEnd w:id="231"/>
      <w:bookmarkEnd w:id="232"/>
      <w:bookmarkEnd w:id="233"/>
    </w:p>
    <w:p w14:paraId="32DFE09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4.3.1在本章第4.2.1项规定的投标截止时间前，投标人可以修改或撤回已递交的投标文件。投标人对加密的投标文件进行撤回的，应在</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直接进行撤回操作；投标人对加密的投标文件进行修改的，应在投标截止时间前完成上传。</w:t>
      </w:r>
    </w:p>
    <w:p w14:paraId="0DA8CB4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4.3.2投标人修改投标文件的，应使用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投标文件制作工具</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制作成完整的投标文件，并按照本章第3条、第4条规定进行编制、加密和递交。对采用网上递交的加密的投标文件，以投标截止时间前最后完成上传的文件为准。</w:t>
      </w:r>
    </w:p>
    <w:p w14:paraId="28F115D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4.3.3投标人撤回投标文件的，招标人自收到投标人书面撤回通知之日起5日内退还已收取的投标保证金。</w:t>
      </w:r>
    </w:p>
    <w:p w14:paraId="2B0AC6BA">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34" w:name="_Toc234832901"/>
      <w:bookmarkStart w:id="235" w:name="_Toc29100"/>
      <w:bookmarkStart w:id="236" w:name="_Toc31784"/>
      <w:bookmarkStart w:id="237" w:name="_Toc31196"/>
      <w:bookmarkStart w:id="238" w:name="_Toc19321"/>
      <w:r>
        <w:rPr>
          <w:rFonts w:hint="default" w:ascii="黑体" w:hAnsi="黑体" w:eastAsia="黑体" w:cs="黑体"/>
          <w:b w:val="0"/>
          <w:bCs/>
          <w:i w:val="0"/>
          <w:iCs w:val="0"/>
          <w:color w:val="auto"/>
          <w:sz w:val="28"/>
          <w:szCs w:val="28"/>
          <w:highlight w:val="none"/>
          <w:lang w:val="en-US" w:eastAsia="zh-CN"/>
        </w:rPr>
        <w:t>5.开标</w:t>
      </w:r>
      <w:bookmarkEnd w:id="234"/>
      <w:bookmarkEnd w:id="235"/>
      <w:bookmarkEnd w:id="236"/>
      <w:bookmarkEnd w:id="237"/>
      <w:bookmarkEnd w:id="238"/>
    </w:p>
    <w:p w14:paraId="7B74B303">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39" w:name="_Toc22056"/>
      <w:bookmarkStart w:id="240" w:name="_Toc6841"/>
      <w:bookmarkStart w:id="241" w:name="_Toc234832902"/>
      <w:r>
        <w:rPr>
          <w:rFonts w:hint="default" w:ascii="Times New Roman" w:hAnsi="Times New Roman" w:eastAsia="黑体" w:cs="Times New Roman"/>
          <w:b w:val="0"/>
          <w:color w:val="auto"/>
          <w:sz w:val="24"/>
          <w:szCs w:val="24"/>
          <w:highlight w:val="none"/>
        </w:rPr>
        <w:t>5.1开标时间和地点</w:t>
      </w:r>
      <w:bookmarkEnd w:id="239"/>
      <w:bookmarkEnd w:id="240"/>
    </w:p>
    <w:p w14:paraId="1D5D934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5.1.1招标人在投标人须知前附表规定的投标截止时间</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开标时间</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和地点在</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辽宁省公共资源交易中心不见面开标大厅</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不见面开标大厅</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）上公开进行第一个信封（商务及技术文件）开标，所有投标人均应当准时在线参加开标。</w:t>
      </w:r>
    </w:p>
    <w:p w14:paraId="4579736C">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招标人还将在投标人须知前附表规定的时间和地点对投标文件第二个信封（报价文件）在</w:t>
      </w:r>
      <w:r>
        <w:rPr>
          <w:rFonts w:hint="eastAsia" w:ascii="宋体" w:hAnsi="宋体" w:eastAsia="宋体" w:cs="宋体"/>
          <w:color w:val="auto"/>
          <w:sz w:val="24"/>
          <w:highlight w:val="none"/>
        </w:rPr>
        <w:t>“不见面开标大厅”</w:t>
      </w:r>
      <w:r>
        <w:rPr>
          <w:rFonts w:hint="default" w:ascii="Times New Roman" w:hAnsi="Times New Roman" w:eastAsia="宋体" w:cs="Times New Roman"/>
          <w:color w:val="auto"/>
          <w:sz w:val="24"/>
          <w:highlight w:val="none"/>
        </w:rPr>
        <w:t>进行公开开标，并邀请所有投标人代表准时参加。</w:t>
      </w:r>
    </w:p>
    <w:p w14:paraId="7213C2E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投标人代表应按时参加第一个信封（商务及技术文件）及第二个信封（报价文件）</w:t>
      </w:r>
      <w:r>
        <w:rPr>
          <w:rFonts w:hint="eastAsia" w:cs="Times New Roman"/>
          <w:color w:val="auto"/>
          <w:sz w:val="24"/>
          <w:highlight w:val="none"/>
          <w:lang w:val="en-US" w:eastAsia="zh-CN"/>
        </w:rPr>
        <w:t>线上</w:t>
      </w:r>
      <w:r>
        <w:rPr>
          <w:rFonts w:hint="default" w:ascii="Times New Roman" w:hAnsi="Times New Roman" w:eastAsia="宋体" w:cs="Times New Roman"/>
          <w:color w:val="auto"/>
          <w:sz w:val="24"/>
          <w:highlight w:val="none"/>
        </w:rPr>
        <w:t>开标会。</w:t>
      </w:r>
    </w:p>
    <w:p w14:paraId="3D078FD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5.1.2投标人应当在能够保证设施设备可靠、互联网畅通的任意地点，通过互联网在线参加开标，并实时在线关注招标人的操作情况。</w:t>
      </w:r>
    </w:p>
    <w:p w14:paraId="411DD11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p>
    <w:bookmarkEnd w:id="241"/>
    <w:p w14:paraId="693FAC08">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42" w:name="_Toc29801"/>
      <w:bookmarkStart w:id="243" w:name="_Toc17800"/>
      <w:r>
        <w:rPr>
          <w:rFonts w:hint="default" w:ascii="Times New Roman" w:hAnsi="Times New Roman" w:eastAsia="黑体" w:cs="Times New Roman"/>
          <w:b w:val="0"/>
          <w:color w:val="auto"/>
          <w:sz w:val="24"/>
          <w:szCs w:val="24"/>
          <w:highlight w:val="none"/>
        </w:rPr>
        <w:t>5.2开标程序</w:t>
      </w:r>
      <w:bookmarkEnd w:id="242"/>
      <w:bookmarkEnd w:id="243"/>
    </w:p>
    <w:p w14:paraId="3F6F7E0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5.2.1主持人按下列程序对投标文件第一个信封（商务及技术文件）进行开标：</w:t>
      </w:r>
    </w:p>
    <w:p w14:paraId="2FBFD4B3">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（1）宣布开标纪律；</w:t>
      </w:r>
    </w:p>
    <w:p w14:paraId="47CA14B5">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（2）公布在投标截止时间前递交</w:t>
      </w:r>
      <w:r>
        <w:rPr>
          <w:rFonts w:hint="default" w:ascii="Times New Roman" w:hAnsi="Times New Roman" w:cs="Times New Roman"/>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w:t>
      </w:r>
      <w:r>
        <w:rPr>
          <w:rFonts w:hint="eastAsia" w:cs="Times New Roman"/>
          <w:color w:val="auto"/>
          <w:sz w:val="24"/>
          <w:szCs w:val="24"/>
          <w:highlight w:val="none"/>
          <w:lang w:val="en-US" w:eastAsia="zh-CN"/>
        </w:rPr>
        <w:t>电子交易平台</w:t>
      </w:r>
      <w:r>
        <w:rPr>
          <w:rFonts w:hint="eastAsia" w:ascii="宋体" w:hAnsi="宋体" w:eastAsia="宋体" w:cs="宋体"/>
          <w:color w:val="auto"/>
          <w:sz w:val="24"/>
          <w:szCs w:val="24"/>
          <w:highlight w:val="none"/>
          <w:lang w:val="en-US" w:eastAsia="zh-CN"/>
        </w:rPr>
        <w:t>”</w:t>
      </w:r>
      <w:r>
        <w:rPr>
          <w:rFonts w:hint="default" w:ascii="Times New Roman" w:hAnsi="Times New Roman" w:cs="Times New Roman"/>
          <w:color w:val="auto"/>
          <w:sz w:val="24"/>
          <w:szCs w:val="24"/>
          <w:highlight w:val="none"/>
        </w:rPr>
        <w:t>投标文件的投标人数量；</w:t>
      </w:r>
    </w:p>
    <w:p w14:paraId="49A2CA5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（3）投标人代表</w:t>
      </w:r>
      <w:r>
        <w:rPr>
          <w:rFonts w:hint="default" w:ascii="Times New Roman" w:hAnsi="Times New Roman" w:cs="Times New Roman"/>
          <w:color w:val="auto"/>
          <w:sz w:val="24"/>
          <w:highlight w:val="none"/>
        </w:rPr>
        <w:t>通过互联网使用CA数字证书登录</w:t>
      </w:r>
      <w:r>
        <w:rPr>
          <w:rFonts w:hint="eastAsia" w:ascii="宋体" w:hAnsi="宋体" w:eastAsia="宋体" w:cs="宋体"/>
          <w:color w:val="auto"/>
          <w:sz w:val="24"/>
          <w:highlight w:val="none"/>
        </w:rPr>
        <w:t>“不见面开标大厅”</w:t>
      </w:r>
      <w:r>
        <w:rPr>
          <w:rFonts w:hint="default" w:ascii="Times New Roman" w:hAnsi="Times New Roman" w:cs="Times New Roman"/>
          <w:color w:val="auto"/>
          <w:sz w:val="24"/>
          <w:highlight w:val="none"/>
          <w:lang w:val="en-US" w:eastAsia="zh-CN"/>
        </w:rPr>
        <w:t>在投标人须知前附表规定的时间内</w:t>
      </w:r>
      <w:r>
        <w:rPr>
          <w:rFonts w:hint="default" w:ascii="Times New Roman" w:hAnsi="Times New Roman" w:cs="Times New Roman"/>
          <w:color w:val="auto"/>
          <w:sz w:val="24"/>
          <w:szCs w:val="24"/>
          <w:highlight w:val="none"/>
        </w:rPr>
        <w:t>解密加密的投标文件</w:t>
      </w:r>
      <w:r>
        <w:rPr>
          <w:rFonts w:hint="default" w:ascii="Times New Roman" w:hAnsi="Times New Roman" w:cs="Times New Roman"/>
          <w:color w:val="auto"/>
          <w:sz w:val="24"/>
          <w:szCs w:val="24"/>
          <w:highlight w:val="none"/>
          <w:lang w:val="en-US" w:eastAsia="zh-CN"/>
        </w:rPr>
        <w:t>第一个信封</w:t>
      </w:r>
      <w:r>
        <w:rPr>
          <w:rFonts w:hint="default" w:ascii="Times New Roman" w:hAnsi="Times New Roman" w:cs="Times New Roman"/>
          <w:color w:val="auto"/>
          <w:sz w:val="24"/>
          <w:szCs w:val="24"/>
          <w:highlight w:val="none"/>
        </w:rPr>
        <w:t>（商务及技术文件）；</w:t>
      </w:r>
    </w:p>
    <w:p w14:paraId="6116D79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）招标人对未成功解密的投标文件进行退回并按本章第5.3款进行补救处理；</w:t>
      </w:r>
    </w:p>
    <w:p w14:paraId="5F886487">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）导入并读取所有解密成功的投标文件第一个信封（商务及技术文件）的内容；</w:t>
      </w:r>
    </w:p>
    <w:p w14:paraId="72DBC58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）公布标段名称、投标人名称的递交情况、</w:t>
      </w:r>
      <w:r>
        <w:rPr>
          <w:rFonts w:hint="eastAsia" w:cs="Times New Roman"/>
          <w:color w:val="auto"/>
          <w:sz w:val="24"/>
          <w:szCs w:val="24"/>
          <w:highlight w:val="none"/>
          <w:lang w:val="en-US" w:eastAsia="zh-CN"/>
        </w:rPr>
        <w:t>工期</w:t>
      </w:r>
      <w:r>
        <w:rPr>
          <w:rFonts w:hint="default" w:ascii="Times New Roman" w:hAnsi="Times New Roman" w:cs="Times New Roman"/>
          <w:color w:val="auto"/>
          <w:sz w:val="24"/>
          <w:szCs w:val="24"/>
          <w:highlight w:val="none"/>
        </w:rPr>
        <w:t>及其他内容，并记录在案；</w:t>
      </w:r>
    </w:p>
    <w:p w14:paraId="0EA06818">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）投标人代表对开标记录进行确认。投标人代表对开标结果有异议的应在</w:t>
      </w:r>
      <w:r>
        <w:rPr>
          <w:rFonts w:hint="default" w:ascii="Times New Roman" w:hAnsi="Times New Roman" w:cs="Times New Roman"/>
          <w:color w:val="auto"/>
          <w:sz w:val="24"/>
          <w:szCs w:val="24"/>
          <w:highlight w:val="none"/>
          <w:lang w:val="en-US" w:eastAsia="zh-CN"/>
        </w:rPr>
        <w:t>规定时间内通过</w:t>
      </w:r>
      <w:r>
        <w:rPr>
          <w:rFonts w:hint="eastAsia" w:ascii="宋体" w:hAnsi="宋体" w:eastAsia="宋体" w:cs="宋体"/>
          <w:color w:val="auto"/>
          <w:sz w:val="24"/>
          <w:szCs w:val="24"/>
          <w:highlight w:val="none"/>
          <w:lang w:val="en-US" w:eastAsia="zh-CN"/>
        </w:rPr>
        <w:t>“</w:t>
      </w:r>
      <w:r>
        <w:rPr>
          <w:rFonts w:hint="eastAsia" w:cs="Times New Roman"/>
          <w:color w:val="auto"/>
          <w:sz w:val="24"/>
          <w:szCs w:val="24"/>
          <w:highlight w:val="none"/>
          <w:lang w:val="en-US" w:eastAsia="zh-CN"/>
        </w:rPr>
        <w:t>不见面开标大厅</w:t>
      </w:r>
      <w:r>
        <w:rPr>
          <w:rFonts w:hint="eastAsia" w:ascii="宋体" w:hAnsi="宋体" w:eastAsia="宋体" w:cs="宋体"/>
          <w:color w:val="auto"/>
          <w:sz w:val="24"/>
          <w:szCs w:val="24"/>
          <w:highlight w:val="none"/>
          <w:lang w:val="en-US" w:eastAsia="zh-CN"/>
        </w:rPr>
        <w:t>”</w:t>
      </w:r>
      <w:r>
        <w:rPr>
          <w:rFonts w:hint="default" w:ascii="Times New Roman" w:hAnsi="Times New Roman" w:cs="Times New Roman"/>
          <w:color w:val="auto"/>
          <w:sz w:val="24"/>
          <w:szCs w:val="24"/>
          <w:highlight w:val="none"/>
        </w:rPr>
        <w:t>提出，否则视为无异议；</w:t>
      </w:r>
    </w:p>
    <w:p w14:paraId="5DED77B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）开标结束</w:t>
      </w:r>
      <w:r>
        <w:rPr>
          <w:rFonts w:hint="default" w:ascii="Times New Roman" w:hAnsi="Times New Roman" w:eastAsia="宋体" w:cs="Times New Roman"/>
          <w:color w:val="auto"/>
          <w:sz w:val="24"/>
          <w:highlight w:val="none"/>
        </w:rPr>
        <w:t>。</w:t>
      </w:r>
    </w:p>
    <w:p w14:paraId="6B78A4FC">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5.2.2投标文件第二个信封（报价文件）在投标文件第一个信封（商务及技术文件）完成评审前，</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的开标评标系统将不进行读取。</w:t>
      </w:r>
    </w:p>
    <w:p w14:paraId="1C007CF0">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5.2.3招标人将按照本章第5.1款规定的时间和地点对投标文件第二个信封（报价文件）进行开标。主持人按下列程序进行开标：</w:t>
      </w:r>
    </w:p>
    <w:p w14:paraId="0348E554">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（1）宣布开标纪律；</w:t>
      </w:r>
    </w:p>
    <w:p w14:paraId="43ABC419">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（2）当众宣布通过投标文件第一个信封（商务及技术文件）评审的投标人名单；</w:t>
      </w:r>
    </w:p>
    <w:p w14:paraId="4F912AD9">
      <w:pPr>
        <w:pageBreakBefore w:val="0"/>
        <w:kinsoku/>
        <w:wordWrap w:val="0"/>
        <w:bidi w:val="0"/>
        <w:spacing w:line="400" w:lineRule="exact"/>
        <w:ind w:firstLine="480" w:firstLineChars="200"/>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hint="eastAsia" w:ascii="宋体" w:hAnsi="宋体" w:cs="宋体"/>
          <w:color w:val="auto"/>
          <w:sz w:val="24"/>
          <w:szCs w:val="24"/>
          <w:highlight w:val="none"/>
          <w:lang w:val="en-US" w:eastAsia="zh-CN"/>
        </w:rPr>
        <w:t>对</w:t>
      </w:r>
      <w:r>
        <w:rPr>
          <w:rFonts w:hint="default" w:ascii="Times New Roman" w:hAnsi="Times New Roman" w:cs="Times New Roman"/>
          <w:color w:val="auto"/>
          <w:sz w:val="24"/>
          <w:szCs w:val="24"/>
          <w:highlight w:val="none"/>
        </w:rPr>
        <w:t>通过投标文件第一个信封（商务及技术文件）评审的投标人</w:t>
      </w:r>
      <w:r>
        <w:rPr>
          <w:rFonts w:hint="eastAsia" w:cs="Times New Roman"/>
          <w:color w:val="auto"/>
          <w:sz w:val="24"/>
          <w:szCs w:val="24"/>
          <w:highlight w:val="none"/>
          <w:lang w:val="en-US" w:eastAsia="zh-CN"/>
        </w:rPr>
        <w:t>进行随机分配投标标段</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（如有）</w:t>
      </w:r>
    </w:p>
    <w:p w14:paraId="0D2C8663">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）通过投标文件第一个信封（商务及技术文件）评审的投标人代表</w:t>
      </w:r>
      <w:r>
        <w:rPr>
          <w:rFonts w:hint="default" w:ascii="Times New Roman" w:hAnsi="Times New Roman" w:cs="Times New Roman"/>
          <w:color w:val="auto"/>
          <w:sz w:val="24"/>
          <w:highlight w:val="none"/>
        </w:rPr>
        <w:t>通过互联网使用CA数字证书登录</w:t>
      </w:r>
      <w:r>
        <w:rPr>
          <w:rFonts w:hint="eastAsia" w:ascii="宋体" w:hAnsi="宋体" w:eastAsia="宋体" w:cs="宋体"/>
          <w:color w:val="auto"/>
          <w:sz w:val="24"/>
          <w:highlight w:val="none"/>
        </w:rPr>
        <w:t>“不见面开标大厅”</w:t>
      </w:r>
      <w:r>
        <w:rPr>
          <w:rFonts w:hint="default" w:ascii="Times New Roman" w:hAnsi="Times New Roman" w:cs="Times New Roman"/>
          <w:color w:val="auto"/>
          <w:sz w:val="24"/>
          <w:highlight w:val="none"/>
          <w:lang w:val="en-US" w:eastAsia="zh-CN"/>
        </w:rPr>
        <w:t>在投标人须知前附表规定的时间内</w:t>
      </w:r>
      <w:r>
        <w:rPr>
          <w:rFonts w:hint="default" w:ascii="Times New Roman" w:hAnsi="Times New Roman" w:cs="Times New Roman"/>
          <w:color w:val="auto"/>
          <w:sz w:val="24"/>
          <w:szCs w:val="24"/>
          <w:highlight w:val="none"/>
        </w:rPr>
        <w:t>解密加密的投标文件第二个信封（报价文件）；</w:t>
      </w:r>
    </w:p>
    <w:p w14:paraId="6BB5D4F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）招标人对未成功解密的投标文件进行退回并按本章第5.3款进行补救处理；</w:t>
      </w:r>
    </w:p>
    <w:p w14:paraId="628F9D8B">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）导入并读取所有通过投标文件第一个信封（商务及技术文件）评审的解密成功的投标文件第二个信封（报价文件）的内容；</w:t>
      </w:r>
    </w:p>
    <w:p w14:paraId="673BE138">
      <w:pPr>
        <w:pageBreakBefore w:val="0"/>
        <w:kinsoku/>
        <w:wordWrap w:val="0"/>
        <w:bidi w:val="0"/>
        <w:spacing w:line="400" w:lineRule="exact"/>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）公布标段名称、投标人名称、投标报价及其他内容，并记录在案；</w:t>
      </w:r>
    </w:p>
    <w:p w14:paraId="4FCABDB8">
      <w:pPr>
        <w:pageBreakBefore w:val="0"/>
        <w:kinsoku/>
        <w:wordWrap w:val="0"/>
        <w:bidi w:val="0"/>
        <w:spacing w:line="400" w:lineRule="exact"/>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随机抽取评标基准价计算方法、评标基准价系数</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（如有）</w:t>
      </w:r>
    </w:p>
    <w:p w14:paraId="511A688D">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）投标人代表对开标记录进行确认。投标人代表对开标结果有异议的应在</w:t>
      </w:r>
      <w:r>
        <w:rPr>
          <w:rFonts w:hint="default" w:ascii="Times New Roman" w:hAnsi="Times New Roman" w:cs="Times New Roman"/>
          <w:color w:val="auto"/>
          <w:sz w:val="24"/>
          <w:szCs w:val="24"/>
          <w:highlight w:val="none"/>
          <w:lang w:val="en-US" w:eastAsia="zh-CN"/>
        </w:rPr>
        <w:t>规定时间内通过</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不见面开标大厅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提出，否则视为无异议；</w:t>
      </w:r>
    </w:p>
    <w:p w14:paraId="31BE2DB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）开标结束。</w:t>
      </w:r>
    </w:p>
    <w:p w14:paraId="1340FC7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5.2.4若采用合理低价法或综合评分法，在投标文件第二个信封（报价文件）开标现场，招标人将按第三章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规定的原则计算并宣布评标基准价。若招标人发现投标文件出现以下任一情况，其投标报价将不再参加评标基准价的计算：</w:t>
      </w:r>
    </w:p>
    <w:p w14:paraId="4870595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（1）未按要求在投标函上填写投标总价；</w:t>
      </w:r>
    </w:p>
    <w:p w14:paraId="5715EC3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（2）投标报价超出招标人公布的最高投标限价（如有）</w:t>
      </w:r>
      <w:r>
        <w:rPr>
          <w:rFonts w:hint="eastAsia" w:cs="Times New Roman"/>
          <w:color w:val="auto"/>
          <w:sz w:val="24"/>
          <w:highlight w:val="none"/>
          <w:lang w:eastAsia="zh-CN"/>
        </w:rPr>
        <w:t>，或低于招标人公布的最高投标限价（如有）的G</w:t>
      </w:r>
      <w:r>
        <w:rPr>
          <w:rStyle w:val="48"/>
          <w:rFonts w:hint="eastAsia" w:cs="Times New Roman"/>
          <w:color w:val="auto"/>
          <w:sz w:val="24"/>
          <w:highlight w:val="none"/>
          <w:lang w:eastAsia="zh-CN"/>
        </w:rPr>
        <w:footnoteReference w:id="22"/>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5FA77477">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（3）无法确定投标报价具体数值；</w:t>
      </w:r>
    </w:p>
    <w:p w14:paraId="68C2AAAE">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（4）投标函上填写的标段号与上传的对应项目标段号不一致（如分标段）。</w:t>
      </w:r>
    </w:p>
    <w:p w14:paraId="5BA406EF">
      <w:pPr>
        <w:pageBreakBefore w:val="0"/>
        <w:kinsoku/>
        <w:wordWrap w:val="0"/>
        <w:bidi w:val="0"/>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如果投标人认为某</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标段</w:t>
      </w:r>
      <w:r>
        <w:rPr>
          <w:rFonts w:hint="default" w:ascii="Times New Roman" w:hAnsi="Times New Roman" w:cs="Times New Roman"/>
          <w:color w:val="auto"/>
          <w:sz w:val="24"/>
          <w:szCs w:val="24"/>
          <w:highlight w:val="none"/>
        </w:rPr>
        <w:t>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2285CA8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5.2.5在投标文件第一个信封（商务及技术文件）或第二个信封（报价文件）开标过程中，若</w:t>
      </w:r>
      <w:r>
        <w:rPr>
          <w:rFonts w:hint="default" w:ascii="Times New Roman" w:hAnsi="Times New Roman" w:cs="Times New Roman"/>
          <w:color w:val="auto"/>
          <w:sz w:val="24"/>
          <w:szCs w:val="24"/>
          <w:highlight w:val="none"/>
          <w:lang w:val="en-US" w:eastAsia="zh-CN"/>
        </w:rPr>
        <w:t>开标现场</w:t>
      </w:r>
      <w:r>
        <w:rPr>
          <w:rFonts w:hint="eastAsia" w:cs="Times New Roman"/>
          <w:color w:val="auto"/>
          <w:sz w:val="24"/>
          <w:szCs w:val="24"/>
          <w:highlight w:val="none"/>
          <w:lang w:val="en-US" w:eastAsia="zh-CN"/>
        </w:rPr>
        <w:t>公布</w:t>
      </w:r>
      <w:r>
        <w:rPr>
          <w:rFonts w:hint="default" w:ascii="Times New Roman" w:hAnsi="Times New Roman" w:cs="Times New Roman"/>
          <w:color w:val="auto"/>
          <w:sz w:val="24"/>
          <w:szCs w:val="24"/>
          <w:highlight w:val="none"/>
        </w:rPr>
        <w:t>的内容与投标文件不符，投标人有权在开标现场提出疑问，经招标人当场核查确认之后，可重新</w:t>
      </w:r>
      <w:r>
        <w:rPr>
          <w:rFonts w:hint="eastAsia" w:cs="Times New Roman"/>
          <w:color w:val="auto"/>
          <w:sz w:val="24"/>
          <w:szCs w:val="24"/>
          <w:highlight w:val="none"/>
          <w:lang w:val="en-US" w:eastAsia="zh-CN"/>
        </w:rPr>
        <w:t>公布</w:t>
      </w:r>
      <w:r>
        <w:rPr>
          <w:rFonts w:hint="default" w:ascii="Times New Roman" w:hAnsi="Times New Roman" w:cs="Times New Roman"/>
          <w:color w:val="auto"/>
          <w:sz w:val="24"/>
          <w:szCs w:val="24"/>
          <w:highlight w:val="none"/>
        </w:rPr>
        <w:t>其</w:t>
      </w:r>
      <w:r>
        <w:rPr>
          <w:rFonts w:hint="eastAsia" w:cs="Times New Roman"/>
          <w:color w:val="auto"/>
          <w:sz w:val="24"/>
          <w:szCs w:val="24"/>
          <w:highlight w:val="none"/>
          <w:lang w:val="en-US" w:eastAsia="zh-CN"/>
        </w:rPr>
        <w:t>内容</w:t>
      </w:r>
      <w:r>
        <w:rPr>
          <w:rFonts w:hint="default" w:ascii="Times New Roman" w:hAnsi="Times New Roman" w:cs="Times New Roman"/>
          <w:color w:val="auto"/>
          <w:sz w:val="24"/>
          <w:szCs w:val="24"/>
          <w:highlight w:val="none"/>
        </w:rPr>
        <w:t>。若投标人现场未提出疑问，则认为投标人已确认</w:t>
      </w:r>
      <w:r>
        <w:rPr>
          <w:rFonts w:hint="default" w:ascii="Times New Roman" w:hAnsi="Times New Roman" w:cs="Times New Roman"/>
          <w:color w:val="auto"/>
          <w:sz w:val="24"/>
          <w:szCs w:val="24"/>
          <w:highlight w:val="none"/>
          <w:lang w:val="en-US" w:eastAsia="zh-CN"/>
        </w:rPr>
        <w:t>开标现场</w:t>
      </w:r>
      <w:r>
        <w:rPr>
          <w:rFonts w:hint="eastAsia" w:cs="Times New Roman"/>
          <w:color w:val="auto"/>
          <w:sz w:val="24"/>
          <w:szCs w:val="24"/>
          <w:highlight w:val="none"/>
          <w:lang w:val="en-US" w:eastAsia="zh-CN"/>
        </w:rPr>
        <w:t>公布</w:t>
      </w:r>
      <w:r>
        <w:rPr>
          <w:rFonts w:hint="default" w:ascii="Times New Roman" w:hAnsi="Times New Roman" w:cs="Times New Roman"/>
          <w:color w:val="auto"/>
          <w:sz w:val="24"/>
          <w:szCs w:val="24"/>
          <w:highlight w:val="none"/>
        </w:rPr>
        <w:t>的内容。</w:t>
      </w:r>
    </w:p>
    <w:p w14:paraId="7030CC3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44" w:name="_Toc24866"/>
      <w:bookmarkStart w:id="245" w:name="_Toc27278"/>
      <w:r>
        <w:rPr>
          <w:rFonts w:hint="default" w:ascii="Times New Roman" w:hAnsi="Times New Roman" w:eastAsia="黑体" w:cs="Times New Roman"/>
          <w:b w:val="0"/>
          <w:color w:val="auto"/>
          <w:sz w:val="24"/>
          <w:szCs w:val="24"/>
          <w:highlight w:val="none"/>
        </w:rPr>
        <w:t>5.3开标补救措施</w:t>
      </w:r>
      <w:bookmarkEnd w:id="244"/>
      <w:bookmarkEnd w:id="245"/>
    </w:p>
    <w:p w14:paraId="6BFD00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5.3.1开标过程中因本章第5.3.2项、第5.3.3项所列原因，导致系统无法正常运行，将按投标人须知前附表的规定采取补救措施。</w:t>
      </w:r>
    </w:p>
    <w:p w14:paraId="730641A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5.3.2因</w:t>
      </w:r>
      <w:r>
        <w:rPr>
          <w:rFonts w:hint="eastAsia" w:ascii="宋体" w:hAnsi="宋体" w:eastAsia="宋体" w:cs="宋体"/>
          <w:color w:val="auto"/>
          <w:sz w:val="24"/>
          <w:highlight w:val="none"/>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系统故障导致投标人无法正常上传加密的投标文件，投标人应打印并递交</w:t>
      </w:r>
      <w:r>
        <w:rPr>
          <w:rFonts w:hint="eastAsia" w:cs="Times New Roman"/>
          <w:color w:val="auto"/>
          <w:sz w:val="24"/>
          <w:highlight w:val="none"/>
          <w:lang w:eastAsia="zh-CN"/>
        </w:rPr>
        <w:t>电子交易平台</w:t>
      </w:r>
      <w:r>
        <w:rPr>
          <w:rFonts w:hint="default" w:ascii="Times New Roman" w:hAnsi="Times New Roman" w:eastAsia="宋体" w:cs="Times New Roman"/>
          <w:color w:val="auto"/>
          <w:sz w:val="24"/>
          <w:highlight w:val="none"/>
        </w:rPr>
        <w:t>自动生成的上传失败的异常记录单。</w:t>
      </w:r>
    </w:p>
    <w:p w14:paraId="1752AB8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5.3.3当出现以下情况时，应对未开标的中止电子开标，并在恢复正常后及时安排时间开标：</w:t>
      </w:r>
    </w:p>
    <w:p w14:paraId="45901D4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（1）系统服务器发生故障，无法访问或无法使用系统；</w:t>
      </w:r>
    </w:p>
    <w:p w14:paraId="548EB93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（2）系统的软件或数据库出现错误，不能进行正常操作；</w:t>
      </w:r>
    </w:p>
    <w:p w14:paraId="2A75CF0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（3）系统发现有安全漏洞，有潜在的泄密危险；</w:t>
      </w:r>
    </w:p>
    <w:p w14:paraId="63A4EF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（4）出现断电事故且短时间内无法恢复供电；</w:t>
      </w:r>
    </w:p>
    <w:p w14:paraId="2B8A820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（5）其他无法保证招投标过程正常进行的情形。</w:t>
      </w:r>
    </w:p>
    <w:p w14:paraId="7ADD0C7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5.3.4采取补救措施时，必须对原有资料及信息作出妥善保密处理。</w:t>
      </w:r>
    </w:p>
    <w:p w14:paraId="67937B85">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46" w:name="_Toc3488"/>
      <w:bookmarkStart w:id="247" w:name="_Toc20631"/>
      <w:r>
        <w:rPr>
          <w:rFonts w:hint="default" w:ascii="Times New Roman" w:hAnsi="Times New Roman" w:eastAsia="黑体" w:cs="Times New Roman"/>
          <w:b w:val="0"/>
          <w:color w:val="auto"/>
          <w:sz w:val="24"/>
          <w:szCs w:val="24"/>
          <w:highlight w:val="none"/>
        </w:rPr>
        <w:t>5.4开标异议</w:t>
      </w:r>
      <w:bookmarkEnd w:id="246"/>
      <w:bookmarkEnd w:id="247"/>
    </w:p>
    <w:p w14:paraId="19A6849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cs="Times New Roman"/>
          <w:color w:val="auto"/>
          <w:sz w:val="24"/>
          <w:szCs w:val="24"/>
          <w:highlight w:val="none"/>
        </w:rPr>
        <w:t>投标人对开标有异议的，应在开标现场</w:t>
      </w:r>
      <w:r>
        <w:rPr>
          <w:rFonts w:hint="default" w:ascii="Times New Roman" w:hAnsi="Times New Roman" w:cs="Times New Roman"/>
          <w:color w:val="auto"/>
          <w:sz w:val="24"/>
          <w:szCs w:val="24"/>
          <w:highlight w:val="none"/>
          <w:lang w:val="en-US" w:eastAsia="zh-CN"/>
        </w:rPr>
        <w:t>通过</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不见面开标大厅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提出，招标人当场作出答复，并制作记录</w:t>
      </w:r>
      <w:r>
        <w:rPr>
          <w:rFonts w:hint="default" w:ascii="Times New Roman" w:hAnsi="Times New Roman" w:eastAsia="宋体" w:cs="Times New Roman"/>
          <w:color w:val="auto"/>
          <w:sz w:val="24"/>
          <w:highlight w:val="none"/>
        </w:rPr>
        <w:t>。</w:t>
      </w:r>
    </w:p>
    <w:p w14:paraId="33022C4E">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48" w:name="_Toc31944"/>
      <w:bookmarkStart w:id="249" w:name="_Toc17337"/>
      <w:bookmarkStart w:id="250" w:name="_Toc26520"/>
      <w:bookmarkStart w:id="251" w:name="_Toc234832906"/>
      <w:bookmarkStart w:id="252" w:name="_Toc32026"/>
      <w:r>
        <w:rPr>
          <w:rFonts w:hint="default" w:ascii="黑体" w:hAnsi="黑体" w:eastAsia="黑体" w:cs="黑体"/>
          <w:b w:val="0"/>
          <w:bCs/>
          <w:i w:val="0"/>
          <w:iCs w:val="0"/>
          <w:color w:val="auto"/>
          <w:sz w:val="28"/>
          <w:szCs w:val="28"/>
          <w:highlight w:val="none"/>
          <w:lang w:val="en-US" w:eastAsia="zh-CN"/>
        </w:rPr>
        <w:t>6.评标</w:t>
      </w:r>
      <w:bookmarkEnd w:id="248"/>
      <w:bookmarkEnd w:id="249"/>
      <w:bookmarkEnd w:id="250"/>
      <w:bookmarkEnd w:id="251"/>
      <w:bookmarkEnd w:id="252"/>
    </w:p>
    <w:p w14:paraId="5F71556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53" w:name="_Toc21787"/>
      <w:bookmarkStart w:id="254" w:name="_Toc234832907"/>
      <w:bookmarkStart w:id="255" w:name="_Toc475"/>
      <w:r>
        <w:rPr>
          <w:rFonts w:hint="default" w:ascii="Times New Roman" w:hAnsi="Times New Roman" w:eastAsia="黑体" w:cs="Times New Roman"/>
          <w:b w:val="0"/>
          <w:color w:val="auto"/>
          <w:sz w:val="24"/>
          <w:szCs w:val="24"/>
          <w:highlight w:val="none"/>
        </w:rPr>
        <w:t>6.1评标委员会</w:t>
      </w:r>
      <w:bookmarkEnd w:id="253"/>
      <w:bookmarkEnd w:id="254"/>
      <w:bookmarkEnd w:id="255"/>
    </w:p>
    <w:p w14:paraId="4C00044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6.1.1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75DB219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6.1.2评标委员会成员有下列情形之一的，应主动提出回避：</w:t>
      </w:r>
    </w:p>
    <w:p w14:paraId="2594A68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（1）为负责招标项目监督管理的交通运输主管部门的工作人员；</w:t>
      </w:r>
    </w:p>
    <w:p w14:paraId="2D318A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（2）与投标人法定代表人或其委托代理人有近亲属关系；</w:t>
      </w:r>
    </w:p>
    <w:p w14:paraId="32B15FC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（3）为投标人的工作人员或退休人员；</w:t>
      </w:r>
    </w:p>
    <w:p w14:paraId="206C88A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（4）与投标人有其他利害关系，可能影响评标活动公正性；</w:t>
      </w:r>
    </w:p>
    <w:p w14:paraId="179C62A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（5）在与招标投标有关的活动中有过违法违规行为、曾受过行政处罚或刑事处罚。</w:t>
      </w:r>
    </w:p>
    <w:p w14:paraId="12C30C9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招标人及其子公司、招标人下属单位、招标人的上级主管部门或者控股公司、招标代理机构的工作人员或者退休人员不得以专家身份参与本单位招标或者招标代理项目的评标。</w:t>
      </w:r>
    </w:p>
    <w:p w14:paraId="107561E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16355EA6">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56" w:name="_Toc9194"/>
      <w:bookmarkStart w:id="257" w:name="_Toc234832908"/>
      <w:bookmarkStart w:id="258" w:name="_Toc2946"/>
      <w:r>
        <w:rPr>
          <w:rFonts w:hint="default" w:ascii="Times New Roman" w:hAnsi="Times New Roman" w:eastAsia="黑体" w:cs="Times New Roman"/>
          <w:b w:val="0"/>
          <w:color w:val="auto"/>
          <w:sz w:val="24"/>
          <w:szCs w:val="24"/>
          <w:highlight w:val="none"/>
        </w:rPr>
        <w:t>6.2评标原则</w:t>
      </w:r>
      <w:bookmarkEnd w:id="256"/>
      <w:bookmarkEnd w:id="257"/>
      <w:bookmarkEnd w:id="258"/>
    </w:p>
    <w:p w14:paraId="1D6E8F58">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评标活动遵循公平、公正、科学和择优的原则。</w:t>
      </w:r>
    </w:p>
    <w:p w14:paraId="18F777D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59" w:name="_Toc234832909"/>
      <w:bookmarkStart w:id="260" w:name="_Toc32567"/>
      <w:bookmarkStart w:id="261" w:name="_Toc22506"/>
      <w:r>
        <w:rPr>
          <w:rFonts w:hint="default" w:ascii="Times New Roman" w:hAnsi="Times New Roman" w:eastAsia="黑体" w:cs="Times New Roman"/>
          <w:b w:val="0"/>
          <w:color w:val="auto"/>
          <w:sz w:val="24"/>
          <w:szCs w:val="24"/>
          <w:highlight w:val="none"/>
        </w:rPr>
        <w:t>6.3评标</w:t>
      </w:r>
      <w:bookmarkEnd w:id="259"/>
      <w:bookmarkEnd w:id="260"/>
      <w:bookmarkEnd w:id="261"/>
    </w:p>
    <w:p w14:paraId="34BD896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6.3.1评标委员会按照第三章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规定的方法、评审因素、标准和程序对投标文件进行评审。第三章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没有规定的方法、评审因素和标准，不作为评标依据。</w:t>
      </w:r>
    </w:p>
    <w:p w14:paraId="45DC759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6.3.2评标及补救措施</w:t>
      </w:r>
    </w:p>
    <w:p w14:paraId="6F80C8B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2F7325A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szCs w:val="24"/>
          <w:highlight w:val="none"/>
        </w:rPr>
        <w:t>评标完成后，评标委员会应当向招标人提交书面评标报告和中标候选人名单。评标委员会推荐中标</w:t>
      </w:r>
      <w:bookmarkStart w:id="262" w:name="_Toc361508615"/>
      <w:bookmarkStart w:id="263" w:name="_Toc300834979"/>
      <w:bookmarkStart w:id="264" w:name="_Toc152045558"/>
      <w:bookmarkStart w:id="265" w:name="_Toc12259"/>
      <w:bookmarkStart w:id="266" w:name="_Toc247513982"/>
      <w:bookmarkStart w:id="267" w:name="_Toc384308240"/>
      <w:bookmarkStart w:id="268" w:name="_Toc144974526"/>
      <w:bookmarkStart w:id="269" w:name="_Toc152042334"/>
      <w:bookmarkStart w:id="270" w:name="_Toc352691502"/>
      <w:bookmarkStart w:id="271" w:name="_Toc369531546"/>
      <w:bookmarkStart w:id="272" w:name="_Toc247527583"/>
      <w:r>
        <w:rPr>
          <w:rFonts w:hint="default" w:ascii="Times New Roman" w:hAnsi="Times New Roman" w:cs="Times New Roman"/>
          <w:color w:val="auto"/>
          <w:sz w:val="24"/>
          <w:szCs w:val="24"/>
          <w:highlight w:val="none"/>
        </w:rPr>
        <w:t>候选人的人数见投标人须知前附</w:t>
      </w:r>
      <w:bookmarkEnd w:id="262"/>
      <w:bookmarkEnd w:id="263"/>
      <w:bookmarkEnd w:id="264"/>
      <w:bookmarkEnd w:id="265"/>
      <w:bookmarkEnd w:id="266"/>
      <w:bookmarkEnd w:id="267"/>
      <w:bookmarkEnd w:id="268"/>
      <w:bookmarkEnd w:id="269"/>
      <w:bookmarkEnd w:id="270"/>
      <w:bookmarkEnd w:id="271"/>
      <w:bookmarkEnd w:id="272"/>
      <w:r>
        <w:rPr>
          <w:rFonts w:hint="default" w:ascii="Times New Roman" w:hAnsi="Times New Roman" w:cs="Times New Roman"/>
          <w:color w:val="auto"/>
          <w:sz w:val="24"/>
          <w:szCs w:val="24"/>
          <w:highlight w:val="none"/>
        </w:rPr>
        <w:t>表</w:t>
      </w:r>
      <w:r>
        <w:rPr>
          <w:rFonts w:hint="default" w:ascii="Times New Roman" w:hAnsi="Times New Roman" w:eastAsia="宋体" w:cs="Times New Roman"/>
          <w:color w:val="auto"/>
          <w:sz w:val="24"/>
          <w:highlight w:val="none"/>
        </w:rPr>
        <w:t>。</w:t>
      </w:r>
    </w:p>
    <w:p w14:paraId="774980C6">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73" w:name="_Toc5930"/>
      <w:bookmarkStart w:id="274" w:name="_Toc234832910"/>
      <w:bookmarkStart w:id="275" w:name="_Toc5813"/>
      <w:bookmarkStart w:id="276" w:name="_Toc8692"/>
      <w:bookmarkStart w:id="277" w:name="_Toc29075"/>
      <w:r>
        <w:rPr>
          <w:rFonts w:hint="default" w:ascii="黑体" w:hAnsi="黑体" w:eastAsia="黑体" w:cs="黑体"/>
          <w:b w:val="0"/>
          <w:bCs/>
          <w:i w:val="0"/>
          <w:iCs w:val="0"/>
          <w:color w:val="auto"/>
          <w:sz w:val="28"/>
          <w:szCs w:val="28"/>
          <w:highlight w:val="none"/>
          <w:lang w:val="en-US" w:eastAsia="zh-CN"/>
        </w:rPr>
        <w:t>7.合同授予</w:t>
      </w:r>
      <w:bookmarkEnd w:id="273"/>
      <w:bookmarkEnd w:id="274"/>
      <w:bookmarkEnd w:id="275"/>
      <w:bookmarkEnd w:id="276"/>
      <w:bookmarkEnd w:id="277"/>
    </w:p>
    <w:p w14:paraId="6CF6A91E">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78" w:name="_Toc29612"/>
      <w:bookmarkStart w:id="279" w:name="_Toc6153"/>
      <w:bookmarkStart w:id="280" w:name="_Toc234832911"/>
      <w:r>
        <w:rPr>
          <w:rFonts w:hint="default" w:ascii="Times New Roman" w:hAnsi="Times New Roman" w:eastAsia="黑体" w:cs="Times New Roman"/>
          <w:b w:val="0"/>
          <w:color w:val="auto"/>
          <w:sz w:val="24"/>
          <w:szCs w:val="24"/>
          <w:highlight w:val="none"/>
        </w:rPr>
        <w:t>7.1中标候选人公示</w:t>
      </w:r>
      <w:bookmarkEnd w:id="278"/>
      <w:bookmarkEnd w:id="279"/>
    </w:p>
    <w:p w14:paraId="2566147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招标人在收到评标报告之日起3日内，按照投标人须知前附表规定的公示媒介和期限公示中标候选人，公示期不得少于3日，公示内容包括：</w:t>
      </w:r>
    </w:p>
    <w:p w14:paraId="5871E62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（1）中标候选人排序、名称、投标报价，对工程质量要求、安全目标和工期的响应情况；</w:t>
      </w:r>
    </w:p>
    <w:p w14:paraId="708C09A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（2）中标候选人在投标文件中承诺的项目经理和项目总工姓名、个人业绩、相关证书名称和编号；</w:t>
      </w:r>
    </w:p>
    <w:p w14:paraId="43442AB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（3）中标候选人在投标文件中填报的项目业绩；</w:t>
      </w:r>
    </w:p>
    <w:p w14:paraId="1A2373D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（4）被否决投标的投标人名称、否决依据和原因；</w:t>
      </w:r>
    </w:p>
    <w:p w14:paraId="514994C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（5）提出异议的渠道和方式；</w:t>
      </w:r>
    </w:p>
    <w:p w14:paraId="2CB9833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（6）投标人须知前附表规定公示的其他内容。</w:t>
      </w:r>
    </w:p>
    <w:p w14:paraId="77FC8A79">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1" w:name="_Toc28677"/>
      <w:bookmarkStart w:id="282" w:name="_Toc9333"/>
      <w:r>
        <w:rPr>
          <w:rFonts w:hint="default" w:ascii="Times New Roman" w:hAnsi="Times New Roman" w:eastAsia="黑体" w:cs="Times New Roman"/>
          <w:b w:val="0"/>
          <w:color w:val="auto"/>
          <w:sz w:val="24"/>
          <w:szCs w:val="24"/>
          <w:highlight w:val="none"/>
        </w:rPr>
        <w:t>7.2评标结果异议</w:t>
      </w:r>
      <w:bookmarkEnd w:id="281"/>
      <w:bookmarkEnd w:id="282"/>
    </w:p>
    <w:p w14:paraId="566BDEBA">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2C7B6387">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3" w:name="_Toc2167"/>
      <w:bookmarkStart w:id="284" w:name="_Toc9159"/>
      <w:r>
        <w:rPr>
          <w:rFonts w:hint="default" w:ascii="Times New Roman" w:hAnsi="Times New Roman" w:eastAsia="黑体" w:cs="Times New Roman"/>
          <w:b w:val="0"/>
          <w:color w:val="auto"/>
          <w:sz w:val="24"/>
          <w:szCs w:val="24"/>
          <w:highlight w:val="none"/>
        </w:rPr>
        <w:t>7.3中标候选人履约能力审查</w:t>
      </w:r>
      <w:bookmarkEnd w:id="283"/>
      <w:bookmarkEnd w:id="284"/>
    </w:p>
    <w:p w14:paraId="3B0085CE">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A18C59F">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5" w:name="_Toc766"/>
      <w:bookmarkStart w:id="286" w:name="_Toc5726"/>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4</w:t>
      </w:r>
      <w:r>
        <w:rPr>
          <w:rFonts w:hint="default" w:ascii="Times New Roman" w:hAnsi="Times New Roman" w:eastAsia="黑体" w:cs="Times New Roman"/>
          <w:b w:val="0"/>
          <w:color w:val="auto"/>
          <w:sz w:val="24"/>
          <w:szCs w:val="24"/>
          <w:highlight w:val="none"/>
        </w:rPr>
        <w:t>定标</w:t>
      </w:r>
      <w:bookmarkEnd w:id="280"/>
      <w:bookmarkEnd w:id="285"/>
      <w:bookmarkEnd w:id="286"/>
    </w:p>
    <w:p w14:paraId="19E82D2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7.4.1</w:t>
      </w:r>
      <w:r>
        <w:rPr>
          <w:rFonts w:hint="default" w:ascii="Times New Roman" w:hAnsi="Times New Roman" w:eastAsia="宋体" w:cs="Times New Roman"/>
          <w:color w:val="auto"/>
          <w:sz w:val="24"/>
          <w:highlight w:val="none"/>
        </w:rPr>
        <w:t>按照投标人须知前附表的规定，招标人或招标人授权的评标委员会依法确定中标人。</w:t>
      </w:r>
    </w:p>
    <w:p w14:paraId="56F41F6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7.4.2招标人依据投标须知前附表的</w:t>
      </w:r>
      <w:r>
        <w:rPr>
          <w:rFonts w:hint="eastAsia" w:cs="Times New Roman"/>
          <w:color w:val="auto"/>
          <w:sz w:val="24"/>
          <w:szCs w:val="24"/>
          <w:highlight w:val="none"/>
          <w:lang w:val="en-US" w:eastAsia="zh-CN"/>
        </w:rPr>
        <w:t>定标规则</w:t>
      </w:r>
      <w:r>
        <w:rPr>
          <w:rFonts w:hint="eastAsia" w:cs="Times New Roman"/>
          <w:color w:val="auto"/>
          <w:sz w:val="24"/>
          <w:highlight w:val="none"/>
          <w:lang w:val="en-US" w:eastAsia="zh-CN"/>
        </w:rPr>
        <w:t>，在评标委员会推荐的中标候选人中确定中标人</w:t>
      </w:r>
      <w:r>
        <w:rPr>
          <w:rFonts w:hint="default" w:ascii="Times New Roman" w:hAnsi="Times New Roman" w:eastAsia="宋体" w:cs="Times New Roman"/>
          <w:color w:val="auto"/>
          <w:sz w:val="24"/>
          <w:highlight w:val="none"/>
        </w:rPr>
        <w:t>。</w:t>
      </w:r>
    </w:p>
    <w:p w14:paraId="13F5349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7.4.3招标人授权评标委员会按前附表7.4.2项规定的规则直接定标。</w:t>
      </w:r>
    </w:p>
    <w:p w14:paraId="4C974A8A">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87" w:name="_Toc10213"/>
      <w:bookmarkStart w:id="288" w:name="_Toc11520"/>
      <w:bookmarkStart w:id="289" w:name="_Toc234832912"/>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5中标通知</w:t>
      </w:r>
      <w:bookmarkEnd w:id="287"/>
      <w:bookmarkEnd w:id="288"/>
      <w:bookmarkEnd w:id="289"/>
    </w:p>
    <w:p w14:paraId="6875AD1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在本章第3.3款规定的投标有效期内，招标人应通过</w:t>
      </w:r>
      <w:r>
        <w:rPr>
          <w:rFonts w:hint="default" w:ascii="Times New Roman" w:hAnsi="Times New Roman" w:cs="Times New Roman"/>
          <w:color w:val="auto"/>
          <w:sz w:val="24"/>
          <w:highlight w:val="none"/>
          <w:lang w:val="en-US" w:eastAsia="zh-CN"/>
        </w:rPr>
        <w:t>投标人须知前附表规定的</w:t>
      </w:r>
      <w:r>
        <w:rPr>
          <w:rFonts w:hint="default" w:ascii="Times New Roman" w:hAnsi="Times New Roman" w:cs="Times New Roman"/>
          <w:color w:val="auto"/>
          <w:sz w:val="24"/>
          <w:highlight w:val="none"/>
        </w:rPr>
        <w:t>形式向中标人发出中标通知书，同时将中标结果通知未中标的投标人</w:t>
      </w:r>
      <w:r>
        <w:rPr>
          <w:rFonts w:hint="default" w:ascii="Times New Roman" w:hAnsi="Times New Roman" w:eastAsia="宋体" w:cs="Times New Roman"/>
          <w:color w:val="auto"/>
          <w:sz w:val="24"/>
          <w:highlight w:val="none"/>
        </w:rPr>
        <w:t>。</w:t>
      </w:r>
    </w:p>
    <w:p w14:paraId="1F737C9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90" w:name="_Toc2116"/>
      <w:bookmarkStart w:id="291" w:name="_Toc16073"/>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6</w:t>
      </w:r>
      <w:r>
        <w:rPr>
          <w:rFonts w:hint="default" w:ascii="Times New Roman" w:hAnsi="Times New Roman" w:eastAsia="黑体" w:cs="Times New Roman"/>
          <w:b w:val="0"/>
          <w:color w:val="auto"/>
          <w:sz w:val="24"/>
          <w:szCs w:val="24"/>
          <w:highlight w:val="none"/>
        </w:rPr>
        <w:t>中标</w:t>
      </w:r>
      <w:r>
        <w:rPr>
          <w:rFonts w:hint="default" w:ascii="Times New Roman" w:hAnsi="Times New Roman" w:eastAsia="黑体" w:cs="Times New Roman"/>
          <w:b w:val="0"/>
          <w:color w:val="auto"/>
          <w:sz w:val="24"/>
          <w:szCs w:val="24"/>
          <w:highlight w:val="none"/>
          <w:lang w:eastAsia="zh-CN"/>
        </w:rPr>
        <w:t>结果</w:t>
      </w:r>
      <w:r>
        <w:rPr>
          <w:rFonts w:hint="default" w:ascii="Times New Roman" w:hAnsi="Times New Roman" w:eastAsia="黑体" w:cs="Times New Roman"/>
          <w:b w:val="0"/>
          <w:color w:val="auto"/>
          <w:sz w:val="24"/>
          <w:szCs w:val="24"/>
          <w:highlight w:val="none"/>
        </w:rPr>
        <w:t>公告</w:t>
      </w:r>
      <w:bookmarkEnd w:id="290"/>
      <w:bookmarkEnd w:id="291"/>
    </w:p>
    <w:p w14:paraId="466CEA6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招标人在确定中标人之日起3日内，按照投标人须知前附表规定的公告媒介和期限公告中标结果，公告期不得少于3日。公告内容包括中标人名称、中标价。</w:t>
      </w:r>
    </w:p>
    <w:p w14:paraId="2FFDF375">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92" w:name="_Toc234832913"/>
      <w:bookmarkStart w:id="293" w:name="_Toc24614"/>
      <w:bookmarkStart w:id="294" w:name="_Toc12850"/>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7</w:t>
      </w:r>
      <w:r>
        <w:rPr>
          <w:rFonts w:hint="default" w:ascii="Times New Roman" w:hAnsi="Times New Roman" w:eastAsia="黑体" w:cs="Times New Roman"/>
          <w:b w:val="0"/>
          <w:color w:val="auto"/>
          <w:sz w:val="24"/>
          <w:szCs w:val="24"/>
          <w:highlight w:val="none"/>
        </w:rPr>
        <w:t>履约</w:t>
      </w:r>
      <w:bookmarkEnd w:id="292"/>
      <w:r>
        <w:rPr>
          <w:rFonts w:hint="default" w:ascii="Times New Roman" w:hAnsi="Times New Roman" w:eastAsia="黑体" w:cs="Times New Roman"/>
          <w:b w:val="0"/>
          <w:color w:val="auto"/>
          <w:sz w:val="24"/>
          <w:szCs w:val="24"/>
          <w:highlight w:val="none"/>
          <w:lang w:eastAsia="zh-CN"/>
        </w:rPr>
        <w:t>保证金</w:t>
      </w:r>
      <w:bookmarkEnd w:id="293"/>
      <w:bookmarkEnd w:id="294"/>
    </w:p>
    <w:p w14:paraId="6ED44CA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7.7.1在签订合同前中标人应按投标人须知前附表规定的形式、金额和招标文件第四章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合同条款及格式</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规定的或事先经过招标人书面认可的履约保证金格式向招标人提交履约保证金。除投标人须知前附表另有规定外，履约保证金为签约合同价的</w:t>
      </w:r>
      <w:r>
        <w:rPr>
          <w:rFonts w:hint="default" w:ascii="Times New Roman" w:hAnsi="Times New Roman" w:eastAsia="宋体" w:cs="Times New Roman"/>
          <w:color w:val="auto"/>
          <w:sz w:val="24"/>
          <w:highlight w:val="none"/>
          <w:lang w:val="en-US"/>
        </w:rPr>
        <w:t>10</w:t>
      </w:r>
      <w:r>
        <w:rPr>
          <w:rFonts w:hint="default" w:ascii="Times New Roman" w:hAnsi="Times New Roman" w:eastAsia="宋体" w:cs="Times New Roman"/>
          <w:color w:val="auto"/>
          <w:sz w:val="24"/>
          <w:highlight w:val="none"/>
        </w:rPr>
        <w:t>%。联合体中标的，其履约保证金以联合体各方或联合体中牵头人的名义提交。</w:t>
      </w:r>
    </w:p>
    <w:p w14:paraId="778DB7A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采用银行保函时，应由符合投标人须知前附表规定级别的银行开具，所需的费用由中标人承担，中标人应保证银行保函有效。</w:t>
      </w:r>
    </w:p>
    <w:p w14:paraId="5848F40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7.7.2中标人不能按本章第7.7.1项要求提交履约保证金的，视为放弃中标，其投标保证金不予退还，给招标人造成的损失超过投标保证金数额的，中标人还应对超过部分予以赔偿。</w:t>
      </w:r>
    </w:p>
    <w:p w14:paraId="1D2A494B">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295" w:name="_Toc12449"/>
      <w:bookmarkStart w:id="296" w:name="_Toc234832914"/>
      <w:bookmarkStart w:id="297" w:name="_Toc24076"/>
      <w:r>
        <w:rPr>
          <w:rFonts w:hint="default" w:ascii="Times New Roman" w:hAnsi="Times New Roman" w:eastAsia="黑体" w:cs="Times New Roman"/>
          <w:b w:val="0"/>
          <w:color w:val="auto"/>
          <w:sz w:val="24"/>
          <w:szCs w:val="24"/>
          <w:highlight w:val="none"/>
        </w:rPr>
        <w:t>7.</w:t>
      </w:r>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签订合同</w:t>
      </w:r>
      <w:bookmarkEnd w:id="295"/>
      <w:bookmarkEnd w:id="296"/>
      <w:bookmarkEnd w:id="297"/>
    </w:p>
    <w:p w14:paraId="0C34A3B5">
      <w:pPr>
        <w:pageBreakBefore w:val="0"/>
        <w:kinsoku/>
        <w:wordWrap w:val="0"/>
        <w:bidi w:val="0"/>
        <w:spacing w:line="400" w:lineRule="atLeast"/>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7.8.1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7A546B6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7.8.2发出中标通知书后，招标人无正当理由拒签合同，或在签订合同时向中标人提出附加条件的，招标人向中标人退还投标保证金；给中标人造成损失的，还应赔偿损失。</w:t>
      </w:r>
    </w:p>
    <w:p w14:paraId="7DF5A0B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7.8.</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rPr>
        <w:t>联合体中标的，联合体各方应共同与招标人签订合同，就中标项目向招标人承担连带责任。</w:t>
      </w:r>
    </w:p>
    <w:p w14:paraId="6B5BBDA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7.8.</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rPr>
        <w:t>招标人和中标人在签订合同协议书的同时，须按照本招标文件规定的格式和要求签订廉政合同及安全生产合同，明确双方在廉政建设和安全生产方面的权利和义务以及应承担的违约责任。</w:t>
      </w:r>
    </w:p>
    <w:p w14:paraId="026287E5">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298" w:name="_Toc17560"/>
      <w:bookmarkStart w:id="299" w:name="_Toc14316"/>
      <w:bookmarkStart w:id="300" w:name="_Toc234832918"/>
      <w:bookmarkStart w:id="301" w:name="_Toc21562"/>
      <w:bookmarkStart w:id="302" w:name="_Toc11626"/>
      <w:r>
        <w:rPr>
          <w:rFonts w:hint="default" w:ascii="黑体" w:hAnsi="黑体" w:eastAsia="黑体" w:cs="黑体"/>
          <w:b w:val="0"/>
          <w:bCs/>
          <w:i w:val="0"/>
          <w:iCs w:val="0"/>
          <w:color w:val="auto"/>
          <w:sz w:val="28"/>
          <w:szCs w:val="28"/>
          <w:highlight w:val="none"/>
          <w:lang w:val="en-US" w:eastAsia="zh-CN"/>
        </w:rPr>
        <w:t>8.纪律和监督</w:t>
      </w:r>
      <w:bookmarkEnd w:id="298"/>
      <w:bookmarkEnd w:id="299"/>
      <w:bookmarkEnd w:id="300"/>
      <w:bookmarkEnd w:id="301"/>
      <w:bookmarkEnd w:id="302"/>
    </w:p>
    <w:p w14:paraId="1EACA5D4">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03" w:name="_Toc234832919"/>
      <w:bookmarkStart w:id="304" w:name="_Toc2195"/>
      <w:bookmarkStart w:id="305" w:name="_Toc23721"/>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.1对招标人的纪律要求</w:t>
      </w:r>
      <w:bookmarkEnd w:id="303"/>
      <w:bookmarkEnd w:id="304"/>
      <w:bookmarkEnd w:id="305"/>
    </w:p>
    <w:p w14:paraId="5035F2E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招标人不得泄露招标投标活动中应保密的情况和资料，不得与投标人串通损害国家利益、社会公共利益或他人合法权益。</w:t>
      </w:r>
    </w:p>
    <w:p w14:paraId="6EE2999D">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06" w:name="_Toc23019"/>
      <w:bookmarkStart w:id="307" w:name="_Toc28155"/>
      <w:bookmarkStart w:id="308" w:name="_Toc234832920"/>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.2对投标人的纪律要求</w:t>
      </w:r>
      <w:bookmarkEnd w:id="306"/>
      <w:bookmarkEnd w:id="307"/>
      <w:bookmarkEnd w:id="308"/>
    </w:p>
    <w:p w14:paraId="720FB80F">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67473180">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09" w:name="_Toc5418"/>
      <w:bookmarkStart w:id="310" w:name="_Toc22216"/>
      <w:bookmarkStart w:id="311" w:name="_Toc234832921"/>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.3对评标委员会成员的纪律要求</w:t>
      </w:r>
      <w:bookmarkEnd w:id="309"/>
      <w:bookmarkEnd w:id="310"/>
      <w:bookmarkEnd w:id="311"/>
    </w:p>
    <w:p w14:paraId="0771FE6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评标办法</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没有规定的评审因素和标准进行评标。</w:t>
      </w:r>
    </w:p>
    <w:p w14:paraId="4D04A6B0">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12" w:name="_Toc6211"/>
      <w:bookmarkStart w:id="313" w:name="_Toc234832922"/>
      <w:bookmarkStart w:id="314" w:name="_Toc9801"/>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.4对与评标活动有关的工作人员的纪律要求</w:t>
      </w:r>
      <w:bookmarkEnd w:id="312"/>
      <w:bookmarkEnd w:id="313"/>
      <w:bookmarkEnd w:id="314"/>
    </w:p>
    <w:p w14:paraId="159E81D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7B916F6C">
      <w:pPr>
        <w:keepNext w:val="0"/>
        <w:keepLines w:val="0"/>
        <w:pageBreakBefore w:val="0"/>
        <w:widowControl w:val="0"/>
        <w:kinsoku/>
        <w:wordWrap w:val="0"/>
        <w:overflowPunct/>
        <w:topLinePunct w:val="0"/>
        <w:autoSpaceDE/>
        <w:autoSpaceDN/>
        <w:bidi w:val="0"/>
        <w:adjustRightInd/>
        <w:snapToGrid/>
        <w:spacing w:before="240" w:after="240" w:line="240" w:lineRule="atLeast"/>
        <w:textAlignment w:val="auto"/>
        <w:outlineLvl w:val="9"/>
        <w:rPr>
          <w:rFonts w:hint="default" w:ascii="Times New Roman" w:hAnsi="Times New Roman" w:eastAsia="黑体" w:cs="Times New Roman"/>
          <w:b w:val="0"/>
          <w:color w:val="auto"/>
          <w:sz w:val="24"/>
          <w:szCs w:val="24"/>
          <w:highlight w:val="none"/>
        </w:rPr>
      </w:pPr>
      <w:bookmarkStart w:id="315" w:name="_Toc19294"/>
      <w:bookmarkStart w:id="316" w:name="_Toc234832923"/>
      <w:bookmarkStart w:id="317" w:name="_Toc22150"/>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.5投诉</w:t>
      </w:r>
      <w:bookmarkEnd w:id="315"/>
      <w:bookmarkEnd w:id="316"/>
      <w:bookmarkEnd w:id="317"/>
    </w:p>
    <w:p w14:paraId="65731604">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8.5.1投标人或其他利害关系人认为招标投标活动不符合法律、行政法规规定的，可以自知道或应当知道之日起10日内向有关行政监督部门投诉。投诉应有明确的请求和必要的证明材料。</w:t>
      </w:r>
    </w:p>
    <w:p w14:paraId="05B9B226">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监督部门的联系方式见投标人须知前附表。</w:t>
      </w:r>
    </w:p>
    <w:p w14:paraId="0C014183">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8.5.2投标人或其他利害关系人对招标文件、开标和评标结果提出投诉的，应按照本章第2.4款、第5.3款和第7.2款的规定先向招标人提出异议。异议答复期间</w:t>
      </w:r>
      <w:bookmarkStart w:id="318" w:name="_Toc247527595"/>
      <w:bookmarkStart w:id="319" w:name="_Toc300834993"/>
      <w:bookmarkStart w:id="320" w:name="_Toc369531561"/>
      <w:bookmarkStart w:id="321" w:name="_Toc152042346"/>
      <w:bookmarkStart w:id="322" w:name="_Toc144974538"/>
      <w:bookmarkStart w:id="323" w:name="_Toc152045570"/>
      <w:bookmarkStart w:id="324" w:name="_Toc247513994"/>
      <w:bookmarkStart w:id="325" w:name="_Toc384308255"/>
      <w:bookmarkStart w:id="326" w:name="_Toc352691517"/>
      <w:bookmarkStart w:id="327" w:name="_Toc361508630"/>
      <w:bookmarkStart w:id="328" w:name="_Toc12776"/>
      <w:r>
        <w:rPr>
          <w:rFonts w:hint="default" w:ascii="Times New Roman" w:hAnsi="Times New Roman" w:eastAsia="宋体" w:cs="Times New Roman"/>
          <w:color w:val="auto"/>
          <w:sz w:val="24"/>
          <w:highlight w:val="none"/>
        </w:rPr>
        <w:t>不计算在第8.5.</w:t>
      </w:r>
      <w:bookmarkEnd w:id="318"/>
      <w:bookmarkEnd w:id="319"/>
      <w:bookmarkEnd w:id="320"/>
      <w:bookmarkEnd w:id="321"/>
      <w:bookmarkEnd w:id="322"/>
      <w:bookmarkEnd w:id="323"/>
      <w:bookmarkEnd w:id="324"/>
      <w:bookmarkEnd w:id="325"/>
      <w:bookmarkEnd w:id="326"/>
      <w:bookmarkEnd w:id="327"/>
      <w:bookmarkEnd w:id="328"/>
      <w:r>
        <w:rPr>
          <w:rFonts w:hint="default" w:ascii="Times New Roman" w:hAnsi="Times New Roman" w:eastAsia="宋体" w:cs="Times New Roman"/>
          <w:color w:val="auto"/>
          <w:sz w:val="24"/>
          <w:highlight w:val="none"/>
        </w:rPr>
        <w:t>1项规定的期限内。</w:t>
      </w:r>
    </w:p>
    <w:p w14:paraId="0C2BAF02">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329" w:name="_Toc13754"/>
      <w:bookmarkStart w:id="330" w:name="_Toc18903"/>
      <w:bookmarkStart w:id="331" w:name="_Toc7531"/>
      <w:bookmarkStart w:id="332" w:name="_Toc22135"/>
      <w:bookmarkStart w:id="333" w:name="_Toc234832924"/>
      <w:r>
        <w:rPr>
          <w:rFonts w:hint="default" w:ascii="黑体" w:hAnsi="黑体" w:eastAsia="黑体" w:cs="黑体"/>
          <w:b w:val="0"/>
          <w:bCs/>
          <w:i w:val="0"/>
          <w:iCs w:val="0"/>
          <w:color w:val="auto"/>
          <w:sz w:val="28"/>
          <w:szCs w:val="28"/>
          <w:highlight w:val="none"/>
          <w:lang w:val="en-US" w:eastAsia="zh-CN"/>
        </w:rPr>
        <w:t>9.需要补充的其他内容</w:t>
      </w:r>
      <w:bookmarkEnd w:id="329"/>
      <w:bookmarkEnd w:id="330"/>
      <w:bookmarkEnd w:id="331"/>
      <w:bookmarkEnd w:id="332"/>
      <w:bookmarkEnd w:id="333"/>
    </w:p>
    <w:p w14:paraId="3C7EB18B">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需要补充的其他内容：见投标人须知前附表。</w:t>
      </w:r>
    </w:p>
    <w:p w14:paraId="0160E7F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i w:val="0"/>
          <w:iCs w:val="0"/>
          <w:color w:val="auto"/>
          <w:sz w:val="24"/>
          <w:szCs w:val="24"/>
          <w:highlight w:val="none"/>
        </w:rPr>
      </w:pPr>
      <w:r>
        <w:rPr>
          <w:rFonts w:hint="default" w:ascii="Times New Roman" w:hAnsi="Times New Roman" w:eastAsia="隶书" w:cs="Times New Roman"/>
          <w:color w:val="auto"/>
          <w:sz w:val="24"/>
          <w:highlight w:val="none"/>
        </w:rPr>
        <w:br w:type="page"/>
      </w:r>
      <w:bookmarkStart w:id="334" w:name="_Toc26380"/>
      <w:bookmarkStart w:id="335" w:name="_Toc12892"/>
      <w:bookmarkStart w:id="336" w:name="_Toc19391"/>
      <w:bookmarkStart w:id="337" w:name="_Toc18463"/>
      <w:bookmarkStart w:id="338" w:name="_Toc234832925"/>
      <w:r>
        <w:rPr>
          <w:rFonts w:hint="default" w:ascii="黑体" w:hAnsi="黑体" w:eastAsia="黑体" w:cs="黑体"/>
          <w:b w:val="0"/>
          <w:bCs/>
          <w:i w:val="0"/>
          <w:iCs w:val="0"/>
          <w:color w:val="auto"/>
          <w:sz w:val="28"/>
          <w:szCs w:val="28"/>
          <w:highlight w:val="none"/>
          <w:lang w:val="en-US" w:eastAsia="zh-CN"/>
        </w:rPr>
        <w:t>附件一</w:t>
      </w:r>
      <w:r>
        <w:rPr>
          <w:rFonts w:hint="eastAsia" w:ascii="黑体" w:hAnsi="黑体" w:eastAsia="黑体" w:cs="黑体"/>
          <w:b w:val="0"/>
          <w:bCs/>
          <w:i w:val="0"/>
          <w:iCs w:val="0"/>
          <w:color w:val="auto"/>
          <w:sz w:val="28"/>
          <w:szCs w:val="28"/>
          <w:highlight w:val="none"/>
          <w:lang w:val="en-US" w:eastAsia="zh-CN"/>
        </w:rPr>
        <w:t xml:space="preserve"> </w:t>
      </w:r>
      <w:r>
        <w:rPr>
          <w:rFonts w:hint="default" w:ascii="黑体" w:hAnsi="黑体" w:eastAsia="黑体" w:cs="黑体"/>
          <w:b w:val="0"/>
          <w:bCs/>
          <w:i w:val="0"/>
          <w:iCs w:val="0"/>
          <w:color w:val="auto"/>
          <w:sz w:val="28"/>
          <w:szCs w:val="28"/>
          <w:highlight w:val="none"/>
          <w:lang w:val="en-US" w:eastAsia="zh-CN"/>
        </w:rPr>
        <w:t>开标记录表</w:t>
      </w:r>
      <w:r>
        <w:rPr>
          <w:rFonts w:hint="default" w:ascii="黑体" w:hAnsi="黑体" w:eastAsia="黑体" w:cs="黑体"/>
          <w:b w:val="0"/>
          <w:bCs/>
          <w:i w:val="0"/>
          <w:iCs w:val="0"/>
          <w:color w:val="auto"/>
          <w:sz w:val="28"/>
          <w:szCs w:val="28"/>
          <w:highlight w:val="none"/>
          <w:vertAlign w:val="superscript"/>
          <w:lang w:val="en-US" w:eastAsia="zh-CN"/>
        </w:rPr>
        <w:footnoteReference w:id="23"/>
      </w:r>
      <w:bookmarkEnd w:id="334"/>
      <w:bookmarkEnd w:id="335"/>
      <w:bookmarkEnd w:id="336"/>
      <w:bookmarkEnd w:id="337"/>
      <w:bookmarkEnd w:id="338"/>
    </w:p>
    <w:p w14:paraId="53580B08">
      <w:pPr>
        <w:wordWrap w:val="0"/>
        <w:spacing w:before="0" w:after="100" w:afterAutospacing="1" w:line="240" w:lineRule="atLeast"/>
        <w:outlineLvl w:val="9"/>
        <w:rPr>
          <w:rFonts w:hint="default" w:ascii="Times New Roman" w:hAnsi="Times New Roman" w:eastAsia="黑体" w:cs="Times New Roman"/>
          <w:b w:val="0"/>
          <w:color w:val="auto"/>
          <w:sz w:val="24"/>
          <w:szCs w:val="24"/>
          <w:highlight w:val="none"/>
        </w:rPr>
      </w:pPr>
      <w:bookmarkStart w:id="339" w:name="_Toc8817"/>
      <w:bookmarkStart w:id="340" w:name="_Toc20922"/>
      <w:bookmarkStart w:id="341" w:name="_Toc16381"/>
      <w:bookmarkStart w:id="342" w:name="_Toc2455"/>
      <w:r>
        <w:rPr>
          <w:rFonts w:hint="eastAsia" w:ascii="宋体" w:hAnsi="宋体" w:eastAsia="宋体" w:cs="宋体"/>
          <w:color w:val="auto"/>
          <w:sz w:val="24"/>
          <w:szCs w:val="24"/>
          <w:highlight w:val="none"/>
          <w:u w:val="none"/>
          <w:lang w:val="en-US" w:eastAsia="zh-CN"/>
        </w:rPr>
        <w:t>以电子交易平台生成格式为准。</w:t>
      </w:r>
      <w:bookmarkEnd w:id="339"/>
      <w:bookmarkEnd w:id="340"/>
      <w:bookmarkEnd w:id="341"/>
      <w:bookmarkEnd w:id="342"/>
    </w:p>
    <w:p w14:paraId="18AEAA88">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color w:val="auto"/>
          <w:szCs w:val="21"/>
          <w:highlight w:val="none"/>
        </w:rPr>
      </w:pPr>
      <w:bookmarkStart w:id="343" w:name="_Toc24468"/>
      <w:r>
        <w:rPr>
          <w:rFonts w:hint="default" w:ascii="Times New Roman" w:hAnsi="Times New Roman" w:cs="Times New Roman"/>
          <w:color w:val="auto"/>
          <w:szCs w:val="24"/>
          <w:highlight w:val="none"/>
        </w:rPr>
        <w:br w:type="page"/>
      </w:r>
      <w:bookmarkEnd w:id="343"/>
    </w:p>
    <w:p w14:paraId="5ED86EB3">
      <w:pPr>
        <w:pageBreakBefore w:val="0"/>
        <w:kinsoku/>
        <w:wordWrap w:val="0"/>
        <w:bidi w:val="0"/>
        <w:spacing w:line="620" w:lineRule="exact"/>
        <w:ind w:right="630"/>
        <w:jc w:val="center"/>
        <w:rPr>
          <w:rFonts w:hint="default" w:ascii="Times New Roman" w:hAnsi="Times New Roman" w:cs="Times New Roman"/>
          <w:color w:val="auto"/>
          <w:szCs w:val="21"/>
          <w:highlight w:val="none"/>
        </w:rPr>
        <w:sectPr>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6533FBB">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黑体" w:hAnsi="黑体" w:eastAsia="黑体" w:cs="黑体"/>
          <w:b w:val="0"/>
          <w:bCs/>
          <w:i w:val="0"/>
          <w:iCs w:val="0"/>
          <w:color w:val="auto"/>
          <w:sz w:val="28"/>
          <w:szCs w:val="28"/>
          <w:highlight w:val="none"/>
          <w:lang w:val="en-US" w:eastAsia="zh-CN"/>
        </w:rPr>
      </w:pPr>
      <w:bookmarkStart w:id="344" w:name="_Toc28813"/>
      <w:bookmarkStart w:id="345" w:name="_Toc3403"/>
      <w:bookmarkStart w:id="346" w:name="_Toc25086"/>
      <w:bookmarkStart w:id="347" w:name="_Toc234832926"/>
      <w:bookmarkStart w:id="348" w:name="_Toc19637"/>
      <w:r>
        <w:rPr>
          <w:rFonts w:hint="default" w:ascii="黑体" w:hAnsi="黑体" w:eastAsia="黑体" w:cs="黑体"/>
          <w:b w:val="0"/>
          <w:bCs/>
          <w:i w:val="0"/>
          <w:iCs w:val="0"/>
          <w:color w:val="auto"/>
          <w:sz w:val="28"/>
          <w:szCs w:val="28"/>
          <w:highlight w:val="none"/>
          <w:lang w:val="en-US" w:eastAsia="zh-CN"/>
        </w:rPr>
        <w:t>附件二 问题澄清通知</w:t>
      </w:r>
      <w:bookmarkEnd w:id="344"/>
      <w:bookmarkEnd w:id="345"/>
      <w:bookmarkEnd w:id="346"/>
      <w:bookmarkEnd w:id="347"/>
      <w:bookmarkEnd w:id="348"/>
    </w:p>
    <w:p w14:paraId="048CEDCC">
      <w:pPr>
        <w:pageBreakBefore w:val="0"/>
        <w:kinsoku/>
        <w:wordWrap w:val="0"/>
        <w:bidi w:val="0"/>
        <w:spacing w:line="440" w:lineRule="exact"/>
        <w:jc w:val="center"/>
        <w:rPr>
          <w:rFonts w:hint="default" w:ascii="Times New Roman" w:hAnsi="Times New Roman" w:cs="Times New Roman"/>
          <w:color w:val="auto"/>
          <w:sz w:val="28"/>
          <w:szCs w:val="28"/>
          <w:highlight w:val="none"/>
        </w:rPr>
      </w:pPr>
    </w:p>
    <w:p w14:paraId="6D7D423D">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问题澄清通知</w:t>
      </w:r>
    </w:p>
    <w:p w14:paraId="002D5E90">
      <w:pPr>
        <w:pageBreakBefore w:val="0"/>
        <w:kinsoku/>
        <w:wordWrap w:val="0"/>
        <w:bidi w:val="0"/>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（编号：</w:t>
      </w:r>
      <w:r>
        <w:rPr>
          <w:rFonts w:hint="default" w:ascii="Times New Roman" w:hAnsi="Times New Roman" w:eastAsia="黑体" w:cs="Times New Roman"/>
          <w:color w:val="auto"/>
          <w:sz w:val="28"/>
          <w:highlight w:val="none"/>
          <w:u w:val="single"/>
        </w:rPr>
        <w:t xml:space="preserve">               </w:t>
      </w:r>
      <w:r>
        <w:rPr>
          <w:rFonts w:hint="default" w:ascii="Times New Roman" w:hAnsi="Times New Roman" w:cs="Times New Roman"/>
          <w:color w:val="auto"/>
          <w:highlight w:val="none"/>
        </w:rPr>
        <w:t>）</w:t>
      </w:r>
    </w:p>
    <w:p w14:paraId="04C6E8C8">
      <w:pPr>
        <w:pageBreakBefore w:val="0"/>
        <w:kinsoku/>
        <w:wordWrap w:val="0"/>
        <w:bidi w:val="0"/>
        <w:spacing w:line="440" w:lineRule="exact"/>
        <w:rPr>
          <w:rFonts w:hint="default" w:ascii="Times New Roman" w:hAnsi="Times New Roman" w:cs="Times New Roman"/>
          <w:color w:val="auto"/>
          <w:sz w:val="24"/>
          <w:highlight w:val="none"/>
        </w:rPr>
      </w:pPr>
    </w:p>
    <w:p w14:paraId="21AD753A">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w:t>
      </w:r>
    </w:p>
    <w:p w14:paraId="484A9D1F">
      <w:pPr>
        <w:pageBreakBefore w:val="0"/>
        <w:kinsoku/>
        <w:wordWrap w:val="0"/>
        <w:bidi w:val="0"/>
        <w:spacing w:line="440" w:lineRule="exact"/>
        <w:rPr>
          <w:rFonts w:hint="default" w:ascii="Times New Roman" w:hAnsi="Times New Roman" w:cs="Times New Roman"/>
          <w:color w:val="auto"/>
          <w:sz w:val="24"/>
          <w:highlight w:val="none"/>
        </w:rPr>
      </w:pPr>
    </w:p>
    <w:p w14:paraId="216A130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标段施工招标的评标委员会，对你方的投标文件进行了仔细的审查，现需你方对下列问题以书面形式予以澄清或说明：</w:t>
      </w:r>
    </w:p>
    <w:p w14:paraId="72EF233C">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2880E709">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1.</w:t>
      </w:r>
    </w:p>
    <w:p w14:paraId="5747B02C">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2.</w:t>
      </w:r>
    </w:p>
    <w:p w14:paraId="2AFB3F2B">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   </w:t>
      </w:r>
    </w:p>
    <w:p w14:paraId="3F00AB2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7B3CBFF0">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请将上述问题的澄清或说明于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时</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分前通过</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电子交易平台</w:t>
      </w:r>
      <w:r>
        <w:rPr>
          <w:rFonts w:hint="eastAsia" w:ascii="宋体" w:hAnsi="宋体" w:eastAsia="宋体" w:cs="宋体"/>
          <w:color w:val="auto"/>
          <w:sz w:val="24"/>
          <w:highlight w:val="none"/>
          <w:lang w:eastAsia="zh-CN"/>
        </w:rPr>
        <w:t>”</w:t>
      </w:r>
      <w:r>
        <w:rPr>
          <w:rFonts w:hint="default" w:ascii="Times New Roman" w:hAnsi="Times New Roman" w:cs="Times New Roman"/>
          <w:color w:val="auto"/>
          <w:sz w:val="24"/>
          <w:highlight w:val="none"/>
        </w:rPr>
        <w:t>上传。</w:t>
      </w:r>
    </w:p>
    <w:p w14:paraId="21E9E83E">
      <w:pPr>
        <w:pageBreakBefore w:val="0"/>
        <w:kinsoku/>
        <w:wordWrap w:val="0"/>
        <w:bidi w:val="0"/>
        <w:spacing w:line="440" w:lineRule="exact"/>
        <w:rPr>
          <w:rFonts w:hint="default" w:ascii="Times New Roman" w:hAnsi="Times New Roman" w:cs="Times New Roman"/>
          <w:color w:val="auto"/>
          <w:sz w:val="24"/>
          <w:highlight w:val="none"/>
        </w:rPr>
      </w:pPr>
    </w:p>
    <w:p w14:paraId="6CCEC6E2">
      <w:pPr>
        <w:pageBreakBefore w:val="0"/>
        <w:kinsoku/>
        <w:wordWrap w:val="0"/>
        <w:bidi w:val="0"/>
        <w:spacing w:line="440" w:lineRule="exact"/>
        <w:rPr>
          <w:rFonts w:hint="default" w:ascii="Times New Roman" w:hAnsi="Times New Roman" w:cs="Times New Roman"/>
          <w:color w:val="auto"/>
          <w:sz w:val="24"/>
          <w:highlight w:val="none"/>
        </w:rPr>
      </w:pPr>
    </w:p>
    <w:p w14:paraId="626A9BCD">
      <w:pPr>
        <w:pageBreakBefore w:val="0"/>
        <w:kinsoku/>
        <w:wordWrap w:val="0"/>
        <w:bidi w:val="0"/>
        <w:spacing w:line="440" w:lineRule="exact"/>
        <w:jc w:val="righ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评标委员会授权的招标人或招标代理机构：</w:t>
      </w:r>
      <w:r>
        <w:rPr>
          <w:rFonts w:hint="default" w:ascii="Times New Roman" w:hAnsi="Times New Roman" w:eastAsia="黑体" w:cs="Times New Roman"/>
          <w:color w:val="auto"/>
          <w:sz w:val="24"/>
          <w:highlight w:val="none"/>
          <w:u w:val="single"/>
        </w:rPr>
        <w:t xml:space="preserve">        </w:t>
      </w:r>
      <w:r>
        <w:rPr>
          <w:rFonts w:hint="default" w:ascii="Times New Roman" w:hAnsi="Times New Roman" w:cs="Times New Roman"/>
          <w:color w:val="auto"/>
          <w:sz w:val="24"/>
          <w:highlight w:val="none"/>
        </w:rPr>
        <w:t>（签字或盖单位章）</w:t>
      </w:r>
    </w:p>
    <w:p w14:paraId="6CF7660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86B224E">
      <w:pPr>
        <w:pageBreakBefore w:val="0"/>
        <w:kinsoku/>
        <w:wordWrap w:val="0"/>
        <w:bidi w:val="0"/>
        <w:spacing w:line="440" w:lineRule="exact"/>
        <w:ind w:right="48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F6BF8C8">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4"/>
          <w:highlight w:val="none"/>
        </w:rPr>
        <w:br w:type="page"/>
      </w:r>
      <w:bookmarkStart w:id="349" w:name="_Toc6756"/>
      <w:bookmarkStart w:id="350" w:name="_Toc10752"/>
      <w:bookmarkStart w:id="351" w:name="_Toc234832927"/>
      <w:bookmarkStart w:id="352" w:name="_Toc11792"/>
      <w:bookmarkStart w:id="353" w:name="_Toc23171"/>
      <w:bookmarkStart w:id="354" w:name="_Toc10765"/>
      <w:bookmarkStart w:id="355" w:name="_Toc15693"/>
      <w:bookmarkStart w:id="356" w:name="_Toc234832928"/>
      <w:r>
        <w:rPr>
          <w:rFonts w:hint="default" w:ascii="黑体" w:hAnsi="黑体" w:eastAsia="黑体" w:cs="黑体"/>
          <w:b w:val="0"/>
          <w:bCs/>
          <w:i w:val="0"/>
          <w:iCs w:val="0"/>
          <w:color w:val="auto"/>
          <w:sz w:val="28"/>
          <w:szCs w:val="28"/>
          <w:highlight w:val="none"/>
          <w:lang w:val="en-US" w:eastAsia="zh-CN"/>
        </w:rPr>
        <w:t>附件三 问题的澄清</w:t>
      </w:r>
      <w:bookmarkEnd w:id="349"/>
      <w:bookmarkEnd w:id="350"/>
      <w:bookmarkEnd w:id="351"/>
      <w:bookmarkEnd w:id="352"/>
      <w:bookmarkEnd w:id="353"/>
    </w:p>
    <w:p w14:paraId="0AAC2373">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问题的澄清</w:t>
      </w:r>
    </w:p>
    <w:p w14:paraId="11D5C19D">
      <w:pPr>
        <w:pageBreakBefore w:val="0"/>
        <w:kinsoku/>
        <w:wordWrap w:val="0"/>
        <w:bidi w:val="0"/>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（编号：</w:t>
      </w:r>
      <w:r>
        <w:rPr>
          <w:rFonts w:hint="default" w:ascii="Times New Roman" w:hAnsi="Times New Roman" w:eastAsia="黑体" w:cs="Times New Roman"/>
          <w:color w:val="auto"/>
          <w:sz w:val="28"/>
          <w:highlight w:val="none"/>
          <w:u w:val="single"/>
        </w:rPr>
        <w:t xml:space="preserve">           </w:t>
      </w:r>
      <w:r>
        <w:rPr>
          <w:rFonts w:hint="default" w:ascii="Times New Roman" w:hAnsi="Times New Roman" w:cs="Times New Roman"/>
          <w:color w:val="auto"/>
          <w:highlight w:val="none"/>
        </w:rPr>
        <w:t>）</w:t>
      </w:r>
    </w:p>
    <w:p w14:paraId="052917E4">
      <w:pPr>
        <w:pageBreakBefore w:val="0"/>
        <w:kinsoku/>
        <w:wordWrap w:val="0"/>
        <w:bidi w:val="0"/>
        <w:spacing w:line="440" w:lineRule="exact"/>
        <w:rPr>
          <w:rFonts w:hint="default" w:ascii="Times New Roman" w:hAnsi="Times New Roman" w:cs="Times New Roman"/>
          <w:color w:val="auto"/>
          <w:sz w:val="24"/>
          <w:highlight w:val="none"/>
        </w:rPr>
      </w:pPr>
    </w:p>
    <w:p w14:paraId="451DE93F">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标段施工招标评标委员会：</w:t>
      </w:r>
    </w:p>
    <w:p w14:paraId="5AC72027">
      <w:pPr>
        <w:pageBreakBefore w:val="0"/>
        <w:kinsoku/>
        <w:wordWrap w:val="0"/>
        <w:bidi w:val="0"/>
        <w:spacing w:line="440" w:lineRule="exact"/>
        <w:rPr>
          <w:rFonts w:hint="default" w:ascii="Times New Roman" w:hAnsi="Times New Roman" w:cs="Times New Roman"/>
          <w:color w:val="auto"/>
          <w:sz w:val="24"/>
          <w:highlight w:val="none"/>
        </w:rPr>
      </w:pPr>
    </w:p>
    <w:p w14:paraId="3A6C8BE9">
      <w:pPr>
        <w:pageBreakBefore w:val="0"/>
        <w:kinsoku/>
        <w:wordWrap w:val="0"/>
        <w:bidi w:val="0"/>
        <w:spacing w:line="440" w:lineRule="exact"/>
        <w:rPr>
          <w:rFonts w:hint="default" w:ascii="Times New Roman" w:hAnsi="Times New Roman" w:cs="Times New Roman"/>
          <w:color w:val="auto"/>
          <w:sz w:val="24"/>
          <w:highlight w:val="none"/>
        </w:rPr>
      </w:pPr>
    </w:p>
    <w:p w14:paraId="766981F0">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问题澄清通知（编号：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）已收悉，现澄清、说明如下：</w:t>
      </w:r>
    </w:p>
    <w:p w14:paraId="4F44FCCD">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w:t>
      </w:r>
    </w:p>
    <w:p w14:paraId="1D173C04">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w:t>
      </w:r>
    </w:p>
    <w:p w14:paraId="1CBFF796">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04980A90">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6D54438E">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2F8F16EF">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7626BF15">
      <w:pPr>
        <w:pageBreakBefore w:val="0"/>
        <w:kinsoku/>
        <w:wordWrap w:val="0"/>
        <w:bidi w:val="0"/>
        <w:spacing w:line="440" w:lineRule="exact"/>
        <w:rPr>
          <w:rFonts w:hint="default" w:ascii="Times New Roman" w:hAnsi="Times New Roman" w:cs="Times New Roman"/>
          <w:color w:val="auto"/>
          <w:sz w:val="24"/>
          <w:highlight w:val="none"/>
        </w:rPr>
      </w:pPr>
    </w:p>
    <w:p w14:paraId="2E28CF1B">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上述问题澄清或说明，不改变我方投标文件的实质性内容，构成我方投标文件的组成部分。</w:t>
      </w:r>
    </w:p>
    <w:p w14:paraId="2141F805">
      <w:pPr>
        <w:pageBreakBefore w:val="0"/>
        <w:kinsoku/>
        <w:wordWrap w:val="0"/>
        <w:bidi w:val="0"/>
        <w:spacing w:line="440" w:lineRule="exact"/>
        <w:rPr>
          <w:rFonts w:hint="default" w:ascii="Times New Roman" w:hAnsi="Times New Roman" w:cs="Times New Roman"/>
          <w:color w:val="auto"/>
          <w:sz w:val="24"/>
          <w:highlight w:val="none"/>
        </w:rPr>
      </w:pPr>
    </w:p>
    <w:p w14:paraId="54F632CF">
      <w:pPr>
        <w:pageBreakBefore w:val="0"/>
        <w:kinsoku/>
        <w:wordWrap w:val="0"/>
        <w:bidi w:val="0"/>
        <w:spacing w:line="440" w:lineRule="exact"/>
        <w:rPr>
          <w:rFonts w:hint="default" w:ascii="Times New Roman" w:hAnsi="Times New Roman" w:cs="Times New Roman"/>
          <w:color w:val="auto"/>
          <w:sz w:val="24"/>
          <w:highlight w:val="none"/>
        </w:rPr>
      </w:pPr>
    </w:p>
    <w:p w14:paraId="79739AEE">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vertAlign w:val="superscript"/>
        </w:rPr>
        <w:footnoteReference w:id="24"/>
      </w:r>
    </w:p>
    <w:p w14:paraId="7C511A2F">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w:t>
      </w:r>
    </w:p>
    <w:p w14:paraId="135C46A2">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1B42DD0">
      <w:pPr>
        <w:pStyle w:val="5"/>
        <w:keepNext/>
        <w:keepLines/>
        <w:pageBreakBefore w:val="0"/>
        <w:widowControl w:val="0"/>
        <w:kinsoku/>
        <w:wordWrap w:val="0"/>
        <w:overflowPunct/>
        <w:topLinePunct w:val="0"/>
        <w:autoSpaceDE/>
        <w:autoSpaceDN/>
        <w:bidi w:val="0"/>
        <w:adjustRightInd/>
        <w:snapToGrid/>
        <w:spacing w:before="240" w:after="240" w:line="240" w:lineRule="atLeast"/>
        <w:jc w:val="both"/>
        <w:textAlignment w:val="auto"/>
        <w:outlineLvl w:val="2"/>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0"/>
          <w:szCs w:val="20"/>
          <w:highlight w:val="none"/>
        </w:rPr>
        <w:br w:type="page"/>
      </w:r>
      <w:bookmarkStart w:id="357" w:name="_Toc20484"/>
      <w:bookmarkStart w:id="358" w:name="_Toc5460"/>
      <w:r>
        <w:rPr>
          <w:rFonts w:hint="default" w:ascii="黑体" w:hAnsi="黑体" w:eastAsia="黑体" w:cs="黑体"/>
          <w:b w:val="0"/>
          <w:bCs/>
          <w:i w:val="0"/>
          <w:iCs w:val="0"/>
          <w:color w:val="auto"/>
          <w:sz w:val="28"/>
          <w:szCs w:val="28"/>
          <w:highlight w:val="none"/>
          <w:lang w:val="en-US" w:eastAsia="zh-CN"/>
        </w:rPr>
        <w:t>附件四</w:t>
      </w:r>
      <w:r>
        <w:rPr>
          <w:rFonts w:hint="eastAsia" w:ascii="黑体" w:hAnsi="黑体" w:eastAsia="黑体" w:cs="黑体"/>
          <w:b w:val="0"/>
          <w:bCs/>
          <w:i w:val="0"/>
          <w:iCs w:val="0"/>
          <w:color w:val="auto"/>
          <w:sz w:val="28"/>
          <w:szCs w:val="28"/>
          <w:highlight w:val="none"/>
          <w:lang w:val="en-US" w:eastAsia="zh-CN"/>
        </w:rPr>
        <w:t xml:space="preserve"> </w:t>
      </w:r>
      <w:r>
        <w:rPr>
          <w:rFonts w:hint="default" w:ascii="黑体" w:hAnsi="黑体" w:eastAsia="黑体" w:cs="黑体"/>
          <w:b w:val="0"/>
          <w:bCs/>
          <w:i w:val="0"/>
          <w:iCs w:val="0"/>
          <w:color w:val="auto"/>
          <w:sz w:val="28"/>
          <w:szCs w:val="28"/>
          <w:highlight w:val="none"/>
          <w:lang w:val="en-US" w:eastAsia="zh-CN"/>
        </w:rPr>
        <w:t>中标通知书</w:t>
      </w:r>
      <w:bookmarkEnd w:id="354"/>
      <w:bookmarkEnd w:id="355"/>
      <w:bookmarkEnd w:id="356"/>
      <w:bookmarkEnd w:id="357"/>
      <w:bookmarkEnd w:id="358"/>
    </w:p>
    <w:p w14:paraId="774D9AAD">
      <w:pPr>
        <w:pageBreakBefore w:val="0"/>
        <w:kinsoku/>
        <w:wordWrap w:val="0"/>
        <w:bidi w:val="0"/>
        <w:spacing w:line="440" w:lineRule="exact"/>
        <w:ind w:firstLine="3640" w:firstLineChars="1300"/>
        <w:rPr>
          <w:rFonts w:hint="default" w:ascii="Times New Roman" w:hAnsi="Times New Roman" w:eastAsia="黑体" w:cs="Times New Roman"/>
          <w:color w:val="auto"/>
          <w:sz w:val="28"/>
          <w:szCs w:val="28"/>
          <w:highlight w:val="none"/>
        </w:rPr>
      </w:pPr>
    </w:p>
    <w:p w14:paraId="4BA1BB56">
      <w:pPr>
        <w:pageBreakBefore w:val="0"/>
        <w:kinsoku/>
        <w:wordWrap w:val="0"/>
        <w:bidi w:val="0"/>
        <w:spacing w:line="600" w:lineRule="exact"/>
        <w:ind w:firstLine="0" w:firstLineChars="0"/>
        <w:rPr>
          <w:rFonts w:hint="default" w:ascii="Times New Roman" w:hAnsi="Times New Roman" w:cs="Times New Roman"/>
          <w:color w:val="auto"/>
          <w:sz w:val="24"/>
          <w:highlight w:val="none"/>
        </w:rPr>
      </w:pPr>
      <w:r>
        <w:rPr>
          <w:rFonts w:hint="eastAsia" w:ascii="宋体" w:hAnsi="宋体" w:eastAsia="宋体" w:cs="宋体"/>
          <w:color w:val="auto"/>
          <w:sz w:val="24"/>
          <w:szCs w:val="24"/>
          <w:highlight w:val="none"/>
          <w:u w:val="none"/>
          <w:lang w:val="en-US" w:eastAsia="zh-CN"/>
        </w:rPr>
        <w:t>以</w:t>
      </w:r>
      <w:r>
        <w:rPr>
          <w:rFonts w:hint="eastAsia" w:cs="Times New Roman"/>
          <w:color w:val="auto"/>
          <w:sz w:val="24"/>
          <w:szCs w:val="24"/>
          <w:highlight w:val="none"/>
          <w:u w:val="none"/>
          <w:lang w:val="en-US" w:eastAsia="zh-CN"/>
        </w:rPr>
        <w:t>辽宁省招标投标监管网</w:t>
      </w:r>
      <w:r>
        <w:rPr>
          <w:rFonts w:hint="default" w:cs="Times New Roman"/>
          <w:color w:val="auto"/>
          <w:sz w:val="24"/>
          <w:szCs w:val="24"/>
          <w:highlight w:val="none"/>
          <w:u w:val="none"/>
          <w:lang w:val="en-US" w:eastAsia="zh-CN"/>
        </w:rPr>
        <w:t>生成格式为准</w:t>
      </w:r>
      <w:r>
        <w:rPr>
          <w:rFonts w:hint="eastAsia" w:cs="Times New Roman"/>
          <w:color w:val="auto"/>
          <w:sz w:val="24"/>
          <w:szCs w:val="24"/>
          <w:highlight w:val="none"/>
          <w:u w:val="none"/>
          <w:lang w:val="en-US" w:eastAsia="zh-CN"/>
        </w:rPr>
        <w:t>（如有）</w:t>
      </w:r>
      <w:r>
        <w:rPr>
          <w:rFonts w:hint="default" w:cs="Times New Roman"/>
          <w:color w:val="auto"/>
          <w:sz w:val="24"/>
          <w:szCs w:val="24"/>
          <w:highlight w:val="none"/>
          <w:u w:val="none"/>
          <w:lang w:val="en-US" w:eastAsia="zh-CN"/>
        </w:rPr>
        <w:t>。</w:t>
      </w:r>
    </w:p>
    <w:p w14:paraId="0C674B26">
      <w:pPr>
        <w:pageBreakBefore w:val="0"/>
        <w:kinsoku/>
        <w:wordWrap w:val="0"/>
        <w:bidi w:val="0"/>
        <w:spacing w:line="440" w:lineRule="exact"/>
        <w:rPr>
          <w:rFonts w:hint="default" w:ascii="Times New Roman" w:hAnsi="Times New Roman" w:eastAsia="黑体" w:cs="Times New Roman"/>
          <w:color w:val="auto"/>
          <w:sz w:val="24"/>
          <w:highlight w:val="none"/>
        </w:rPr>
      </w:pPr>
    </w:p>
    <w:p w14:paraId="23209AFD">
      <w:pPr>
        <w:pageBreakBefore w:val="0"/>
        <w:kinsoku/>
        <w:wordWrap w:val="0"/>
        <w:bidi w:val="0"/>
        <w:spacing w:line="440" w:lineRule="exact"/>
        <w:rPr>
          <w:rFonts w:hint="default" w:ascii="Times New Roman" w:hAnsi="Times New Roman" w:cs="Times New Roman"/>
          <w:color w:val="auto"/>
          <w:sz w:val="20"/>
          <w:szCs w:val="20"/>
          <w:highlight w:val="none"/>
        </w:rPr>
      </w:pPr>
    </w:p>
    <w:p w14:paraId="27CB33D9">
      <w:pPr>
        <w:pageBreakBefore w:val="0"/>
        <w:kinsoku/>
        <w:wordWrap w:val="0"/>
        <w:bidi w:val="0"/>
        <w:spacing w:line="440" w:lineRule="exact"/>
        <w:rPr>
          <w:rFonts w:hint="default" w:ascii="Times New Roman" w:hAnsi="Times New Roman" w:cs="Times New Roman"/>
          <w:color w:val="auto"/>
          <w:sz w:val="20"/>
          <w:szCs w:val="20"/>
          <w:highlight w:val="none"/>
        </w:rPr>
      </w:pPr>
    </w:p>
    <w:p w14:paraId="3B4FE281">
      <w:pPr>
        <w:pageBreakBefore w:val="0"/>
        <w:kinsoku/>
        <w:wordWrap w:val="0"/>
        <w:bidi w:val="0"/>
        <w:spacing w:line="440" w:lineRule="exact"/>
        <w:rPr>
          <w:rFonts w:hint="default" w:ascii="Times New Roman" w:hAnsi="Times New Roman" w:cs="Times New Roman"/>
          <w:color w:val="auto"/>
          <w:sz w:val="20"/>
          <w:szCs w:val="20"/>
          <w:highlight w:val="none"/>
        </w:rPr>
      </w:pPr>
    </w:p>
    <w:p w14:paraId="0B6F8760">
      <w:pPr>
        <w:pageBreakBefore w:val="0"/>
        <w:kinsoku/>
        <w:wordWrap w:val="0"/>
        <w:bidi w:val="0"/>
        <w:spacing w:line="440" w:lineRule="exact"/>
        <w:rPr>
          <w:rFonts w:hint="default" w:ascii="Times New Roman" w:hAnsi="Times New Roman" w:cs="Times New Roman"/>
          <w:color w:val="auto"/>
          <w:sz w:val="20"/>
          <w:szCs w:val="20"/>
          <w:highlight w:val="none"/>
        </w:rPr>
      </w:pPr>
    </w:p>
    <w:p w14:paraId="172F304A">
      <w:pPr>
        <w:pageBreakBefore w:val="0"/>
        <w:kinsoku/>
        <w:wordWrap w:val="0"/>
        <w:bidi w:val="0"/>
        <w:spacing w:line="440" w:lineRule="exact"/>
        <w:rPr>
          <w:rFonts w:hint="default" w:ascii="Times New Roman" w:hAnsi="Times New Roman" w:cs="Times New Roman"/>
          <w:color w:val="auto"/>
          <w:sz w:val="20"/>
          <w:szCs w:val="20"/>
          <w:highlight w:val="none"/>
        </w:rPr>
      </w:pPr>
    </w:p>
    <w:p w14:paraId="57C73C54">
      <w:pPr>
        <w:pageBreakBefore w:val="0"/>
        <w:kinsoku/>
        <w:wordWrap w:val="0"/>
        <w:bidi w:val="0"/>
        <w:spacing w:line="440" w:lineRule="exact"/>
        <w:rPr>
          <w:rFonts w:hint="default" w:ascii="Times New Roman" w:hAnsi="Times New Roman" w:cs="Times New Roman"/>
          <w:color w:val="auto"/>
          <w:sz w:val="20"/>
          <w:szCs w:val="20"/>
          <w:highlight w:val="none"/>
        </w:rPr>
      </w:pPr>
    </w:p>
    <w:p w14:paraId="14874330">
      <w:pPr>
        <w:pageBreakBefore w:val="0"/>
        <w:kinsoku/>
        <w:wordWrap w:val="0"/>
        <w:bidi w:val="0"/>
        <w:spacing w:line="440" w:lineRule="exact"/>
        <w:rPr>
          <w:rFonts w:hint="default" w:ascii="Times New Roman" w:hAnsi="Times New Roman" w:cs="Times New Roman"/>
          <w:color w:val="auto"/>
          <w:sz w:val="20"/>
          <w:szCs w:val="20"/>
          <w:highlight w:val="none"/>
        </w:rPr>
      </w:pPr>
    </w:p>
    <w:p w14:paraId="1A5EFF28">
      <w:pPr>
        <w:pageBreakBefore w:val="0"/>
        <w:kinsoku/>
        <w:wordWrap w:val="0"/>
        <w:bidi w:val="0"/>
        <w:spacing w:before="0" w:after="0" w:line="240" w:lineRule="atLeast"/>
        <w:rPr>
          <w:rFonts w:hint="default" w:ascii="Times New Roman" w:hAnsi="Times New Roman" w:eastAsia="黑体" w:cs="Times New Roman"/>
          <w:b w:val="0"/>
          <w:color w:val="auto"/>
          <w:sz w:val="24"/>
          <w:szCs w:val="24"/>
          <w:highlight w:val="none"/>
        </w:rPr>
      </w:pPr>
      <w:bookmarkStart w:id="359" w:name="_Toc234832929"/>
      <w:r>
        <w:rPr>
          <w:rFonts w:hint="default" w:ascii="Times New Roman" w:hAnsi="Times New Roman" w:eastAsia="黑体" w:cs="Times New Roman"/>
          <w:b w:val="0"/>
          <w:color w:val="auto"/>
          <w:sz w:val="24"/>
          <w:szCs w:val="24"/>
          <w:highlight w:val="none"/>
        </w:rPr>
        <w:br w:type="page"/>
      </w:r>
    </w:p>
    <w:bookmarkEnd w:id="359"/>
    <w:p w14:paraId="5671389B">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41302D71">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3B41DCA0">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2704DE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06523F3">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1E46367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DB641B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73926E4D">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2A543666">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5BBCA9FC">
      <w:pPr>
        <w:pageBreakBefore w:val="0"/>
        <w:kinsoku/>
        <w:wordWrap w:val="0"/>
        <w:topLinePunct/>
        <w:bidi w:val="0"/>
        <w:spacing w:line="440" w:lineRule="exact"/>
        <w:ind w:right="31" w:rightChars="15"/>
        <w:jc w:val="center"/>
        <w:rPr>
          <w:rFonts w:hint="default" w:ascii="Times New Roman" w:hAnsi="Times New Roman" w:eastAsia="黑体" w:cs="Times New Roman"/>
          <w:color w:val="auto"/>
          <w:sz w:val="32"/>
          <w:szCs w:val="32"/>
          <w:highlight w:val="none"/>
        </w:rPr>
      </w:pPr>
    </w:p>
    <w:p w14:paraId="325B1AF3">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36"/>
          <w:szCs w:val="36"/>
          <w:highlight w:val="none"/>
        </w:rPr>
        <w:sectPr>
          <w:headerReference r:id="rId23" w:type="default"/>
          <w:footerReference r:id="rId25" w:type="default"/>
          <w:headerReference r:id="rId24" w:type="even"/>
          <w:footerReference r:id="rId26"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360" w:name="_Toc29562"/>
      <w:bookmarkStart w:id="361" w:name="_Toc10943"/>
      <w:r>
        <w:rPr>
          <w:rFonts w:hint="default" w:ascii="Times New Roman" w:hAnsi="Times New Roman" w:eastAsia="黑体" w:cs="Times New Roman"/>
          <w:color w:val="auto"/>
          <w:sz w:val="56"/>
          <w:szCs w:val="56"/>
          <w:highlight w:val="none"/>
        </w:rPr>
        <w:t>第三章</w:t>
      </w:r>
      <w:r>
        <w:rPr>
          <w:rFonts w:hint="eastAsia"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评标办法</w:t>
      </w:r>
      <w:bookmarkEnd w:id="360"/>
      <w:bookmarkEnd w:id="361"/>
    </w:p>
    <w:p w14:paraId="500C3D81">
      <w:pPr>
        <w:spacing w:line="400" w:lineRule="atLeast"/>
        <w:rPr>
          <w:rFonts w:hint="default" w:ascii="Times New Roman" w:hAnsi="Times New Roman" w:eastAsia="宋体" w:cs="Times New Roman"/>
          <w:color w:val="auto"/>
          <w:sz w:val="24"/>
          <w:highlight w:val="none"/>
        </w:rPr>
      </w:pPr>
      <w:bookmarkStart w:id="362" w:name="_Toc234832931"/>
    </w:p>
    <w:p w14:paraId="27E7FD13">
      <w:pPr>
        <w:pageBreakBefore w:val="0"/>
        <w:kinsoku/>
        <w:wordWrap w:val="0"/>
        <w:bidi w:val="0"/>
        <w:spacing w:before="0" w:after="120" w:afterLines="50" w:line="240" w:lineRule="atLeast"/>
        <w:jc w:val="center"/>
        <w:outlineLvl w:val="9"/>
        <w:rPr>
          <w:rFonts w:hint="default" w:ascii="Times New Roman" w:hAnsi="Times New Roman" w:eastAsia="黑体" w:cs="Times New Roman"/>
          <w:b w:val="0"/>
          <w:color w:val="auto"/>
          <w:sz w:val="42"/>
          <w:szCs w:val="42"/>
          <w:highlight w:val="none"/>
        </w:rPr>
      </w:pPr>
      <w:bookmarkStart w:id="363" w:name="_Toc26505"/>
      <w:bookmarkStart w:id="364" w:name="_Toc14682"/>
      <w:r>
        <w:rPr>
          <w:rFonts w:hint="default" w:ascii="Times New Roman" w:hAnsi="Times New Roman" w:eastAsia="黑体" w:cs="Times New Roman"/>
          <w:b w:val="0"/>
          <w:color w:val="auto"/>
          <w:sz w:val="42"/>
          <w:szCs w:val="42"/>
          <w:highlight w:val="none"/>
        </w:rPr>
        <w:t>第三章评标办法（合理低价法）</w:t>
      </w:r>
      <w:r>
        <w:rPr>
          <w:rStyle w:val="48"/>
          <w:rFonts w:hint="default" w:ascii="Times New Roman" w:hAnsi="Times New Roman" w:eastAsia="黑体" w:cs="Times New Roman"/>
          <w:color w:val="auto"/>
          <w:sz w:val="42"/>
          <w:szCs w:val="42"/>
          <w:highlight w:val="none"/>
        </w:rPr>
        <w:footnoteReference w:id="25"/>
      </w:r>
      <w:bookmarkEnd w:id="362"/>
      <w:bookmarkEnd w:id="363"/>
      <w:bookmarkEnd w:id="364"/>
    </w:p>
    <w:p w14:paraId="2D2DF495">
      <w:pPr>
        <w:pageBreakBefore w:val="0"/>
        <w:kinsoku/>
        <w:wordWrap w:val="0"/>
        <w:bidi w:val="0"/>
        <w:spacing w:line="420" w:lineRule="atLeast"/>
        <w:rPr>
          <w:rFonts w:hint="default" w:ascii="Times New Roman" w:hAnsi="Times New Roman" w:eastAsia="黑体" w:cs="Times New Roman"/>
          <w:color w:val="auto"/>
          <w:sz w:val="20"/>
          <w:szCs w:val="20"/>
          <w:highlight w:val="none"/>
        </w:rPr>
      </w:pPr>
    </w:p>
    <w:p w14:paraId="07BBF582">
      <w:pPr>
        <w:pStyle w:val="5"/>
        <w:pageBreakBefore w:val="0"/>
        <w:kinsoku/>
        <w:wordWrap w:val="0"/>
        <w:bidi w:val="0"/>
        <w:spacing w:before="0" w:after="0" w:line="240" w:lineRule="atLeast"/>
        <w:jc w:val="both"/>
        <w:outlineLvl w:val="2"/>
        <w:rPr>
          <w:rFonts w:hint="default" w:ascii="Times New Roman" w:hAnsi="Times New Roman" w:eastAsia="黑体" w:cs="Times New Roman"/>
          <w:b w:val="0"/>
          <w:color w:val="auto"/>
          <w:sz w:val="28"/>
          <w:szCs w:val="28"/>
          <w:highlight w:val="none"/>
        </w:rPr>
      </w:pPr>
      <w:bookmarkStart w:id="365" w:name="_Toc15202"/>
      <w:bookmarkStart w:id="366" w:name="_Toc18214"/>
      <w:bookmarkStart w:id="367" w:name="_Toc17606"/>
      <w:bookmarkStart w:id="368" w:name="_Toc234832932"/>
      <w:bookmarkStart w:id="369" w:name="_Toc11316"/>
      <w:r>
        <w:rPr>
          <w:rFonts w:hint="default" w:ascii="Times New Roman" w:hAnsi="Times New Roman" w:eastAsia="黑体" w:cs="Times New Roman"/>
          <w:b w:val="0"/>
          <w:color w:val="auto"/>
          <w:sz w:val="24"/>
          <w:szCs w:val="24"/>
          <w:highlight w:val="none"/>
        </w:rPr>
        <w:t>评标办法前附表</w:t>
      </w:r>
      <w:r>
        <w:rPr>
          <w:rStyle w:val="48"/>
          <w:rFonts w:hint="default" w:ascii="Times New Roman" w:hAnsi="Times New Roman" w:cs="Times New Roman"/>
          <w:color w:val="auto"/>
          <w:sz w:val="28"/>
          <w:szCs w:val="28"/>
          <w:highlight w:val="none"/>
        </w:rPr>
        <w:footnoteReference w:id="26"/>
      </w:r>
      <w:bookmarkEnd w:id="365"/>
      <w:bookmarkEnd w:id="366"/>
      <w:bookmarkEnd w:id="367"/>
      <w:bookmarkEnd w:id="368"/>
      <w:bookmarkEnd w:id="369"/>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0C515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noWrap w:val="0"/>
            <w:vAlign w:val="center"/>
          </w:tcPr>
          <w:p w14:paraId="71820297">
            <w:pPr>
              <w:pageBreakBefore w:val="0"/>
              <w:kinsoku/>
              <w:wordWrap w:val="0"/>
              <w:bidi w:val="0"/>
              <w:spacing w:line="40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172B4E0D">
            <w:pPr>
              <w:pageBreakBefore w:val="0"/>
              <w:kinsoku/>
              <w:wordWrap w:val="0"/>
              <w:bidi w:val="0"/>
              <w:spacing w:line="40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评审因素与评审标准</w:t>
            </w:r>
          </w:p>
        </w:tc>
      </w:tr>
      <w:tr w14:paraId="4B80A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71FF52F2">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3A4EE452">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3C7A2C08">
            <w:pPr>
              <w:pageBreakBefore w:val="0"/>
              <w:kinsoku/>
              <w:wordWrap w:val="0"/>
              <w:bidi w:val="0"/>
              <w:spacing w:line="36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综合评分相等时，评标委员会依次按照以下优先顺序推荐中标候选人或确定中标人：</w:t>
            </w:r>
          </w:p>
          <w:p w14:paraId="3F5D4209">
            <w:pPr>
              <w:pageBreakBefore w:val="0"/>
              <w:kinsoku/>
              <w:wordWrap w:val="0"/>
              <w:bidi w:val="0"/>
              <w:spacing w:line="360" w:lineRule="atLeas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（1）评标价低的投标人优先；</w:t>
            </w:r>
          </w:p>
          <w:p w14:paraId="06EE7CD0">
            <w:pPr>
              <w:spacing w:before="154" w:line="369" w:lineRule="auto"/>
              <w:ind w:right="96" w:firstLine="210" w:firstLineChars="100"/>
              <w:rPr>
                <w:rFonts w:hint="default" w:ascii="Times New Roman" w:hAnsi="Times New Roman" w:cs="Times New Roman"/>
                <w:color w:val="auto"/>
                <w:szCs w:val="21"/>
                <w:highlight w:val="none"/>
              </w:rPr>
            </w:pPr>
            <w:r>
              <w:rPr>
                <w:rFonts w:hint="eastAsia" w:ascii="宋体" w:hAnsi="宋体" w:eastAsia="宋体" w:cs="宋体"/>
                <w:color w:val="auto"/>
                <w:szCs w:val="21"/>
                <w:highlight w:val="none"/>
              </w:rPr>
              <w:t>（2）被招标项目所在地省级交通运输主管部门评为较高信用等级的投标人优先</w:t>
            </w:r>
            <w:r>
              <w:rPr>
                <w:rFonts w:hint="eastAsia" w:ascii="宋体" w:hAnsi="宋体" w:eastAsia="宋体" w:cs="宋体"/>
                <w:color w:val="auto"/>
                <w:szCs w:val="21"/>
                <w:highlight w:val="none"/>
                <w:lang w:eastAsia="zh-CN"/>
              </w:rPr>
              <w:t>。</w:t>
            </w:r>
          </w:p>
        </w:tc>
      </w:tr>
      <w:tr w14:paraId="5BB24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0BD8DC1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2.1.1</w:t>
            </w:r>
          </w:p>
          <w:p w14:paraId="35682629">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3EABD90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38D6558A">
            <w:pPr>
              <w:pageBreakBefore w:val="0"/>
              <w:kinsoku/>
              <w:wordWrap w:val="0"/>
              <w:bidi w:val="0"/>
              <w:spacing w:line="360" w:lineRule="atLeast"/>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第一个信封（商务及技术文件）评审标准：</w:t>
            </w:r>
          </w:p>
          <w:p w14:paraId="3234522A">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14:paraId="378EAEBA">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a.投标函按招标文件规定填报了项目名称、标段号、补遗书编号（如有）、工期、工程质量要求及安全目标；</w:t>
            </w:r>
          </w:p>
          <w:p w14:paraId="62BD457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b.投标函附录的所有数据均符合招标文件规定；</w:t>
            </w:r>
          </w:p>
          <w:p w14:paraId="6CAE701C">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14:paraId="65FC3D93">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14:paraId="25E3D1DC">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）投标人按照招标文件的规定提供了投标保证金：</w:t>
            </w:r>
          </w:p>
          <w:p w14:paraId="210A23F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a.投标保证金金额符合招标文件规定的金额，且投标保证金有效期不少于投标有效期；</w:t>
            </w:r>
          </w:p>
          <w:p w14:paraId="1B4921B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b.若投标保证金采用现金或支票形式提交，投标人应在递交投标文件截止时间之前，将投标保证金由投标人的基本账户转入招标人指定账户；</w:t>
            </w:r>
          </w:p>
          <w:p w14:paraId="74606518">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c.若投标保证金采用银行保函形式提交，银行保函的格式、开具保函的银行均满足招标文件要求。</w:t>
            </w:r>
          </w:p>
          <w:p w14:paraId="753E3C5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d.若投标保证金采用电子保函形式提交，投标人应在投标文件中提供电子保函的原件扫描件、电子化保函验真渠道和从投标人基本账户支出的保函财务费用支付凭证。</w:t>
            </w:r>
          </w:p>
          <w:p w14:paraId="2836355C">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（4）投标人法定代表人授权委托代理人签署投标文件的，须提交授权委托书，且授权人和被授权人均在授权委托书上使用CA数字证书加盖个人电子印章或电子签名章。</w:t>
            </w:r>
          </w:p>
          <w:p w14:paraId="10B49899">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（5）投标人法定代表人亲自签署投标文件的，提供了法定代表人身份证明，且法定代表人在法定代表人身份证明上使用CA数字证书加盖个人电子印章或电子签名。</w:t>
            </w:r>
          </w:p>
          <w:p w14:paraId="5D566FE9">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（6）投标人以联合体形式投标时，联合体满足招标文件的要求：投标人按照招标文件提供的格式签订了联合体协议书，明确各方承担连带责任，并明确了联合体牵头人。</w:t>
            </w:r>
          </w:p>
          <w:p w14:paraId="54753C79">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（7）投标人如有分包计划，符合招标文件第二章“投标人须知”第1.11款规定，且按招标文件第九章“投标文件格式”的要求填写了“拟分包项目情况表”。</w:t>
            </w:r>
          </w:p>
          <w:p w14:paraId="459BD796">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（8）同一投标人未提交两个以上不同的投标文件，但招标文件要求提交备选投标的除外。</w:t>
            </w:r>
          </w:p>
          <w:p w14:paraId="18BE6446">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（9）投标文件中未出现有关投标报价的内容。</w:t>
            </w:r>
          </w:p>
          <w:p w14:paraId="312B1918">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（10）投标文件载明的招标项目完成期限未超过招标文件规定的时限。</w:t>
            </w:r>
          </w:p>
          <w:p w14:paraId="68F19F00">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（11）投标文件对招标文件的实质性要求和条件作出响应。</w:t>
            </w:r>
          </w:p>
          <w:p w14:paraId="33F1A070">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（12）权利义务符合招标文件规定：</w:t>
            </w:r>
          </w:p>
          <w:p w14:paraId="405C0CE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a.投标人应接受招标文件规定的风险划分原则，未提出新的风险划分办法；</w:t>
            </w:r>
          </w:p>
          <w:p w14:paraId="5386581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b.投标人未增加发包人的责任范围，或减少投标人义务；</w:t>
            </w:r>
          </w:p>
          <w:p w14:paraId="4F916527">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c.投标人未提出不同的工程验收、计量、支付办法；</w:t>
            </w:r>
          </w:p>
          <w:p w14:paraId="5649F30F">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d.投标人对合同纠纷、事故处理办法未提出异议；</w:t>
            </w:r>
          </w:p>
          <w:p w14:paraId="09762523">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e.投标人在投标活动中无欺诈行为；</w:t>
            </w:r>
          </w:p>
          <w:p w14:paraId="289FA3E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f.投标人未对合同条款有重要保留。</w:t>
            </w:r>
          </w:p>
          <w:p w14:paraId="74AE666E">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）投标人上传投标文件的标段数量满足第一章“招标公告”第3.3款规定，投标函上填写的标段号与上传的对应项目标段号一致。</w:t>
            </w:r>
          </w:p>
          <w:p w14:paraId="4B47805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（14）未发现投标人与其他投标人存在使用同一不可篡改的唯一标识软硬件设备投标的（如：MAC地址、标书制作特征码、标书唯一特征码等）。</w:t>
            </w:r>
          </w:p>
          <w:p w14:paraId="045C9735">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p>
          <w:p w14:paraId="2D78C93B">
            <w:pPr>
              <w:pageBreakBefore w:val="0"/>
              <w:kinsoku/>
              <w:wordWrap w:val="0"/>
              <w:bidi w:val="0"/>
              <w:spacing w:line="360" w:lineRule="atLeast"/>
              <w:ind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第二个信封（报价文件）评审标准：</w:t>
            </w:r>
          </w:p>
          <w:p w14:paraId="28F88B4A">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14:paraId="27362168">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a.投标函按招标文件规定填报了项目名称、标段号、补遗书编号（如有）、投标价（包括大写金额和小写金额）；</w:t>
            </w:r>
          </w:p>
          <w:p w14:paraId="144966EC">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b.已标价工程量清单说明文字与招标文件规定一致，未进行实质性修改和删减；</w:t>
            </w:r>
          </w:p>
          <w:p w14:paraId="36DE1AA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14:paraId="4840C857">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14:paraId="45E5BD9F">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（3）投标报价或调价函中的报价未超过招标文件设定的最高投标限价（如有）。</w:t>
            </w:r>
          </w:p>
          <w:p w14:paraId="15FAFD6C">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（4）投标报价或调价函中报价的大写金额能够确定具体数值。</w:t>
            </w:r>
          </w:p>
          <w:p w14:paraId="26E9E763">
            <w:pPr>
              <w:pageBreakBefore w:val="0"/>
              <w:shd w:val="clear"/>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（5）同一投标人未提交两个以上不同的投标报价，但招标文件要求提交备选投标的除外。</w:t>
            </w:r>
          </w:p>
          <w:p w14:paraId="2542F162">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（6）投标人若填写</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，填写完毕的</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未对</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电子文件中的数据、格式和运算定义进行修改；</w:t>
            </w:r>
            <w:r>
              <w:rPr>
                <w:rFonts w:hint="eastAsia" w:cs="Times New Roman"/>
                <w:color w:val="auto"/>
                <w:szCs w:val="21"/>
                <w:highlight w:val="none"/>
                <w:lang w:eastAsia="zh-CN"/>
              </w:rPr>
              <w:t>工程量清单</w:t>
            </w:r>
            <w:r>
              <w:rPr>
                <w:rFonts w:hint="default" w:ascii="Times New Roman" w:hAnsi="Times New Roman" w:cs="Times New Roman"/>
                <w:color w:val="auto"/>
                <w:szCs w:val="21"/>
                <w:highlight w:val="none"/>
              </w:rPr>
              <w:t>中的投标报价和投标函大写金额报价一致。</w:t>
            </w:r>
          </w:p>
          <w:p w14:paraId="5C6F9DB2">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7</w:t>
            </w:r>
            <w:r>
              <w:rPr>
                <w:rFonts w:hint="default" w:ascii="Times New Roman" w:hAnsi="Times New Roman" w:cs="Times New Roman"/>
                <w:color w:val="auto"/>
                <w:szCs w:val="21"/>
                <w:highlight w:val="none"/>
              </w:rPr>
              <w:t>）未发现投标人与其他投标人存在使用同一不可篡改的唯一标识软硬件设备投标的（如：MAC地址、标书制作特征码、标书唯一特征码等）。</w:t>
            </w:r>
          </w:p>
        </w:tc>
      </w:tr>
      <w:tr w14:paraId="4246C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17961BAE">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2.1.2</w:t>
            </w:r>
          </w:p>
        </w:tc>
        <w:tc>
          <w:tcPr>
            <w:tcW w:w="1136" w:type="dxa"/>
            <w:gridSpan w:val="2"/>
            <w:tcBorders>
              <w:top w:val="single" w:color="auto" w:sz="4" w:space="0"/>
              <w:right w:val="single" w:color="auto" w:sz="4" w:space="0"/>
            </w:tcBorders>
            <w:noWrap w:val="0"/>
            <w:vAlign w:val="center"/>
          </w:tcPr>
          <w:p w14:paraId="49D53729">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4DCCA8D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（1）投标人的资质等级符合招标文件规定。</w:t>
            </w:r>
          </w:p>
          <w:p w14:paraId="64B12FE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）投标人的财务状况符合招标文件规定。</w:t>
            </w:r>
          </w:p>
          <w:p w14:paraId="0F678C5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）投标人的类似项目业绩符合招标文件规定。</w:t>
            </w:r>
          </w:p>
          <w:p w14:paraId="1F0EFBB1">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）投标人的信誉符合招标文件规定。</w:t>
            </w:r>
          </w:p>
          <w:p w14:paraId="3C699994">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）投标人的项目经理和项目总工资格、在岗情况符合招标文件规定。</w:t>
            </w:r>
          </w:p>
          <w:p w14:paraId="25CC1F0D">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）投标人的其他要求符合招标文件规定。</w:t>
            </w:r>
            <w:r>
              <w:rPr>
                <w:rFonts w:hint="default" w:ascii="Times New Roman" w:hAnsi="Times New Roman" w:cs="Times New Roman"/>
                <w:color w:val="auto"/>
                <w:szCs w:val="21"/>
                <w:highlight w:val="none"/>
                <w:vertAlign w:val="superscript"/>
              </w:rPr>
              <w:footnoteReference w:id="27"/>
            </w:r>
          </w:p>
          <w:p w14:paraId="2B719D41">
            <w:pPr>
              <w:pageBreakBefore w:val="0"/>
              <w:kinsoku/>
              <w:wordWrap w:val="0"/>
              <w:bidi w:val="0"/>
              <w:spacing w:line="360" w:lineRule="atLeast"/>
              <w:ind w:firstLine="420" w:firstLineChars="200"/>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）投标人不存在第二章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第1.4.3项或第1.4.4项规定的任何一种情形。</w:t>
            </w:r>
          </w:p>
          <w:p w14:paraId="46D5DFF2">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）投标人符合第二章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第1.4.5项规定。</w:t>
            </w:r>
            <w:r>
              <w:rPr>
                <w:rStyle w:val="48"/>
                <w:rFonts w:hint="default" w:ascii="Times New Roman" w:hAnsi="Times New Roman" w:cs="Times New Roman"/>
                <w:color w:val="auto"/>
                <w:highlight w:val="none"/>
              </w:rPr>
              <w:footnoteReference w:id="28"/>
            </w:r>
          </w:p>
          <w:p w14:paraId="35DBC77B">
            <w:pPr>
              <w:pageBreakBefore w:val="0"/>
              <w:kinsoku/>
              <w:wordWrap w:val="0"/>
              <w:bidi w:val="0"/>
              <w:spacing w:line="36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9</w:t>
            </w:r>
            <w:r>
              <w:rPr>
                <w:rFonts w:hint="default" w:ascii="Times New Roman" w:hAnsi="Times New Roman" w:cs="Times New Roman"/>
                <w:color w:val="auto"/>
                <w:szCs w:val="21"/>
                <w:highlight w:val="none"/>
              </w:rPr>
              <w:t>）以联合体形式参与投标的，联合体各方均未再以自己名义单独或参加其他联合体在同一标段中投标；独立参与投标的，投标人未同时参加联合体在同一标段中投标。</w:t>
            </w:r>
          </w:p>
        </w:tc>
      </w:tr>
      <w:tr w14:paraId="1CEFD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AA6509F">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890EF07">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7994F90E">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编列内容</w:t>
            </w:r>
          </w:p>
        </w:tc>
      </w:tr>
      <w:tr w14:paraId="5BBA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59E3485B">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CDC070A">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分值构成</w:t>
            </w:r>
          </w:p>
          <w:p w14:paraId="20A36BA6">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2B4DF90">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评标价：100分</w:t>
            </w:r>
          </w:p>
        </w:tc>
      </w:tr>
      <w:tr w14:paraId="7618D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3242207D">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334A8C00">
            <w:pPr>
              <w:pageBreakBefore w:val="0"/>
              <w:kinsoku/>
              <w:wordWrap w:val="0"/>
              <w:bidi w:val="0"/>
              <w:spacing w:line="360" w:lineRule="atLeast"/>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3193521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eastAsia" w:ascii="宋体" w:hAnsi="宋体" w:eastAsia="宋体" w:cs="宋体"/>
                <w:color w:val="auto"/>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w:t>
            </w:r>
            <w:r>
              <w:rPr>
                <w:rFonts w:hint="default" w:ascii="Times New Roman" w:hAnsi="Times New Roman" w:eastAsia="宋体" w:cs="Times New Roman"/>
                <w:color w:val="auto"/>
                <w:kern w:val="0"/>
                <w:szCs w:val="21"/>
                <w:highlight w:val="none"/>
                <w:lang w:bidi="ar"/>
              </w:rPr>
              <w:t>个评标期间保持不变，不随任何因素发生变化。</w:t>
            </w:r>
          </w:p>
          <w:p w14:paraId="00E3B86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计算差错，仅限于以下两种情况：1、纯算术性四则运算差错；2、未按约定的规则，多计或少计参加评标价平均值计算的评标价。</w:t>
            </w:r>
          </w:p>
          <w:p w14:paraId="5AECD11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本次招标设定3种评标价平均值（B）计算方法，在第二个信封（报价文件）开标现场，每个标段随机抽取其中1种作为该标段的评标价平均值计算方法。</w:t>
            </w:r>
          </w:p>
          <w:p w14:paraId="68292452">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
              </w:rPr>
              <w:t>一、评标价（A）</w:t>
            </w:r>
          </w:p>
          <w:p w14:paraId="3416424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Cs w:val="21"/>
                <w:highlight w:val="none"/>
                <w:lang w:bidi="ar"/>
              </w:rPr>
              <w:t>评标价=投标函的文字报价</w:t>
            </w:r>
          </w:p>
          <w:p w14:paraId="0C437CE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如果投标文件出现以下1～5任一情况，不参加评标价平均值的计算：</w:t>
            </w:r>
          </w:p>
          <w:p w14:paraId="0DF596D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1、未按要求在投标函上填写投标总价；</w:t>
            </w:r>
          </w:p>
          <w:p w14:paraId="5AEDFA3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2、投标报价超出招标人公布的最高投标限价，或低于招标人公布的最高投标限价的</w:t>
            </w:r>
            <w:r>
              <w:rPr>
                <w:rFonts w:hint="default" w:ascii="Times New Roman" w:hAnsi="Times New Roman" w:eastAsia="宋体" w:cs="Times New Roman"/>
                <w:color w:val="auto"/>
                <w:kern w:val="0"/>
                <w:szCs w:val="21"/>
                <w:highlight w:val="none"/>
                <w:u w:val="single"/>
                <w:lang w:bidi="ar"/>
              </w:rPr>
              <w:t xml:space="preserve">  </w:t>
            </w:r>
            <w:r>
              <w:rPr>
                <w:rFonts w:hint="default" w:ascii="Times New Roman" w:hAnsi="Times New Roman" w:eastAsia="宋体" w:cs="Times New Roman"/>
                <w:color w:val="auto"/>
                <w:kern w:val="0"/>
                <w:szCs w:val="21"/>
                <w:highlight w:val="none"/>
                <w:u w:val="single"/>
                <w:lang w:val="en-US" w:eastAsia="zh-CN" w:bidi="ar"/>
              </w:rPr>
              <w:t>90</w:t>
            </w:r>
            <w:r>
              <w:rPr>
                <w:rFonts w:hint="default" w:ascii="Times New Roman" w:hAnsi="Times New Roman" w:eastAsia="宋体" w:cs="Times New Roman"/>
                <w:color w:val="auto"/>
                <w:kern w:val="0"/>
                <w:szCs w:val="21"/>
                <w:highlight w:val="none"/>
                <w:u w:val="single"/>
                <w:lang w:bidi="ar"/>
              </w:rPr>
              <w:t xml:space="preserve">  </w:t>
            </w:r>
            <w:r>
              <w:rPr>
                <w:rFonts w:hint="default" w:ascii="Times New Roman" w:hAnsi="Times New Roman" w:eastAsia="宋体" w:cs="Times New Roman"/>
                <w:color w:val="auto"/>
                <w:kern w:val="0"/>
                <w:szCs w:val="21"/>
                <w:highlight w:val="none"/>
                <w:lang w:bidi="ar"/>
              </w:rPr>
              <w:t>%；</w:t>
            </w:r>
          </w:p>
          <w:p w14:paraId="0BA8689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3、无法确定投标报价具体数值；</w:t>
            </w:r>
          </w:p>
          <w:p w14:paraId="25684C2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4、投标函上填写的标段号与上传的对应项目标段号不一致（如分标段）；</w:t>
            </w:r>
          </w:p>
          <w:p w14:paraId="42CC4AB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5、投标函中的投标报价大写金额与投标文件工程量清单中的投标报价金额不一致。</w:t>
            </w:r>
          </w:p>
          <w:p w14:paraId="506250F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26E9D6C5">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二、评标价平均值（B）计算方法1</w:t>
            </w:r>
          </w:p>
          <w:p w14:paraId="2CE78AA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C为招标人设定的最高投标限价</w:t>
            </w:r>
            <w:r>
              <w:rPr>
                <w:rFonts w:hint="default" w:ascii="Times New Roman" w:hAnsi="Times New Roman" w:eastAsia="宋体" w:cs="Times New Roman"/>
                <w:color w:val="auto"/>
                <w:kern w:val="0"/>
                <w:szCs w:val="21"/>
                <w:highlight w:val="none"/>
                <w:lang w:eastAsia="zh-CN" w:bidi="ar"/>
              </w:rPr>
              <w:t>，</w:t>
            </w:r>
            <w:r>
              <w:rPr>
                <w:rFonts w:hint="default" w:ascii="Times New Roman" w:hAnsi="Times New Roman" w:eastAsia="宋体" w:cs="Times New Roman"/>
                <w:color w:val="auto"/>
                <w:kern w:val="0"/>
                <w:szCs w:val="21"/>
                <w:highlight w:val="none"/>
                <w:lang w:bidi="ar"/>
              </w:rPr>
              <w:t>如果所有评标价均低于</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%），则评标价平均值（B）直接为</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）。否则，按以下方式计算评标价平均值（B）：</w:t>
            </w:r>
          </w:p>
          <w:p w14:paraId="40F484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1、评标价初始平均值（B1）</w:t>
            </w:r>
          </w:p>
          <w:p w14:paraId="2DDEA48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所有参加评标价平均值计算的评标价的算术平均值为评标价初始平均值B1。</w:t>
            </w:r>
          </w:p>
          <w:p w14:paraId="1481AFF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评标价初始平均值（B1）保留七位小数，小数点后第八位“四舍五入”。</w:t>
            </w:r>
          </w:p>
          <w:p w14:paraId="29086F4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2、评标价区段平均值（B2）</w:t>
            </w:r>
          </w:p>
          <w:p w14:paraId="53F7FC6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根据下述区段计算评标价区段平均值（</w:t>
            </w:r>
            <w:r>
              <w:rPr>
                <w:rFonts w:hint="default" w:ascii="Times New Roman" w:hAnsi="Times New Roman" w:eastAsia="宋体" w:cs="Times New Roman"/>
                <w:color w:val="auto"/>
                <w:szCs w:val="21"/>
                <w:highlight w:val="none"/>
              </w:rPr>
              <w:t>B2.1、B2.2、……、B2.15、B2.16</w:t>
            </w:r>
            <w:r>
              <w:rPr>
                <w:rFonts w:hint="default" w:ascii="Times New Roman" w:hAnsi="Times New Roman" w:eastAsia="宋体" w:cs="Times New Roman"/>
                <w:color w:val="auto"/>
                <w:kern w:val="0"/>
                <w:szCs w:val="21"/>
                <w:highlight w:val="none"/>
                <w:lang w:bidi="ar"/>
              </w:rPr>
              <w:t>），各区段平均值为该区段内各评标价的算术平均值。如：B2.2为“1.03*B1（不含）～1.035*B1（含）”范围内的所有评标价的算术平均值。评标价区段平均值（B2）保留七位小数，小数点后第八位“四舍五入”。</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525"/>
            </w:tblGrid>
            <w:tr w14:paraId="6C27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51EF1F43">
                  <w:pPr>
                    <w:widowControl w:val="0"/>
                    <w:spacing w:line="360" w:lineRule="exact"/>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区段</w:t>
                  </w:r>
                </w:p>
              </w:tc>
              <w:tc>
                <w:tcPr>
                  <w:tcW w:w="1564" w:type="pct"/>
                  <w:vAlign w:val="center"/>
                </w:tcPr>
                <w:p w14:paraId="313EACB8">
                  <w:pPr>
                    <w:widowControl w:val="0"/>
                    <w:spacing w:line="360" w:lineRule="exact"/>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区段平均值（B2）</w:t>
                  </w:r>
                </w:p>
              </w:tc>
            </w:tr>
            <w:tr w14:paraId="1E9E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05D9A48A">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1.035*B1&lt;评标价</w:t>
                  </w:r>
                </w:p>
              </w:tc>
              <w:tc>
                <w:tcPr>
                  <w:tcW w:w="1564" w:type="pct"/>
                  <w:vAlign w:val="center"/>
                </w:tcPr>
                <w:p w14:paraId="4EABA966">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w:t>
                  </w:r>
                </w:p>
              </w:tc>
            </w:tr>
            <w:tr w14:paraId="6B2C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90315A3">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1.03*B1&lt;评标价≤1.035*B1</w:t>
                  </w:r>
                </w:p>
              </w:tc>
              <w:tc>
                <w:tcPr>
                  <w:tcW w:w="1564" w:type="pct"/>
                  <w:vAlign w:val="center"/>
                </w:tcPr>
                <w:p w14:paraId="74E45295">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B2.2</w:t>
                  </w:r>
                </w:p>
              </w:tc>
            </w:tr>
            <w:tr w14:paraId="35CD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36F7A883">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1.025*B1&lt;评标价≤1.03*B1</w:t>
                  </w:r>
                </w:p>
              </w:tc>
              <w:tc>
                <w:tcPr>
                  <w:tcW w:w="1564" w:type="pct"/>
                  <w:vAlign w:val="center"/>
                </w:tcPr>
                <w:p w14:paraId="11E2504A">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B2.3</w:t>
                  </w:r>
                </w:p>
              </w:tc>
            </w:tr>
            <w:tr w14:paraId="20D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67D04999">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1.02*B1&lt;评标价≤1.025*B1</w:t>
                  </w:r>
                </w:p>
              </w:tc>
              <w:tc>
                <w:tcPr>
                  <w:tcW w:w="1564" w:type="pct"/>
                  <w:vAlign w:val="center"/>
                </w:tcPr>
                <w:p w14:paraId="4F3D7A1E">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B2.4</w:t>
                  </w:r>
                </w:p>
              </w:tc>
            </w:tr>
            <w:tr w14:paraId="11FA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5CDDC951">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1.015*B1&lt;评标价≤1.02*B1</w:t>
                  </w:r>
                </w:p>
              </w:tc>
              <w:tc>
                <w:tcPr>
                  <w:tcW w:w="1564" w:type="pct"/>
                  <w:vAlign w:val="center"/>
                </w:tcPr>
                <w:p w14:paraId="1A095B67">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B2.5</w:t>
                  </w:r>
                </w:p>
              </w:tc>
            </w:tr>
            <w:tr w14:paraId="698A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4C2945EF">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1.01*B1&lt;评标价≤1.015*B1</w:t>
                  </w:r>
                </w:p>
              </w:tc>
              <w:tc>
                <w:tcPr>
                  <w:tcW w:w="1564" w:type="pct"/>
                  <w:vAlign w:val="center"/>
                </w:tcPr>
                <w:p w14:paraId="745673F6">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B2.6</w:t>
                  </w:r>
                </w:p>
              </w:tc>
            </w:tr>
            <w:tr w14:paraId="3116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75058B4">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1.005*B1&lt;评标价≤1.01*B1</w:t>
                  </w:r>
                </w:p>
              </w:tc>
              <w:tc>
                <w:tcPr>
                  <w:tcW w:w="1564" w:type="pct"/>
                  <w:vAlign w:val="center"/>
                </w:tcPr>
                <w:p w14:paraId="21B134DB">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B2.7</w:t>
                  </w:r>
                </w:p>
              </w:tc>
            </w:tr>
            <w:tr w14:paraId="6C4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42B0BC0D">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1.00*B1&lt;评标价≤1.005*B1</w:t>
                  </w:r>
                </w:p>
              </w:tc>
              <w:tc>
                <w:tcPr>
                  <w:tcW w:w="1564" w:type="pct"/>
                  <w:vAlign w:val="center"/>
                </w:tcPr>
                <w:p w14:paraId="19749E60">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B2.8</w:t>
                  </w:r>
                </w:p>
              </w:tc>
            </w:tr>
            <w:tr w14:paraId="579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0527F55D">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0.995*B1&lt;评标价≤1.00*B1</w:t>
                  </w:r>
                </w:p>
              </w:tc>
              <w:tc>
                <w:tcPr>
                  <w:tcW w:w="1564" w:type="pct"/>
                  <w:vAlign w:val="center"/>
                </w:tcPr>
                <w:p w14:paraId="3693E7BF">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B2.9</w:t>
                  </w:r>
                </w:p>
              </w:tc>
            </w:tr>
            <w:tr w14:paraId="2007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vAlign w:val="center"/>
                </w:tcPr>
                <w:p w14:paraId="68AE7646">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0.99*B1&lt;评标价≤0.995*B1</w:t>
                  </w:r>
                </w:p>
              </w:tc>
              <w:tc>
                <w:tcPr>
                  <w:tcW w:w="1564" w:type="pct"/>
                  <w:vAlign w:val="center"/>
                </w:tcPr>
                <w:p w14:paraId="425B8678">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B2.10</w:t>
                  </w:r>
                </w:p>
              </w:tc>
            </w:tr>
            <w:tr w14:paraId="4B09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73590F07">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0.985*B1&lt;评标价≤0.99*B1</w:t>
                  </w:r>
                </w:p>
              </w:tc>
              <w:tc>
                <w:tcPr>
                  <w:tcW w:w="1564" w:type="pct"/>
                  <w:vAlign w:val="center"/>
                </w:tcPr>
                <w:p w14:paraId="7D21B10E">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B2.11</w:t>
                  </w:r>
                </w:p>
              </w:tc>
            </w:tr>
            <w:tr w14:paraId="398B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49E0B69">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0.98*B1&lt;评标价≤0.985*B1</w:t>
                  </w:r>
                </w:p>
              </w:tc>
              <w:tc>
                <w:tcPr>
                  <w:tcW w:w="1564" w:type="pct"/>
                  <w:vAlign w:val="center"/>
                </w:tcPr>
                <w:p w14:paraId="58FF2046">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B2.12</w:t>
                  </w:r>
                </w:p>
              </w:tc>
            </w:tr>
            <w:tr w14:paraId="62DE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49D0BFF0">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0.975*B1&lt;评标价≤0.98*B1</w:t>
                  </w:r>
                </w:p>
              </w:tc>
              <w:tc>
                <w:tcPr>
                  <w:tcW w:w="1564" w:type="pct"/>
                  <w:vAlign w:val="center"/>
                </w:tcPr>
                <w:p w14:paraId="725BD2E2">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B2.13</w:t>
                  </w:r>
                </w:p>
              </w:tc>
            </w:tr>
            <w:tr w14:paraId="329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15DE5CF6">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0.97*B1&lt;评标价≤0.975*B1</w:t>
                  </w:r>
                </w:p>
              </w:tc>
              <w:tc>
                <w:tcPr>
                  <w:tcW w:w="1564" w:type="pct"/>
                  <w:vAlign w:val="center"/>
                </w:tcPr>
                <w:p w14:paraId="731A7111">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B2.14</w:t>
                  </w:r>
                </w:p>
              </w:tc>
            </w:tr>
            <w:tr w14:paraId="638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2E20BEF2">
                  <w:pPr>
                    <w:widowControl w:val="0"/>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0.965*B1≤评标价≤0.97*B1</w:t>
                  </w:r>
                </w:p>
              </w:tc>
              <w:tc>
                <w:tcPr>
                  <w:tcW w:w="1564" w:type="pct"/>
                  <w:vAlign w:val="center"/>
                </w:tcPr>
                <w:p w14:paraId="30DFF2B1">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B2.15</w:t>
                  </w:r>
                </w:p>
              </w:tc>
            </w:tr>
            <w:tr w14:paraId="7120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pct"/>
                </w:tcPr>
                <w:p w14:paraId="52DBD8EB">
                  <w:pPr>
                    <w:widowControl w:val="0"/>
                    <w:spacing w:line="360" w:lineRule="exact"/>
                    <w:ind w:firstLine="420" w:firstLineChars="200"/>
                    <w:jc w:val="left"/>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评标价&lt;0.965*B1</w:t>
                  </w:r>
                </w:p>
              </w:tc>
              <w:tc>
                <w:tcPr>
                  <w:tcW w:w="1564" w:type="pct"/>
                  <w:vAlign w:val="center"/>
                </w:tcPr>
                <w:p w14:paraId="3635109F">
                  <w:pPr>
                    <w:widowControl/>
                    <w:spacing w:line="360" w:lineRule="exact"/>
                    <w:ind w:firstLine="420" w:firstLineChars="20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B2.16</w:t>
                  </w:r>
                </w:p>
              </w:tc>
            </w:tr>
          </w:tbl>
          <w:p w14:paraId="67EE17C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3、评标价平均值（B）</w:t>
            </w:r>
          </w:p>
          <w:p w14:paraId="3EA2A4B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（1）按下列公式，将计算得出的区段平均值（</w:t>
            </w:r>
            <w:r>
              <w:rPr>
                <w:rFonts w:hint="default" w:ascii="Times New Roman" w:hAnsi="Times New Roman" w:eastAsia="宋体" w:cs="Times New Roman"/>
                <w:color w:val="auto"/>
                <w:szCs w:val="21"/>
                <w:highlight w:val="none"/>
              </w:rPr>
              <w:t>B2.1、B2.2、……、B2.15、B2.16</w:t>
            </w:r>
            <w:r>
              <w:rPr>
                <w:rFonts w:hint="default" w:ascii="Times New Roman" w:hAnsi="Times New Roman" w:eastAsia="宋体" w:cs="Times New Roman"/>
                <w:color w:val="auto"/>
                <w:kern w:val="0"/>
                <w:szCs w:val="21"/>
                <w:highlight w:val="none"/>
                <w:lang w:bidi="ar"/>
              </w:rPr>
              <w:t>）进行加权平均（B2.1和B2.16权重为0.1，B2.2和B2.15权重为0.3，B2.3和B2.14权重为0.5，其余权重为1.0），得出评标价平均值（B）。评标价平均值（B）保留七位小数，小数点后第八位“四舍五入”。</w:t>
            </w:r>
          </w:p>
          <w:p w14:paraId="5BFF9EC8">
            <w:pPr>
              <w:widowControl w:val="0"/>
              <w:wordWrap w:val="0"/>
              <w:spacing w:line="36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B=[0.1*</w:t>
            </w:r>
            <w:r>
              <w:rPr>
                <w:rFonts w:hint="default" w:ascii="Times New Roman" w:hAnsi="Times New Roman" w:eastAsia="宋体" w:cs="Times New Roman"/>
                <w:color w:val="auto"/>
                <w:kern w:val="2"/>
                <w:sz w:val="21"/>
                <w:szCs w:val="21"/>
                <w:highlight w:val="none"/>
                <w:lang w:val="en-US" w:eastAsia="zh-CN" w:bidi="ar-SA"/>
              </w:rPr>
              <w:t>B2.1</w:t>
            </w:r>
            <w:r>
              <w:rPr>
                <w:rFonts w:hint="default" w:ascii="Times New Roman" w:hAnsi="Times New Roman" w:eastAsia="宋体" w:cs="Times New Roman"/>
                <w:color w:val="auto"/>
                <w:kern w:val="0"/>
                <w:sz w:val="21"/>
                <w:szCs w:val="21"/>
                <w:highlight w:val="none"/>
                <w:lang w:val="en-US" w:eastAsia="zh-CN" w:bidi="ar"/>
              </w:rPr>
              <w:t>+0.3*</w:t>
            </w:r>
            <w:r>
              <w:rPr>
                <w:rFonts w:hint="default" w:ascii="Times New Roman" w:hAnsi="Times New Roman" w:eastAsia="宋体" w:cs="Times New Roman"/>
                <w:color w:val="auto"/>
                <w:kern w:val="2"/>
                <w:sz w:val="21"/>
                <w:szCs w:val="21"/>
                <w:highlight w:val="none"/>
                <w:lang w:val="en-US" w:eastAsia="zh-CN" w:bidi="ar-SA"/>
              </w:rPr>
              <w:t>B2.2</w:t>
            </w:r>
            <w:r>
              <w:rPr>
                <w:rFonts w:hint="default" w:ascii="Times New Roman" w:hAnsi="Times New Roman" w:eastAsia="宋体" w:cs="Times New Roman"/>
                <w:color w:val="auto"/>
                <w:kern w:val="0"/>
                <w:sz w:val="21"/>
                <w:szCs w:val="21"/>
                <w:highlight w:val="none"/>
                <w:lang w:val="en-US" w:eastAsia="zh-CN" w:bidi="ar"/>
              </w:rPr>
              <w:t>+0.5*</w:t>
            </w:r>
            <w:r>
              <w:rPr>
                <w:rFonts w:hint="default" w:ascii="Times New Roman" w:hAnsi="Times New Roman" w:eastAsia="宋体" w:cs="Times New Roman"/>
                <w:color w:val="auto"/>
                <w:kern w:val="2"/>
                <w:sz w:val="21"/>
                <w:szCs w:val="21"/>
                <w:highlight w:val="none"/>
                <w:lang w:val="en-US" w:eastAsia="zh-CN" w:bidi="ar-SA"/>
              </w:rPr>
              <w:t>B2.3</w:t>
            </w:r>
            <w:r>
              <w:rPr>
                <w:rFonts w:hint="default" w:ascii="Times New Roman" w:hAnsi="Times New Roman" w:eastAsia="宋体" w:cs="Times New Roman"/>
                <w:color w:val="auto"/>
                <w:kern w:val="0"/>
                <w:sz w:val="21"/>
                <w:szCs w:val="21"/>
                <w:highlight w:val="none"/>
                <w:lang w:val="en-US" w:eastAsia="zh-CN" w:bidi="ar"/>
              </w:rPr>
              <w:t>+1.0*（</w:t>
            </w:r>
            <w:r>
              <w:rPr>
                <w:rFonts w:hint="default" w:ascii="Times New Roman" w:hAnsi="Times New Roman" w:eastAsia="宋体" w:cs="Times New Roman"/>
                <w:color w:val="auto"/>
                <w:kern w:val="2"/>
                <w:sz w:val="21"/>
                <w:szCs w:val="21"/>
                <w:highlight w:val="none"/>
                <w:lang w:val="en-US" w:eastAsia="zh-CN" w:bidi="ar-SA"/>
              </w:rPr>
              <w:t>B2.4+B2.5+……+B2.12+B2.13</w:t>
            </w:r>
            <w:r>
              <w:rPr>
                <w:rFonts w:hint="default" w:ascii="Times New Roman" w:hAnsi="Times New Roman" w:eastAsia="宋体" w:cs="Times New Roman"/>
                <w:color w:val="auto"/>
                <w:kern w:val="0"/>
                <w:sz w:val="21"/>
                <w:szCs w:val="21"/>
                <w:highlight w:val="none"/>
                <w:lang w:val="en-US" w:eastAsia="zh-CN" w:bidi="ar"/>
              </w:rPr>
              <w:t>）+0.5*</w:t>
            </w:r>
            <w:r>
              <w:rPr>
                <w:rFonts w:hint="default" w:ascii="Times New Roman" w:hAnsi="Times New Roman" w:eastAsia="宋体" w:cs="Times New Roman"/>
                <w:color w:val="auto"/>
                <w:kern w:val="2"/>
                <w:sz w:val="21"/>
                <w:szCs w:val="21"/>
                <w:highlight w:val="none"/>
                <w:lang w:val="en-US" w:eastAsia="zh-CN" w:bidi="ar-SA"/>
              </w:rPr>
              <w:t>B2.14+</w:t>
            </w:r>
            <w:r>
              <w:rPr>
                <w:rFonts w:hint="default" w:ascii="Times New Roman" w:hAnsi="Times New Roman" w:eastAsia="宋体" w:cs="Times New Roman"/>
                <w:color w:val="auto"/>
                <w:kern w:val="0"/>
                <w:sz w:val="21"/>
                <w:szCs w:val="21"/>
                <w:highlight w:val="none"/>
                <w:lang w:val="en-US" w:eastAsia="zh-CN" w:bidi="ar"/>
              </w:rPr>
              <w:t>0.3*</w:t>
            </w:r>
            <w:r>
              <w:rPr>
                <w:rFonts w:hint="default" w:ascii="Times New Roman" w:hAnsi="Times New Roman" w:eastAsia="宋体" w:cs="Times New Roman"/>
                <w:color w:val="auto"/>
                <w:kern w:val="2"/>
                <w:sz w:val="21"/>
                <w:szCs w:val="21"/>
                <w:highlight w:val="none"/>
                <w:lang w:val="en-US" w:eastAsia="zh-CN" w:bidi="ar-SA"/>
              </w:rPr>
              <w:t>B2.15+0.1*B2.16</w:t>
            </w:r>
            <w:r>
              <w:rPr>
                <w:rFonts w:hint="default" w:ascii="Times New Roman" w:hAnsi="Times New Roman" w:eastAsia="宋体" w:cs="Times New Roman"/>
                <w:color w:val="auto"/>
                <w:kern w:val="0"/>
                <w:sz w:val="21"/>
                <w:szCs w:val="21"/>
                <w:highlight w:val="none"/>
                <w:lang w:val="en-US" w:eastAsia="zh-CN" w:bidi="ar"/>
              </w:rPr>
              <w:t>]/[0.1+0.3+0.5+1.0+1.0+1.0+1.0+1.0+1.0+1.0+1.0+1.0+1.0+0.5+0.3+0.1]。</w:t>
            </w:r>
          </w:p>
          <w:p w14:paraId="3D9231B1">
            <w:pPr>
              <w:widowControl w:val="0"/>
              <w:wordWrap w:val="0"/>
              <w:spacing w:line="360" w:lineRule="exact"/>
              <w:ind w:firstLine="420" w:firstLineChars="20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（2）如果某区段无区段平均值，则该区段不计区段平均值。如：无B2.1、B2.3、B2.9、B2.15等区段平均值，即B2.1、B2.3、B2.9、B2.15以及其权重均等于0，则评标价平均值B=[0.0*0.0+0.3*</w:t>
            </w:r>
            <w:r>
              <w:rPr>
                <w:rFonts w:hint="default" w:ascii="Times New Roman" w:hAnsi="Times New Roman" w:eastAsia="宋体" w:cs="Times New Roman"/>
                <w:color w:val="auto"/>
                <w:kern w:val="2"/>
                <w:sz w:val="21"/>
                <w:szCs w:val="21"/>
                <w:highlight w:val="none"/>
                <w:lang w:val="en-US" w:eastAsia="zh-CN" w:bidi="ar-SA"/>
              </w:rPr>
              <w:t>B2.2+</w:t>
            </w:r>
            <w:r>
              <w:rPr>
                <w:rFonts w:hint="default" w:ascii="Times New Roman" w:hAnsi="Times New Roman" w:eastAsia="宋体" w:cs="Times New Roman"/>
                <w:color w:val="auto"/>
                <w:kern w:val="0"/>
                <w:sz w:val="21"/>
                <w:szCs w:val="21"/>
                <w:highlight w:val="none"/>
                <w:lang w:val="en-US" w:eastAsia="zh-CN" w:bidi="ar"/>
              </w:rPr>
              <w:t>0.0*0.0+1.0*（</w:t>
            </w:r>
            <w:r>
              <w:rPr>
                <w:rFonts w:hint="default" w:ascii="Times New Roman" w:hAnsi="Times New Roman" w:eastAsia="宋体" w:cs="Times New Roman"/>
                <w:color w:val="auto"/>
                <w:kern w:val="2"/>
                <w:sz w:val="21"/>
                <w:szCs w:val="21"/>
                <w:highlight w:val="none"/>
                <w:lang w:val="en-US" w:eastAsia="zh-CN" w:bidi="ar-SA"/>
              </w:rPr>
              <w:t>B2.4+B2.5+……+B2.8+</w:t>
            </w:r>
            <w:r>
              <w:rPr>
                <w:rFonts w:hint="default" w:ascii="Times New Roman" w:hAnsi="Times New Roman" w:eastAsia="宋体" w:cs="Times New Roman"/>
                <w:color w:val="auto"/>
                <w:kern w:val="0"/>
                <w:sz w:val="21"/>
                <w:szCs w:val="21"/>
                <w:highlight w:val="none"/>
                <w:lang w:val="en-US" w:eastAsia="zh-CN" w:bidi="ar"/>
              </w:rPr>
              <w:t>0.0+</w:t>
            </w:r>
            <w:r>
              <w:rPr>
                <w:rFonts w:hint="default" w:ascii="Times New Roman" w:hAnsi="Times New Roman" w:eastAsia="宋体" w:cs="Times New Roman"/>
                <w:color w:val="auto"/>
                <w:kern w:val="2"/>
                <w:sz w:val="21"/>
                <w:szCs w:val="21"/>
                <w:highlight w:val="none"/>
                <w:lang w:val="en-US" w:eastAsia="zh-CN" w:bidi="ar-SA"/>
              </w:rPr>
              <w:t>B2.10+……B2.12+B2.13</w:t>
            </w:r>
            <w:r>
              <w:rPr>
                <w:rFonts w:hint="default" w:ascii="Times New Roman" w:hAnsi="Times New Roman" w:eastAsia="宋体" w:cs="Times New Roman"/>
                <w:color w:val="auto"/>
                <w:kern w:val="0"/>
                <w:sz w:val="21"/>
                <w:szCs w:val="21"/>
                <w:highlight w:val="none"/>
                <w:lang w:val="en-US" w:eastAsia="zh-CN" w:bidi="ar"/>
              </w:rPr>
              <w:t>）+0.5*</w:t>
            </w:r>
            <w:r>
              <w:rPr>
                <w:rFonts w:hint="default" w:ascii="Times New Roman" w:hAnsi="Times New Roman" w:eastAsia="宋体" w:cs="Times New Roman"/>
                <w:color w:val="auto"/>
                <w:kern w:val="2"/>
                <w:sz w:val="21"/>
                <w:szCs w:val="21"/>
                <w:highlight w:val="none"/>
                <w:lang w:val="en-US" w:eastAsia="zh-CN" w:bidi="ar-SA"/>
              </w:rPr>
              <w:t>B2.14+</w:t>
            </w:r>
            <w:r>
              <w:rPr>
                <w:rFonts w:hint="default" w:ascii="Times New Roman" w:hAnsi="Times New Roman" w:eastAsia="宋体" w:cs="Times New Roman"/>
                <w:color w:val="auto"/>
                <w:kern w:val="0"/>
                <w:sz w:val="21"/>
                <w:szCs w:val="21"/>
                <w:highlight w:val="none"/>
                <w:lang w:val="en-US" w:eastAsia="zh-CN" w:bidi="ar"/>
              </w:rPr>
              <w:t>0.0*0.0+</w:t>
            </w:r>
            <w:r>
              <w:rPr>
                <w:rFonts w:hint="default" w:ascii="Times New Roman" w:hAnsi="Times New Roman" w:eastAsia="宋体" w:cs="Times New Roman"/>
                <w:color w:val="auto"/>
                <w:kern w:val="2"/>
                <w:sz w:val="21"/>
                <w:szCs w:val="21"/>
                <w:highlight w:val="none"/>
                <w:lang w:val="en-US" w:eastAsia="zh-CN" w:bidi="ar-SA"/>
              </w:rPr>
              <w:t>0.1*B2.16</w:t>
            </w:r>
            <w:r>
              <w:rPr>
                <w:rFonts w:hint="default" w:ascii="Times New Roman" w:hAnsi="Times New Roman" w:eastAsia="宋体" w:cs="Times New Roman"/>
                <w:color w:val="auto"/>
                <w:kern w:val="0"/>
                <w:sz w:val="21"/>
                <w:szCs w:val="21"/>
                <w:highlight w:val="none"/>
                <w:lang w:val="en-US" w:eastAsia="zh-CN" w:bidi="ar"/>
              </w:rPr>
              <w:t>]/[0.0+0.3+0.0+1.0+1.0+1.0+1.0+1.0+0.0+1.0+1.0+1.0+1.0+0.5+0.0+0.1]。</w:t>
            </w:r>
          </w:p>
          <w:p w14:paraId="6E208B7B">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三、评标价平均值（B）计算方法2</w:t>
            </w:r>
          </w:p>
          <w:p w14:paraId="1777C29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根据所有参加评标价平均值计算的评标价（个数用P表示）计算评标价平均值（B）。C为招标人设定的最高投标限价。评标价平均值保留七位小数，小数点后第八位“四舍五入”。</w:t>
            </w:r>
          </w:p>
          <w:p w14:paraId="7E1DDCD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1、当P=0时，即所有评标价均低于</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%），则评标价平均值（B）直接为</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w:t>
            </w:r>
          </w:p>
          <w:p w14:paraId="332A58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2、当0＜P≤5时，评标价平均值（B）为P个评标价的算术平均值。</w:t>
            </w:r>
          </w:p>
          <w:p w14:paraId="2EA60F0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3、当6≤P≤9时，在P个评标价中，去掉1个最高值和1个最低值后的其余评标价的算术平均值为评标价平均值（B）。</w:t>
            </w:r>
          </w:p>
          <w:p w14:paraId="575C411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4、当P≥10时，在P个评标价中，去掉P1个最高值和P2个最低值后的其余评标价的算术平均值为评标价平均值（B）。</w:t>
            </w:r>
          </w:p>
          <w:p w14:paraId="6ECC49A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P1=Q1，P2=Q2。Q1、Q2是在取值区间（1～Q）中随机抽取的两个数值，较大的数值为Q1，较小的数值为Q2。Q=INT（P/5），即Q为（P/5）向下取整。</w:t>
            </w:r>
          </w:p>
          <w:p w14:paraId="78139B4B">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四、评标价平均值（B）计算方法3</w:t>
            </w:r>
          </w:p>
          <w:p w14:paraId="5B62039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根据所有参加评标价平均值计算的评标价（个数用P表示）计算评标价平均值（B）。C为招标人设定的最高投标限价。评标价平均值保留七位小数，小数点后第八位“四舍五入”。</w:t>
            </w:r>
          </w:p>
          <w:p w14:paraId="51944A4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1、当P=0时，即所有评标价均低于</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%），则评标价平均值（B）直接为</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*C值（最高投标限价的</w:t>
            </w:r>
            <w:r>
              <w:rPr>
                <w:rFonts w:hint="default" w:ascii="Times New Roman" w:hAnsi="Times New Roman" w:eastAsia="宋体" w:cs="Times New Roman"/>
                <w:color w:val="auto"/>
                <w:kern w:val="0"/>
                <w:szCs w:val="21"/>
                <w:highlight w:val="none"/>
                <w:u w:val="single"/>
                <w:lang w:bidi="ar"/>
              </w:rPr>
              <w:t xml:space="preserve">  G%  </w:t>
            </w:r>
            <w:r>
              <w:rPr>
                <w:rFonts w:hint="default" w:ascii="Times New Roman" w:hAnsi="Times New Roman" w:eastAsia="宋体" w:cs="Times New Roman"/>
                <w:color w:val="auto"/>
                <w:kern w:val="0"/>
                <w:szCs w:val="21"/>
                <w:highlight w:val="none"/>
                <w:lang w:bidi="ar"/>
              </w:rPr>
              <w:t>）。</w:t>
            </w:r>
          </w:p>
          <w:p w14:paraId="2D46DC9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2、当0＜P≤5时，评标价平均值（B）为P个评标价的算术平均值。</w:t>
            </w:r>
          </w:p>
          <w:p w14:paraId="5F6FA72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3、当P=6或7时，在P个评标价中，去掉1个最高值和1个最低值后的其余评标价的算术平均值为评标价平均值（B）。</w:t>
            </w:r>
          </w:p>
          <w:p w14:paraId="3995862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4、当P≥8时</w:t>
            </w:r>
          </w:p>
          <w:p w14:paraId="3E2A955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（1）首先，在P个评标价中，去掉P1个最高值和P2个最低值。</w:t>
            </w:r>
          </w:p>
          <w:p w14:paraId="23F846B4">
            <w:pPr>
              <w:widowControl/>
              <w:spacing w:line="360" w:lineRule="exact"/>
              <w:ind w:firstLine="420" w:firstLineChars="200"/>
              <w:jc w:val="left"/>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①当P=8或9时，P1=P2=1；</w:t>
            </w:r>
          </w:p>
          <w:p w14:paraId="7F0E2389">
            <w:pPr>
              <w:widowControl/>
              <w:spacing w:line="360" w:lineRule="exact"/>
              <w:ind w:firstLine="420" w:firstLineChars="200"/>
              <w:jc w:val="left"/>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②当P=10或11或12或13或14时，P1=2，P2=1；</w:t>
            </w:r>
          </w:p>
          <w:p w14:paraId="5DF441A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③当P≥15时，P1=Q1，P2=Q2。Q1、Q2是在取值区间（1～Q）中随机抽取的两个数值，较大的数值为Q1，较小的数值为Q2。Q=INT（P/5），即Q为（P/5）向下取整且最小为1。</w:t>
            </w:r>
          </w:p>
          <w:p w14:paraId="387A2B8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（2）然后，将其余评标价由低到高排列，对排列第（1、1+R、1+2R、……、1+SR）</w:t>
            </w:r>
            <w:r>
              <w:rPr>
                <w:rFonts w:hint="default" w:ascii="Times New Roman" w:hAnsi="Times New Roman" w:eastAsia="宋体" w:cs="Times New Roman"/>
                <w:color w:val="auto"/>
                <w:highlight w:val="none"/>
              </w:rPr>
              <w:t>的评标价进行算术平均，该算术平均值为</w:t>
            </w:r>
            <w:r>
              <w:rPr>
                <w:rFonts w:hint="default" w:ascii="Times New Roman" w:hAnsi="Times New Roman" w:eastAsia="宋体" w:cs="Times New Roman"/>
                <w:color w:val="auto"/>
                <w:kern w:val="0"/>
                <w:szCs w:val="21"/>
                <w:highlight w:val="none"/>
                <w:lang w:bidi="ar"/>
              </w:rPr>
              <w:t>评标价平均值（B）。</w:t>
            </w:r>
          </w:p>
          <w:p w14:paraId="32AEF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R为随机步距，在开标现场随机抽取，取值范围为3、4、5。</w:t>
            </w:r>
          </w:p>
          <w:p w14:paraId="7965BA1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S为步距个数，S=INT[（P-P1-P2-1）/R]，即S为[（P-P1-P2-1）/R]向下取整。</w:t>
            </w:r>
          </w:p>
          <w:p w14:paraId="7D0D280E">
            <w:pPr>
              <w:widowControl w:val="0"/>
              <w:spacing w:before="0" w:beforeLines="-2147483648" w:after="0" w:afterLines="-2147483648" w:line="360" w:lineRule="exact"/>
              <w:ind w:firstLine="422" w:firstLineChars="200"/>
              <w:jc w:val="both"/>
              <w:outlineLvl w:val="9"/>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五、评标基准价（D）</w:t>
            </w:r>
          </w:p>
          <w:p w14:paraId="62CC4A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D=D=[C*K+B*（1-K）]*（1-Z），保留七位小数，小数点后第八位“四舍五入”。</w:t>
            </w:r>
          </w:p>
          <w:p w14:paraId="0EE8787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Cs w:val="21"/>
                <w:highlight w:val="none"/>
                <w:lang w:bidi="ar"/>
              </w:rPr>
              <w:t>式中：</w:t>
            </w:r>
          </w:p>
          <w:p w14:paraId="319B4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1、C为招标人设定的最高投标限价，B为评标价平均值。</w:t>
            </w:r>
          </w:p>
          <w:p w14:paraId="756A881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2、K为</w:t>
            </w:r>
            <w:r>
              <w:rPr>
                <w:rFonts w:hint="default" w:ascii="Times New Roman" w:hAnsi="Times New Roman" w:eastAsia="宋体" w:cs="Times New Roman"/>
                <w:color w:val="auto"/>
                <w:highlight w:val="none"/>
              </w:rPr>
              <w:t>权重系数，K=[（K1/10）+K2]/10。各标段的K1在开标现场从0、1、2、3、4、5、6、7、8、9等10个系数中随机抽取。各标段的K2在开标现场从0、0.5、1等3个系数中随机抽取。</w:t>
            </w:r>
          </w:p>
          <w:p w14:paraId="612DABC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
              </w:rPr>
              <w:t>3、Z为下浮系数，各标段的Z</w:t>
            </w:r>
            <w:r>
              <w:rPr>
                <w:rFonts w:hint="default" w:ascii="Times New Roman" w:hAnsi="Times New Roman" w:eastAsia="宋体" w:cs="Times New Roman"/>
                <w:color w:val="auto"/>
                <w:kern w:val="2"/>
                <w:sz w:val="21"/>
                <w:szCs w:val="21"/>
                <w:highlight w:val="none"/>
                <w:lang w:val="en-US" w:eastAsia="zh-CN" w:bidi="ar-SA"/>
              </w:rPr>
              <w:t>在开标现场</w:t>
            </w:r>
            <w:r>
              <w:rPr>
                <w:rFonts w:hint="default" w:ascii="Times New Roman" w:hAnsi="Times New Roman" w:eastAsia="宋体" w:cs="Times New Roman"/>
                <w:color w:val="auto"/>
                <w:kern w:val="0"/>
                <w:sz w:val="21"/>
                <w:szCs w:val="21"/>
                <w:highlight w:val="none"/>
                <w:lang w:val="en-US" w:eastAsia="zh-CN" w:bidi="ar"/>
              </w:rPr>
              <w:t>均从0%、0.1%、0.2%、0.3%、0.4%、0.5%、0.6%、0.7%、0.8%、0.9%、1.0%、1.1%、1.2%、1.3%、1.4%、1.5%、1.6%、1.7%、1.8%、1.9%、2%等21个系数中随机抽取。</w:t>
            </w:r>
          </w:p>
        </w:tc>
      </w:tr>
      <w:tr w14:paraId="656B2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46015F67">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021300F9">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576F6407">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偏差率=100%×（投标人评标价－评标基准价）/评标基准价</w:t>
            </w:r>
          </w:p>
          <w:p w14:paraId="5906F9DC">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偏差率保留</w:t>
            </w:r>
            <w:r>
              <w:rPr>
                <w:rFonts w:hint="eastAsia" w:cs="Times New Roman"/>
                <w:color w:val="auto"/>
                <w:szCs w:val="21"/>
                <w:highlight w:val="none"/>
                <w:u w:val="single"/>
                <w:lang w:val="en-US" w:eastAsia="zh-CN"/>
              </w:rPr>
              <w:t xml:space="preserve"> 2 </w:t>
            </w:r>
            <w:r>
              <w:rPr>
                <w:rFonts w:hint="default" w:ascii="Times New Roman" w:hAnsi="Times New Roman" w:cs="Times New Roman"/>
                <w:color w:val="auto"/>
                <w:szCs w:val="21"/>
                <w:highlight w:val="none"/>
              </w:rPr>
              <w:t>位小数</w:t>
            </w:r>
          </w:p>
        </w:tc>
      </w:tr>
      <w:tr w14:paraId="002E0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774724A1">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1F165B8F">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64513ADE">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评分标准</w:t>
            </w:r>
          </w:p>
        </w:tc>
      </w:tr>
      <w:tr w14:paraId="5EA5D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49EE110C">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7CDD5663">
            <w:pPr>
              <w:pageBreakBefore w:val="0"/>
              <w:kinsoku/>
              <w:wordWrap w:val="0"/>
              <w:bidi w:val="0"/>
              <w:spacing w:line="36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5A54D3BC">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100分</w:t>
            </w:r>
          </w:p>
          <w:p w14:paraId="57E8C5D1">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评标价得分计算公式示例：</w:t>
            </w:r>
          </w:p>
          <w:p w14:paraId="7C442442">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（1）如果投标人的评标价&gt;评标基准价，则评标价得分＝100－偏差率×100×</w:t>
            </w: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w:t>
            </w:r>
          </w:p>
          <w:p w14:paraId="3B75A8DB">
            <w:pPr>
              <w:pageBreakBefore w:val="0"/>
              <w:kinsoku/>
              <w:wordWrap w:val="0"/>
              <w:bidi w:val="0"/>
              <w:spacing w:line="36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（2）如果投标人的评标价≤评标基准价，则评标价得分＝100＋偏差率×100×</w:t>
            </w: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w:t>
            </w:r>
          </w:p>
        </w:tc>
      </w:tr>
      <w:tr w14:paraId="66B4C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D679596">
            <w:pPr>
              <w:keepNext w:val="0"/>
              <w:keepLines w:val="0"/>
              <w:pageBreakBefore w:val="0"/>
              <w:kinsoku/>
              <w:wordWrap w:val="0"/>
              <w:overflowPunct/>
              <w:topLinePunct w:val="0"/>
              <w:autoSpaceDE/>
              <w:autoSpaceDN/>
              <w:bidi w:val="0"/>
              <w:adjustRightInd/>
              <w:snapToGrid/>
              <w:spacing w:line="300" w:lineRule="auto"/>
              <w:ind w:firstLine="210" w:firstLineChars="1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p w14:paraId="60604214">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1.评标办法</w:t>
            </w:r>
          </w:p>
          <w:p w14:paraId="1C680C5D">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本条细化为：</w:t>
            </w:r>
          </w:p>
          <w:p w14:paraId="496EA6CF">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1.1本次评标采用双信封形式合理低价法，评标委员会首先对投标文件第一个信封（商务与技术文件）进行初步评审（形式评审与响应性评审、资格评审），通过第一个信封初步评审后的投标文件方可进入第二个信封（报价文件）的开标。第二个信封的开标在监督人的监督下进行，未通过第一个信封初步评审投标人的第二个信封原封退回，不参与第二个信封的开标。评标委员会对投标文件第二个信封进行形式和响应性评审，并按照本章第2.2款规定的评分标准进行评分，然后按评标价得分由高到低顺序推荐中标候选人，但投标报价低于其成本的除外。</w:t>
            </w:r>
          </w:p>
          <w:p w14:paraId="6C5BEFE7">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1.2当两家及以上投标人综合评分相等时，评标委员会依次按照以下优先顺序推荐中标候选人或确定中标人：</w:t>
            </w:r>
          </w:p>
          <w:p w14:paraId="1A780C3E">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（1）以评标价较低者优先；</w:t>
            </w:r>
          </w:p>
          <w:p w14:paraId="796BB0FB">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（2）被招标项目所在地省级交通运输主管部门评为较高信用等级的投标人优先。</w:t>
            </w:r>
          </w:p>
          <w:p w14:paraId="628FD779">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注：当两家及以上投标人在标段中的评标价得分相等且评标价也相等时，若各投标人工程量清单子目单价也相同时，视为串标，其投标均被否决。</w:t>
            </w:r>
          </w:p>
          <w:p w14:paraId="79FB2E41">
            <w:pPr>
              <w:pageBreakBefore w:val="0"/>
              <w:kinsoku/>
              <w:wordWrap w:val="0"/>
              <w:bidi w:val="0"/>
              <w:spacing w:line="360" w:lineRule="atLeas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1.3某一标段通过第一个信封评审且参与第二个信封开标的投标人在3个及以上的，招标人将按规定的程序进行第二个信封开标；在对第二个信封进行评审后，有效投标不足3个使得投标明显缺乏竞争的，评标委员会可以否决这一标段的全部投标。评标委员会未否决全部投标的， 应当在评标报告中阐明理由并推荐这一标段中标候选人。</w:t>
            </w:r>
          </w:p>
          <w:p w14:paraId="3E328384">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某一标段通过第一个信封评审且参与第二个信封开标的投标人少于3个的，评标委员会可以否决这一标段全部投标；未否决这一标段全部投标的，评标委员会应当在评标报告中阐明理由，招标人将按规定的程序进行第二个信封开标，但评标委员会在进行第二个信封评审时仍有权否决这一标段全部投标；评标委员会未在第二个信封评审时否决全部投标的，应当在评标报告中阐明理由并推荐这一标段中标候选人。</w:t>
            </w:r>
          </w:p>
          <w:p w14:paraId="10661A9F">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bidi="ar"/>
              </w:rPr>
              <w:t>2.评标结果</w:t>
            </w:r>
          </w:p>
          <w:p w14:paraId="00C66250">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bidi="ar"/>
              </w:rPr>
              <w:t>2.1评标委员会按照评标方法的规定推荐中标候选人。</w:t>
            </w:r>
          </w:p>
          <w:p w14:paraId="453CD91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bidi="ar"/>
              </w:rPr>
              <w:t>2.2评标委员会完成评标后，应当向招标人提交书面评标报告。评标报告由评标委员会全</w:t>
            </w:r>
          </w:p>
          <w:p w14:paraId="10AA32B7">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bidi="ar"/>
              </w:rPr>
              <w:t>体成员签字。对评标结论持有异议的评标委员会成员可以书面方式阐述其不同意见和理</w:t>
            </w:r>
          </w:p>
          <w:p w14:paraId="3B2365F1">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bidi="ar"/>
              </w:rPr>
              <w:t>由。评标委员会成员拒绝在评标报告上签字且不陈述其不同意见和理由的，视为同意评标</w:t>
            </w:r>
          </w:p>
          <w:p w14:paraId="2AAE3CD3">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结论。</w:t>
            </w:r>
          </w:p>
          <w:p w14:paraId="2EC06AEF">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3、偏差率保留小数点后两位，小数点后第三位“四舍五入”。</w:t>
            </w:r>
          </w:p>
          <w:p w14:paraId="62B757D2">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4、废标条款:</w:t>
            </w:r>
          </w:p>
          <w:p w14:paraId="282943EC">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(1)在形式评审与响应性评审、资格评审中，评标委员会认定投标人的投标不符合评标办法前附表中规定的任何一项评审标准的</w:t>
            </w:r>
            <w:r>
              <w:rPr>
                <w:rFonts w:hint="eastAsia" w:ascii="宋体" w:hAnsi="宋体" w:cs="宋体"/>
                <w:color w:val="auto"/>
                <w:kern w:val="0"/>
                <w:szCs w:val="21"/>
                <w:highlight w:val="none"/>
                <w:lang w:val="en-US" w:eastAsia="zh-CN" w:bidi="ar"/>
              </w:rPr>
              <w:t>；</w:t>
            </w:r>
          </w:p>
          <w:p w14:paraId="61631033">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(2)评标委员会认定投标人以低于成本报价竞标的</w:t>
            </w:r>
            <w:r>
              <w:rPr>
                <w:rFonts w:hint="eastAsia" w:ascii="宋体" w:hAnsi="宋体" w:cs="宋体"/>
                <w:color w:val="auto"/>
                <w:kern w:val="0"/>
                <w:szCs w:val="21"/>
                <w:highlight w:val="none"/>
                <w:lang w:val="en-US" w:eastAsia="zh-CN" w:bidi="ar"/>
              </w:rPr>
              <w:t>；</w:t>
            </w:r>
          </w:p>
          <w:p w14:paraId="44E3D5BE">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(3)与其他投标人的投标文件分部、分项报价错漏一致，且没有合理解释的</w:t>
            </w:r>
            <w:r>
              <w:rPr>
                <w:rFonts w:hint="eastAsia" w:ascii="宋体" w:hAnsi="宋体" w:cs="宋体"/>
                <w:color w:val="auto"/>
                <w:kern w:val="0"/>
                <w:szCs w:val="21"/>
                <w:highlight w:val="none"/>
                <w:lang w:val="en-US" w:eastAsia="zh-CN" w:bidi="ar"/>
              </w:rPr>
              <w:t>；</w:t>
            </w:r>
          </w:p>
          <w:p w14:paraId="7DED3F44">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(4)与其他投标人的投标文件载明的项目管理班子成员出现重复的</w:t>
            </w:r>
            <w:r>
              <w:rPr>
                <w:rFonts w:hint="eastAsia" w:ascii="宋体" w:hAnsi="宋体" w:cs="宋体"/>
                <w:color w:val="auto"/>
                <w:kern w:val="0"/>
                <w:szCs w:val="21"/>
                <w:highlight w:val="none"/>
                <w:lang w:val="en-US" w:eastAsia="zh-CN" w:bidi="ar"/>
              </w:rPr>
              <w:t>；</w:t>
            </w:r>
          </w:p>
          <w:p w14:paraId="3593574A">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(5)不同投标人使用同一个人或者同一企业资金交纳投标保证金的</w:t>
            </w:r>
            <w:r>
              <w:rPr>
                <w:rFonts w:hint="eastAsia" w:ascii="宋体" w:hAnsi="宋体" w:cs="宋体"/>
                <w:color w:val="auto"/>
                <w:kern w:val="0"/>
                <w:szCs w:val="21"/>
                <w:highlight w:val="none"/>
                <w:lang w:val="en-US" w:eastAsia="zh-CN" w:bidi="ar"/>
              </w:rPr>
              <w:t>；</w:t>
            </w:r>
          </w:p>
          <w:p w14:paraId="30147681">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(6)不同投标人聘请同一人为其投标提供技术或者经济咨询服务的</w:t>
            </w:r>
            <w:r>
              <w:rPr>
                <w:rFonts w:hint="eastAsia" w:ascii="宋体" w:hAnsi="宋体" w:cs="宋体"/>
                <w:color w:val="auto"/>
                <w:kern w:val="0"/>
                <w:szCs w:val="21"/>
                <w:highlight w:val="none"/>
                <w:lang w:val="en-US" w:eastAsia="zh-CN" w:bidi="ar"/>
              </w:rPr>
              <w:t>；</w:t>
            </w:r>
          </w:p>
          <w:p w14:paraId="17DCC8F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(7)与其他投标人的投标文件存在不应有的雷同</w:t>
            </w:r>
            <w:r>
              <w:rPr>
                <w:rFonts w:hint="eastAsia" w:ascii="宋体" w:hAnsi="宋体" w:cs="宋体"/>
                <w:color w:val="auto"/>
                <w:kern w:val="0"/>
                <w:szCs w:val="21"/>
                <w:highlight w:val="none"/>
                <w:lang w:val="en-US" w:eastAsia="zh-CN" w:bidi="ar"/>
              </w:rPr>
              <w:t>；</w:t>
            </w:r>
          </w:p>
          <w:p w14:paraId="47D81199">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(8)其他情况能够证明有陪标行为的</w:t>
            </w:r>
            <w:r>
              <w:rPr>
                <w:rFonts w:hint="eastAsia" w:ascii="宋体" w:hAnsi="宋体" w:cs="宋体"/>
                <w:color w:val="auto"/>
                <w:kern w:val="0"/>
                <w:szCs w:val="21"/>
                <w:highlight w:val="none"/>
                <w:lang w:val="en-US" w:eastAsia="zh-CN" w:bidi="ar"/>
              </w:rPr>
              <w:t>；</w:t>
            </w:r>
          </w:p>
          <w:p w14:paraId="0E306B64">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(9)有串通投标或弄虚作假或有其他违法行为的</w:t>
            </w:r>
            <w:r>
              <w:rPr>
                <w:rFonts w:hint="eastAsia" w:ascii="宋体" w:hAnsi="宋体" w:cs="宋体"/>
                <w:color w:val="auto"/>
                <w:kern w:val="0"/>
                <w:szCs w:val="21"/>
                <w:highlight w:val="none"/>
                <w:lang w:val="en-US" w:eastAsia="zh-CN" w:bidi="ar"/>
              </w:rPr>
              <w:t>；</w:t>
            </w:r>
          </w:p>
          <w:p w14:paraId="3AA66A42">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(10)投标人不按评标委员会要求澄清、说明或补正的</w:t>
            </w:r>
            <w:r>
              <w:rPr>
                <w:rFonts w:hint="eastAsia" w:ascii="宋体" w:hAnsi="宋体" w:cs="宋体"/>
                <w:color w:val="auto"/>
                <w:kern w:val="0"/>
                <w:szCs w:val="21"/>
                <w:highlight w:val="none"/>
                <w:lang w:val="en-US" w:eastAsia="zh-CN" w:bidi="ar"/>
              </w:rPr>
              <w:t>；</w:t>
            </w:r>
          </w:p>
          <w:p w14:paraId="4A1635F0">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(11)不同投标人的投标报价或者报价组成异常一致或者呈规律性变化的:</w:t>
            </w:r>
          </w:p>
          <w:p w14:paraId="20B6C52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(12)投标文件附有招标人不能接受的条件</w:t>
            </w:r>
            <w:r>
              <w:rPr>
                <w:rFonts w:hint="eastAsia" w:ascii="宋体" w:hAnsi="宋体" w:cs="宋体"/>
                <w:color w:val="auto"/>
                <w:kern w:val="0"/>
                <w:szCs w:val="21"/>
                <w:highlight w:val="none"/>
                <w:lang w:val="en-US" w:eastAsia="zh-CN" w:bidi="ar"/>
              </w:rPr>
              <w:t>；</w:t>
            </w:r>
          </w:p>
          <w:p w14:paraId="71537DDD">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(13)不符合招标文件中规定的其他实质性要求的</w:t>
            </w:r>
            <w:r>
              <w:rPr>
                <w:rFonts w:hint="eastAsia" w:ascii="宋体" w:hAnsi="宋体" w:cs="宋体"/>
                <w:color w:val="auto"/>
                <w:kern w:val="0"/>
                <w:szCs w:val="21"/>
                <w:highlight w:val="none"/>
                <w:lang w:val="en-US" w:eastAsia="zh-CN" w:bidi="ar"/>
              </w:rPr>
              <w:t>；</w:t>
            </w:r>
          </w:p>
          <w:p w14:paraId="3EB0C0A2">
            <w:pPr>
              <w:keepNext w:val="0"/>
              <w:keepLines w:val="0"/>
              <w:pageBreakBefore w:val="0"/>
              <w:widowControl/>
              <w:kinsoku/>
              <w:overflowPunct/>
              <w:topLinePunct w:val="0"/>
              <w:autoSpaceDE/>
              <w:autoSpaceDN/>
              <w:bidi w:val="0"/>
              <w:adjustRightInd/>
              <w:snapToGrid/>
              <w:spacing w:line="300" w:lineRule="auto"/>
              <w:ind w:firstLine="210" w:firstLineChars="100"/>
              <w:jc w:val="left"/>
              <w:textAlignment w:val="auto"/>
              <w:rPr>
                <w:rFonts w:hint="default" w:ascii="Times New Roman" w:hAnsi="Times New Roman" w:cs="Times New Roman"/>
                <w:color w:val="auto"/>
                <w:szCs w:val="21"/>
                <w:highlight w:val="none"/>
              </w:rPr>
            </w:pPr>
            <w:r>
              <w:rPr>
                <w:rFonts w:hint="eastAsia" w:ascii="宋体" w:hAnsi="宋体" w:eastAsia="宋体" w:cs="宋体"/>
                <w:color w:val="auto"/>
                <w:kern w:val="0"/>
                <w:szCs w:val="21"/>
                <w:highlight w:val="none"/>
                <w:lang w:val="en-US" w:eastAsia="zh-CN" w:bidi="ar"/>
              </w:rPr>
              <w:t>(14)不同投标人的投标文件存在“MAC地址”、“文件创建标识码”、“文件制作机器码”等唯一性标识一致等情形。</w:t>
            </w:r>
          </w:p>
        </w:tc>
      </w:tr>
    </w:tbl>
    <w:p w14:paraId="46A5DAFE">
      <w:pPr>
        <w:pStyle w:val="5"/>
        <w:pageBreakBefore w:val="0"/>
        <w:kinsoku/>
        <w:wordWrap w:val="0"/>
        <w:bidi w:val="0"/>
        <w:spacing w:before="240" w:after="240" w:line="240" w:lineRule="atLeast"/>
        <w:jc w:val="both"/>
        <w:outlineLvl w:val="2"/>
        <w:rPr>
          <w:rFonts w:hint="default" w:ascii="Times New Roman" w:hAnsi="Times New Roman" w:eastAsia="黑体" w:cs="Times New Roman"/>
          <w:b w:val="0"/>
          <w:color w:val="auto"/>
          <w:sz w:val="28"/>
          <w:szCs w:val="28"/>
          <w:highlight w:val="none"/>
        </w:rPr>
      </w:pPr>
      <w:r>
        <w:rPr>
          <w:rFonts w:hint="default" w:ascii="Times New Roman" w:hAnsi="Times New Roman" w:cs="Times New Roman"/>
          <w:color w:val="auto"/>
          <w:sz w:val="20"/>
          <w:szCs w:val="20"/>
          <w:highlight w:val="none"/>
        </w:rPr>
        <w:br w:type="page"/>
      </w:r>
      <w:bookmarkStart w:id="370" w:name="_Toc20703"/>
      <w:bookmarkStart w:id="371" w:name="_Toc234832933"/>
      <w:bookmarkStart w:id="372" w:name="_Toc5363"/>
      <w:bookmarkStart w:id="373" w:name="_Toc8715"/>
      <w:bookmarkStart w:id="374" w:name="_Toc12557"/>
      <w:r>
        <w:rPr>
          <w:rFonts w:hint="default" w:ascii="Times New Roman" w:hAnsi="Times New Roman" w:eastAsia="黑体" w:cs="Times New Roman"/>
          <w:b w:val="0"/>
          <w:color w:val="auto"/>
          <w:sz w:val="28"/>
          <w:szCs w:val="28"/>
          <w:highlight w:val="none"/>
        </w:rPr>
        <w:t>1.评标方法</w:t>
      </w:r>
      <w:bookmarkEnd w:id="370"/>
      <w:bookmarkEnd w:id="371"/>
      <w:bookmarkEnd w:id="372"/>
      <w:bookmarkEnd w:id="373"/>
      <w:bookmarkEnd w:id="374"/>
    </w:p>
    <w:p w14:paraId="14BA9C9B">
      <w:pPr>
        <w:pageBreakBefore w:val="0"/>
        <w:kinsoku/>
        <w:wordWrap w:val="0"/>
        <w:bidi w:val="0"/>
        <w:spacing w:line="400" w:lineRule="atLeast"/>
        <w:ind w:firstLine="480" w:firstLineChars="200"/>
        <w:rPr>
          <w:rFonts w:hint="default" w:ascii="Times New Roman" w:hAnsi="Times New Roman" w:eastAsia="华文隶书" w:cs="Times New Roman"/>
          <w:color w:val="auto"/>
          <w:sz w:val="24"/>
          <w:highlight w:val="none"/>
        </w:rPr>
      </w:pPr>
      <w:r>
        <w:rPr>
          <w:rFonts w:hint="default" w:ascii="Times New Roman" w:hAnsi="Times New Roman" w:eastAsia="宋体" w:cs="Times New Roman"/>
          <w:color w:val="auto"/>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07FE059">
      <w:pPr>
        <w:pStyle w:val="5"/>
        <w:pageBreakBefore w:val="0"/>
        <w:kinsoku/>
        <w:wordWrap w:val="0"/>
        <w:bidi w:val="0"/>
        <w:spacing w:before="240" w:after="240" w:line="240" w:lineRule="atLeast"/>
        <w:jc w:val="both"/>
        <w:outlineLvl w:val="2"/>
        <w:rPr>
          <w:rFonts w:hint="default" w:ascii="Times New Roman" w:hAnsi="Times New Roman" w:eastAsia="黑体" w:cs="Times New Roman"/>
          <w:b w:val="0"/>
          <w:color w:val="auto"/>
          <w:sz w:val="28"/>
          <w:szCs w:val="28"/>
          <w:highlight w:val="none"/>
        </w:rPr>
      </w:pPr>
      <w:bookmarkStart w:id="375" w:name="_Toc234832934"/>
      <w:bookmarkStart w:id="376" w:name="_Toc8070"/>
      <w:bookmarkStart w:id="377" w:name="_Toc17057"/>
      <w:bookmarkStart w:id="378" w:name="_Toc31114"/>
      <w:bookmarkStart w:id="379" w:name="_Toc32306"/>
      <w:r>
        <w:rPr>
          <w:rFonts w:hint="default" w:ascii="Times New Roman" w:hAnsi="Times New Roman" w:eastAsia="黑体" w:cs="Times New Roman"/>
          <w:b w:val="0"/>
          <w:color w:val="auto"/>
          <w:sz w:val="28"/>
          <w:szCs w:val="28"/>
          <w:highlight w:val="none"/>
        </w:rPr>
        <w:t>2.评审标准</w:t>
      </w:r>
      <w:bookmarkEnd w:id="375"/>
      <w:bookmarkEnd w:id="376"/>
      <w:bookmarkEnd w:id="377"/>
      <w:bookmarkEnd w:id="378"/>
      <w:bookmarkEnd w:id="379"/>
    </w:p>
    <w:p w14:paraId="3891977F">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80" w:name="_Toc23903"/>
      <w:bookmarkStart w:id="381" w:name="_Toc234832935"/>
      <w:bookmarkStart w:id="382" w:name="_Toc12147"/>
      <w:r>
        <w:rPr>
          <w:rFonts w:hint="default" w:ascii="Times New Roman" w:hAnsi="Times New Roman" w:eastAsia="黑体" w:cs="Times New Roman"/>
          <w:b w:val="0"/>
          <w:color w:val="auto"/>
          <w:sz w:val="24"/>
          <w:szCs w:val="24"/>
          <w:highlight w:val="none"/>
        </w:rPr>
        <w:t>2.1初步评审标准</w:t>
      </w:r>
      <w:bookmarkEnd w:id="380"/>
      <w:bookmarkEnd w:id="381"/>
      <w:bookmarkEnd w:id="382"/>
    </w:p>
    <w:p w14:paraId="045AE09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2.1.1形式评审标准：见评标办法前附表。</w:t>
      </w:r>
    </w:p>
    <w:p w14:paraId="38694EB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2.1.2资格评审标准：见评标办法前附表。</w:t>
      </w:r>
    </w:p>
    <w:p w14:paraId="68CB52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2.1.3响应性评审标准：见评标办法前附表。</w:t>
      </w:r>
    </w:p>
    <w:p w14:paraId="5BB4B959">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83" w:name="_Toc234832936"/>
      <w:bookmarkStart w:id="384" w:name="_Toc25127"/>
      <w:bookmarkStart w:id="385" w:name="_Toc24185"/>
      <w:r>
        <w:rPr>
          <w:rFonts w:hint="default" w:ascii="Times New Roman" w:hAnsi="Times New Roman" w:eastAsia="黑体" w:cs="Times New Roman"/>
          <w:b w:val="0"/>
          <w:color w:val="auto"/>
          <w:sz w:val="24"/>
          <w:szCs w:val="24"/>
          <w:highlight w:val="none"/>
        </w:rPr>
        <w:t>2.2分值构成与评分标准</w:t>
      </w:r>
      <w:bookmarkEnd w:id="383"/>
      <w:bookmarkEnd w:id="384"/>
      <w:bookmarkEnd w:id="385"/>
    </w:p>
    <w:p w14:paraId="3F615613">
      <w:pPr>
        <w:pageBreakBefore w:val="0"/>
        <w:tabs>
          <w:tab w:val="left" w:pos="360"/>
        </w:tabs>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2.2.1分值构成</w:t>
      </w:r>
    </w:p>
    <w:p w14:paraId="60A58E82">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评标价：见评标办法前附表。</w:t>
      </w:r>
    </w:p>
    <w:p w14:paraId="66140E8B">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2.2.2评标基准价计算</w:t>
      </w:r>
    </w:p>
    <w:p w14:paraId="06A8E12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评标基准价计算方法：见评标办法前附表。</w:t>
      </w:r>
    </w:p>
    <w:p w14:paraId="615293F0">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2.2.3评标价的偏差率计算</w:t>
      </w:r>
    </w:p>
    <w:p w14:paraId="64A1121D">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评标价的偏差率计算公式：见评标办法前附表。</w:t>
      </w:r>
    </w:p>
    <w:p w14:paraId="35AB12F9">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2.2.4评分标准</w:t>
      </w:r>
    </w:p>
    <w:p w14:paraId="1E084CDA">
      <w:pPr>
        <w:pageBreakBefore w:val="0"/>
        <w:kinsoku/>
        <w:wordWrap w:val="0"/>
        <w:bidi w:val="0"/>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评标价评分标准：见评标办法前附表。</w:t>
      </w:r>
    </w:p>
    <w:p w14:paraId="7131FEE4">
      <w:pPr>
        <w:pStyle w:val="5"/>
        <w:pageBreakBefore w:val="0"/>
        <w:kinsoku/>
        <w:wordWrap w:val="0"/>
        <w:bidi w:val="0"/>
        <w:spacing w:before="240" w:after="240" w:line="240" w:lineRule="atLeast"/>
        <w:jc w:val="both"/>
        <w:outlineLvl w:val="2"/>
        <w:rPr>
          <w:rFonts w:hint="default" w:ascii="Times New Roman" w:hAnsi="Times New Roman" w:eastAsia="黑体" w:cs="Times New Roman"/>
          <w:b w:val="0"/>
          <w:color w:val="auto"/>
          <w:sz w:val="28"/>
          <w:szCs w:val="28"/>
          <w:highlight w:val="none"/>
        </w:rPr>
      </w:pPr>
      <w:bookmarkStart w:id="386" w:name="_Toc29729"/>
      <w:bookmarkStart w:id="387" w:name="_Toc26597"/>
      <w:bookmarkStart w:id="388" w:name="_Toc234832937"/>
      <w:bookmarkStart w:id="389" w:name="_Toc22097"/>
      <w:bookmarkStart w:id="390" w:name="_Toc24625"/>
      <w:r>
        <w:rPr>
          <w:rFonts w:hint="default" w:ascii="Times New Roman" w:hAnsi="Times New Roman" w:eastAsia="黑体" w:cs="Times New Roman"/>
          <w:b w:val="0"/>
          <w:color w:val="auto"/>
          <w:sz w:val="28"/>
          <w:szCs w:val="28"/>
          <w:highlight w:val="none"/>
        </w:rPr>
        <w:t>3.评标程序</w:t>
      </w:r>
      <w:bookmarkEnd w:id="386"/>
      <w:bookmarkEnd w:id="387"/>
      <w:bookmarkEnd w:id="388"/>
      <w:bookmarkEnd w:id="389"/>
      <w:bookmarkEnd w:id="390"/>
    </w:p>
    <w:p w14:paraId="098FE157">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1" w:name="_Toc10579"/>
      <w:bookmarkStart w:id="392" w:name="_Toc12133"/>
      <w:bookmarkStart w:id="393" w:name="_Toc234832938"/>
      <w:r>
        <w:rPr>
          <w:rFonts w:hint="default" w:ascii="Times New Roman" w:hAnsi="Times New Roman" w:eastAsia="黑体" w:cs="Times New Roman"/>
          <w:b w:val="0"/>
          <w:color w:val="auto"/>
          <w:sz w:val="24"/>
          <w:szCs w:val="24"/>
          <w:highlight w:val="none"/>
        </w:rPr>
        <w:t>3.1第一个信封初步评审</w:t>
      </w:r>
      <w:bookmarkEnd w:id="391"/>
      <w:bookmarkEnd w:id="392"/>
      <w:bookmarkEnd w:id="393"/>
    </w:p>
    <w:p w14:paraId="62F41D3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3.1.1评标委员会依据本章第2.1款规定的评审标准对投标文件第一个信封（商务及技术文件）进行初步评审。有一项不符合评审标准的，评标委员会应否决其投标。</w:t>
      </w:r>
    </w:p>
    <w:p w14:paraId="1AB9E62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3.1.2投标文件的标的、质量标准、工期等实质性要求和条件不得出现（存在）不利于招标人的偏差，否则，评标委员会应否决其投标。</w:t>
      </w:r>
    </w:p>
    <w:p w14:paraId="2CB5B4D6">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3.1.3如果通过第一信封评审的有效投标不足3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p>
    <w:p w14:paraId="0D15A45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p>
    <w:p w14:paraId="32833197">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4" w:name="_Toc13086"/>
      <w:bookmarkStart w:id="395" w:name="_Toc20429"/>
      <w:r>
        <w:rPr>
          <w:rFonts w:hint="default" w:ascii="Times New Roman" w:hAnsi="Times New Roman" w:eastAsia="黑体" w:cs="Times New Roman"/>
          <w:b w:val="0"/>
          <w:color w:val="auto"/>
          <w:sz w:val="24"/>
          <w:szCs w:val="24"/>
          <w:highlight w:val="none"/>
        </w:rPr>
        <w:t>3.2第二个信封开标</w:t>
      </w:r>
      <w:bookmarkEnd w:id="394"/>
      <w:bookmarkEnd w:id="395"/>
    </w:p>
    <w:p w14:paraId="0B114EC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第一个信封（商务及技术文件）评审结束后，招标人将按照第二章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第5.1款规定的时间和地点对通过投标文件第一个信封（商务及技术文件）评审的投标文件第二个信封（报价文件）进行开标。</w:t>
      </w:r>
    </w:p>
    <w:p w14:paraId="36B94B34">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6" w:name="_Toc6484"/>
      <w:bookmarkStart w:id="397" w:name="_Toc25423"/>
      <w:r>
        <w:rPr>
          <w:rFonts w:hint="default" w:ascii="Times New Roman" w:hAnsi="Times New Roman" w:eastAsia="黑体" w:cs="Times New Roman"/>
          <w:b w:val="0"/>
          <w:color w:val="auto"/>
          <w:sz w:val="24"/>
          <w:szCs w:val="24"/>
          <w:highlight w:val="none"/>
        </w:rPr>
        <w:t>3.3第二个信封初步评审</w:t>
      </w:r>
      <w:bookmarkEnd w:id="396"/>
      <w:bookmarkEnd w:id="397"/>
    </w:p>
    <w:p w14:paraId="7D104BB8">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评标委员会依据本章第2.1.1项、第2.1.3项规定的评审标准对投标文件第二个信封（报价文件）进行初步评审。有一项不符合评审标准的，评标委员会应否决其投标。</w:t>
      </w:r>
    </w:p>
    <w:p w14:paraId="5448887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3.3.2</w:t>
      </w:r>
      <w:r>
        <w:rPr>
          <w:rFonts w:hint="default" w:ascii="Times New Roman" w:hAnsi="Times New Roman" w:eastAsia="宋体" w:cs="Times New Roman"/>
          <w:color w:val="auto"/>
          <w:highlight w:val="none"/>
          <w:vertAlign w:val="superscript"/>
        </w:rPr>
        <w:footnoteReference w:id="29"/>
      </w:r>
      <w:r>
        <w:rPr>
          <w:rFonts w:hint="default" w:ascii="Times New Roman" w:hAnsi="Times New Roman" w:eastAsia="宋体" w:cs="Times New Roman"/>
          <w:color w:val="auto"/>
          <w:sz w:val="24"/>
          <w:highlight w:val="none"/>
        </w:rPr>
        <w:t>投标报价有算术错误的，评标委员会按以下原则对投标报价进行修正，修正的价格经投标人书面确认后具有约束力。投标人不接受修正价格的，评标委员会应否决其投标。</w:t>
      </w:r>
    </w:p>
    <w:p w14:paraId="70AD7C9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（1）投标文件中的大写金额与小写金额不一致的，以大写金额为准；</w:t>
      </w:r>
    </w:p>
    <w:p w14:paraId="31C2B0A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（2）总价金额与依据单价计算出的结果不一致的，以单价金额为准修正总价，但单价金额小数点有明显错误的除外；</w:t>
      </w:r>
    </w:p>
    <w:p w14:paraId="3B8F2B71">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（3）当单价与数量相乘不等于合价时，以单价计算为准，如果单价有明显的小数点位置差错，应以标出的合价为准，同时对单价予以修正；</w:t>
      </w:r>
    </w:p>
    <w:p w14:paraId="3B46CCF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（4）当各子目的合价累计不等于总价时，应以各子目合价累计数为准，修正总价。</w:t>
      </w:r>
    </w:p>
    <w:p w14:paraId="18D1E18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3.3.3工程量清单中的投标报价有其他错误的，评标委员会按以下原则对投标报价进行修正，修正的价格经投标人书面确认后具有约束力。投标人不接受修正价格的，评标委员会应否决其投标。</w:t>
      </w:r>
    </w:p>
    <w:p w14:paraId="5B178F8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AB31395">
      <w:pPr>
        <w:pageBreakBefore w:val="0"/>
        <w:kinsoku/>
        <w:wordWrap w:val="0"/>
        <w:bidi w:val="0"/>
        <w:spacing w:line="400" w:lineRule="atLeas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5EAA00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（3）当单价与数量的乘积与合价（金额）虽然一致，但投标人修改了该子目的工程数量，则其合价按招标人给定的工程数量乘以投标人所报单价予以修正。</w:t>
      </w:r>
    </w:p>
    <w:p w14:paraId="769B6AB6">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3.3.4修正后的最终投标报价若超过最高投标限价（如有），评标委员会应否决其投标。</w:t>
      </w:r>
    </w:p>
    <w:p w14:paraId="4F300F62">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3.3.5修正后的最终投标报价仅作为签订合同的一个依据，不参与评标价得分的计算。</w:t>
      </w:r>
    </w:p>
    <w:p w14:paraId="72C853CA">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398" w:name="_Toc234832939"/>
      <w:bookmarkStart w:id="399" w:name="_Toc605"/>
      <w:bookmarkStart w:id="400" w:name="_Toc32333"/>
      <w:r>
        <w:rPr>
          <w:rFonts w:hint="default" w:ascii="Times New Roman" w:hAnsi="Times New Roman" w:eastAsia="黑体" w:cs="Times New Roman"/>
          <w:b w:val="0"/>
          <w:color w:val="auto"/>
          <w:sz w:val="24"/>
          <w:szCs w:val="24"/>
          <w:highlight w:val="none"/>
        </w:rPr>
        <w:t>3.4第二个信封详细评审</w:t>
      </w:r>
      <w:bookmarkEnd w:id="398"/>
      <w:bookmarkEnd w:id="399"/>
      <w:bookmarkEnd w:id="400"/>
    </w:p>
    <w:p w14:paraId="2CA0CE2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3.4.1评标委员会按本章第2.2款规定的量化因素和分值进行打分，并计算出综合评估得分（即评标价得分）。</w:t>
      </w:r>
    </w:p>
    <w:p w14:paraId="1C8AE102">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3.4.2投标人得分分值计算保留小数点后两位，小数点后第三位</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四舍五入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w:t>
      </w:r>
    </w:p>
    <w:p w14:paraId="2E865C51">
      <w:pPr>
        <w:pageBreakBefore w:val="0"/>
        <w:kinsoku/>
        <w:wordWrap w:val="0"/>
        <w:bidi w:val="0"/>
        <w:spacing w:line="400" w:lineRule="atLeast"/>
        <w:ind w:firstLine="480" w:firstLineChars="200"/>
        <w:outlineLvl w:val="9"/>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3.4.3评标委员会发现投标人的报价明显低于其他投标报价，是有可能影响履约的异常低价，应按本章3.</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款的规定向投标人发出澄清，要求该投标人作出书面说明该报价的合理性并提供相应证明材料。当投标人不能合理说明并证明其报价的合理性的，评标委员会应以少数服从多数的原则否决其投标。</w:t>
      </w:r>
    </w:p>
    <w:p w14:paraId="4DC3085B">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401" w:name="_Toc20918"/>
      <w:bookmarkStart w:id="402" w:name="_Toc16625"/>
      <w:r>
        <w:rPr>
          <w:rFonts w:hint="default" w:ascii="Times New Roman" w:hAnsi="Times New Roman" w:eastAsia="黑体" w:cs="Times New Roman"/>
          <w:b w:val="0"/>
          <w:color w:val="auto"/>
          <w:sz w:val="24"/>
          <w:szCs w:val="24"/>
          <w:highlight w:val="none"/>
        </w:rPr>
        <w:t>3.5投标文件相关信息的核查</w:t>
      </w:r>
      <w:bookmarkEnd w:id="401"/>
      <w:bookmarkEnd w:id="402"/>
    </w:p>
    <w:p w14:paraId="12214F4B">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3.5.1在评标过程中，评标委员会应查询交通运输主管部门</w:t>
      </w:r>
      <w:r>
        <w:rPr>
          <w:rFonts w:hint="eastAsia" w:ascii="宋体" w:hAnsi="宋体" w:eastAsia="宋体" w:cs="宋体"/>
          <w:color w:val="auto"/>
          <w:sz w:val="24"/>
          <w:highlight w:val="none"/>
        </w:rPr>
        <w:t>“</w:t>
      </w:r>
      <w:r>
        <w:rPr>
          <w:rFonts w:hint="eastAsia" w:cs="Times New Roman"/>
          <w:color w:val="auto"/>
          <w:sz w:val="24"/>
          <w:highlight w:val="none"/>
          <w:lang w:eastAsia="zh-CN"/>
        </w:rPr>
        <w:t>全国公路建设市场监督管理系统</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，对投标人的资质、业绩、主要人员资历和目前在岗情况、信用等级等信息进行核实。若投标文件载明的信息与交通运输主管部门</w:t>
      </w:r>
      <w:r>
        <w:rPr>
          <w:rFonts w:hint="eastAsia" w:ascii="宋体" w:hAnsi="宋体" w:eastAsia="宋体" w:cs="宋体"/>
          <w:color w:val="auto"/>
          <w:sz w:val="24"/>
          <w:highlight w:val="none"/>
        </w:rPr>
        <w:t>“</w:t>
      </w:r>
      <w:r>
        <w:rPr>
          <w:rFonts w:hint="eastAsia" w:cs="Times New Roman"/>
          <w:color w:val="auto"/>
          <w:sz w:val="24"/>
          <w:highlight w:val="none"/>
          <w:lang w:eastAsia="zh-CN"/>
        </w:rPr>
        <w:t>全国公路建设市场监督管理系统</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发布的信息不符，使得投标人的资格条件不符合招标文件规定的，评标委员会应否决其投标。</w:t>
      </w:r>
    </w:p>
    <w:p w14:paraId="35F837A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3.5.2评标委员会应对在评标过程中发现的投标人与投标人之间、投标人与招标人之间存在的串通投标的情形进行评审和认定。投标人存在串通投标、弄虚作假、行贿等违法行为的，评标委员会应否决其投标。</w:t>
      </w:r>
    </w:p>
    <w:p w14:paraId="4F29E17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（1）有下列情形之一的，属于投标人相互串通投标：</w:t>
      </w:r>
    </w:p>
    <w:p w14:paraId="6F76E2D4">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a.投标人之间协商投标报价等投标文件的实质性内容；</w:t>
      </w:r>
    </w:p>
    <w:p w14:paraId="2ECCA4F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b.投标人之间约定中标人；</w:t>
      </w:r>
    </w:p>
    <w:p w14:paraId="339F3B7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c.投标人之间约定部分投标人放弃投标或中标；</w:t>
      </w:r>
    </w:p>
    <w:p w14:paraId="0C3C3501">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d.属于同一集团、协会、商会等组织成员的投标人按照该组织要求协同投标；</w:t>
      </w:r>
    </w:p>
    <w:p w14:paraId="7113970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e.投标人之间为谋取中标或排斥特定投标人而采取的其他联合行动。</w:t>
      </w:r>
    </w:p>
    <w:p w14:paraId="4BD710F8">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（2）有下列情形之一的，视为投标人相互串通投标：</w:t>
      </w:r>
    </w:p>
    <w:p w14:paraId="02297B7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a.不同投标人的投标文件由同一单位或个人编制；</w:t>
      </w:r>
    </w:p>
    <w:p w14:paraId="1B66164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b.不同投标人委托同一单位或个人办理投标事宜；</w:t>
      </w:r>
    </w:p>
    <w:p w14:paraId="0C9C4E11">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c.不同投标人的投标文件载明的项目管理成员为同一人；</w:t>
      </w:r>
    </w:p>
    <w:p w14:paraId="422F3C2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d.不同投标人的投标文件异常一致或投标报价呈规律性差异；</w:t>
      </w:r>
    </w:p>
    <w:p w14:paraId="72DF1DA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e.不同投标人的投标文件相互混装；</w:t>
      </w:r>
    </w:p>
    <w:p w14:paraId="1ACDAE4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f.不同投标人的投标保证金从同一单位或个人的账户转出。</w:t>
      </w:r>
    </w:p>
    <w:p w14:paraId="4CB96FA4">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（3）有下列情形之一的，属于招标人与投标人串通投标：</w:t>
      </w:r>
    </w:p>
    <w:p w14:paraId="06AA49A2">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a.招标人在开标前开启投标文件并将有关信息泄露给其他投标人</w:t>
      </w:r>
      <w:r>
        <w:rPr>
          <w:rFonts w:hint="eastAsia" w:cs="Times New Roman"/>
          <w:color w:val="auto"/>
          <w:sz w:val="24"/>
          <w:highlight w:val="none"/>
          <w:lang w:eastAsia="zh-CN"/>
        </w:rPr>
        <w:t>；</w:t>
      </w:r>
    </w:p>
    <w:p w14:paraId="093D7E59">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b.招标人直接或间接向投标人泄露标底、评标委员会成员等信息；</w:t>
      </w:r>
    </w:p>
    <w:p w14:paraId="0158E914">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c.招标人明示或暗示投标人压低或抬高投标报价；</w:t>
      </w:r>
    </w:p>
    <w:p w14:paraId="2773E630">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d.招标人授意投标人撤换、修改投标文件；</w:t>
      </w:r>
    </w:p>
    <w:p w14:paraId="4A3A747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e.招标人明示或暗示投标人为特定投标人中标提供方便；</w:t>
      </w:r>
    </w:p>
    <w:p w14:paraId="2734786A">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f.招标人与投标人为谋求特定投标人中标而采取的其他串通行为。</w:t>
      </w:r>
    </w:p>
    <w:p w14:paraId="33226F20">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（4）投标人有下列情形之一的，属于弄虚作假的行为：</w:t>
      </w:r>
    </w:p>
    <w:p w14:paraId="40A0BC63">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a.使用通过受让或租借等方式获取的资格、资质证书投标；</w:t>
      </w:r>
    </w:p>
    <w:p w14:paraId="1A0ABD32">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b.使用伪造、变造的许可证件；</w:t>
      </w:r>
    </w:p>
    <w:p w14:paraId="098A1169">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c.提供虚假的财务状况或业绩；</w:t>
      </w:r>
    </w:p>
    <w:p w14:paraId="17E38B1C">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d.提供虚假的项目负责人或主要技术人员简历、劳动关系证明；</w:t>
      </w:r>
    </w:p>
    <w:p w14:paraId="5763A65B">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e.提供虚假的信用状况；</w:t>
      </w:r>
    </w:p>
    <w:p w14:paraId="1E2B773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f.其他弄虚作假的行为。</w:t>
      </w:r>
    </w:p>
    <w:p w14:paraId="5B589FAE">
      <w:pPr>
        <w:pageBreakBefore w:val="0"/>
        <w:kinsoku/>
        <w:wordWrap w:val="0"/>
        <w:bidi w:val="0"/>
        <w:spacing w:before="240" w:after="240" w:line="400" w:lineRule="atLeast"/>
        <w:outlineLvl w:val="9"/>
        <w:rPr>
          <w:rFonts w:hint="default" w:ascii="Times New Roman" w:hAnsi="Times New Roman" w:eastAsia="黑体" w:cs="Times New Roman"/>
          <w:b w:val="0"/>
          <w:color w:val="auto"/>
          <w:sz w:val="24"/>
          <w:szCs w:val="24"/>
          <w:highlight w:val="none"/>
        </w:rPr>
      </w:pPr>
      <w:bookmarkStart w:id="403" w:name="_Toc29213"/>
      <w:bookmarkStart w:id="404" w:name="_Toc15234"/>
      <w:bookmarkStart w:id="405" w:name="_Toc234832940"/>
      <w:r>
        <w:rPr>
          <w:rFonts w:hint="default" w:ascii="Times New Roman" w:hAnsi="Times New Roman" w:eastAsia="黑体" w:cs="Times New Roman"/>
          <w:b w:val="0"/>
          <w:color w:val="auto"/>
          <w:sz w:val="24"/>
          <w:szCs w:val="24"/>
          <w:highlight w:val="none"/>
        </w:rPr>
        <w:t>3.6投标文件的澄清和说明</w:t>
      </w:r>
      <w:bookmarkEnd w:id="403"/>
      <w:bookmarkEnd w:id="404"/>
    </w:p>
    <w:p w14:paraId="6BF1F527">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1C62AA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3.6.2澄清和说明不得超出投标文件的范围或改变投标文件的实质性内容（算术性错误的修正除外）。投标人的书面澄清、说明属于投标文件的组成部分。</w:t>
      </w:r>
    </w:p>
    <w:p w14:paraId="106AB99B">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3.6.3评标委员会不得暗示或诱导投标人作出澄清、说明，对投标人提交的澄清、说明有疑问的，可以要求投标人进一步澄清或说明，直至满足评标委员会的要求。</w:t>
      </w:r>
      <w:bookmarkEnd w:id="405"/>
    </w:p>
    <w:p w14:paraId="399F71F7">
      <w:pPr>
        <w:pageBreakBefore w:val="0"/>
        <w:kinsoku/>
        <w:wordWrap w:val="0"/>
        <w:bidi w:val="0"/>
        <w:spacing w:line="400" w:lineRule="atLeast"/>
        <w:ind w:firstLine="480" w:firstLineChars="200"/>
        <w:outlineLvl w:val="9"/>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3.6.4凡超出招标文件规定的或给发包人带来未曾要求的利益的变化、偏差或其他因素在评标时不予考虑。</w:t>
      </w:r>
    </w:p>
    <w:p w14:paraId="4E64FD55">
      <w:pPr>
        <w:pageBreakBefore w:val="0"/>
        <w:kinsoku/>
        <w:wordWrap w:val="0"/>
        <w:bidi w:val="0"/>
        <w:spacing w:before="240" w:after="240" w:line="400" w:lineRule="atLeast"/>
        <w:outlineLvl w:val="9"/>
        <w:rPr>
          <w:rFonts w:hint="default" w:ascii="Times New Roman" w:hAnsi="Times New Roman" w:eastAsia="黑体" w:cs="Times New Roman"/>
          <w:b w:val="0"/>
          <w:color w:val="auto"/>
          <w:sz w:val="24"/>
          <w:szCs w:val="24"/>
          <w:highlight w:val="none"/>
        </w:rPr>
      </w:pPr>
      <w:bookmarkStart w:id="406" w:name="_Toc7796"/>
      <w:bookmarkStart w:id="407" w:name="_Toc18964"/>
      <w:r>
        <w:rPr>
          <w:rFonts w:hint="default" w:ascii="Times New Roman" w:hAnsi="Times New Roman" w:eastAsia="黑体" w:cs="Times New Roman"/>
          <w:b w:val="0"/>
          <w:color w:val="auto"/>
          <w:sz w:val="24"/>
          <w:szCs w:val="24"/>
          <w:highlight w:val="none"/>
        </w:rPr>
        <w:t>3</w:t>
      </w:r>
      <w:r>
        <w:rPr>
          <w:rFonts w:hint="default" w:ascii="Times New Roman" w:hAnsi="Times New Roman" w:eastAsia="黑体" w:cs="Times New Roman"/>
          <w:b w:val="0"/>
          <w:color w:val="auto"/>
          <w:sz w:val="24"/>
          <w:szCs w:val="24"/>
          <w:highlight w:val="none"/>
          <w:lang w:eastAsia="zh-CN"/>
        </w:rPr>
        <w:t>.</w:t>
      </w:r>
      <w:r>
        <w:rPr>
          <w:rFonts w:hint="default" w:ascii="Times New Roman" w:hAnsi="Times New Roman" w:eastAsia="黑体" w:cs="Times New Roman"/>
          <w:b w:val="0"/>
          <w:color w:val="auto"/>
          <w:sz w:val="24"/>
          <w:szCs w:val="24"/>
          <w:highlight w:val="none"/>
        </w:rPr>
        <w:t>7不得否决投标的情形</w:t>
      </w:r>
      <w:bookmarkEnd w:id="406"/>
      <w:bookmarkEnd w:id="407"/>
    </w:p>
    <w:p w14:paraId="7FD1F7B9">
      <w:pPr>
        <w:pageBreakBefore w:val="0"/>
        <w:kinsoku/>
        <w:wordWrap w:val="0"/>
        <w:bidi w:val="0"/>
        <w:spacing w:line="400" w:lineRule="atLeast"/>
        <w:ind w:firstLine="480" w:firstLineChars="200"/>
        <w:outlineLvl w:val="9"/>
        <w:rPr>
          <w:rFonts w:hint="default" w:ascii="Times New Roman" w:hAnsi="Times New Roman" w:eastAsia="隶书" w:cs="Times New Roman"/>
          <w:color w:val="auto"/>
          <w:sz w:val="24"/>
          <w:highlight w:val="none"/>
        </w:rPr>
      </w:pPr>
      <w:r>
        <w:rPr>
          <w:rFonts w:hint="default" w:ascii="Times New Roman" w:hAnsi="Times New Roman" w:eastAsia="宋体" w:cs="Times New Roman"/>
          <w:color w:val="auto"/>
          <w:sz w:val="24"/>
          <w:highlight w:val="none"/>
        </w:rPr>
        <w:t>投标文件存在第二章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第1.12.3项所列情形的，均视为细微偏差，评标委员会不得否决投标人的投标，应按照第二章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第1.12.4项规定的原则处理。</w:t>
      </w:r>
    </w:p>
    <w:p w14:paraId="3A02E208">
      <w:pPr>
        <w:pageBreakBefore w:val="0"/>
        <w:kinsoku/>
        <w:wordWrap w:val="0"/>
        <w:bidi w:val="0"/>
        <w:spacing w:before="240" w:after="240" w:line="240" w:lineRule="atLeast"/>
        <w:outlineLvl w:val="9"/>
        <w:rPr>
          <w:rFonts w:hint="default" w:ascii="Times New Roman" w:hAnsi="Times New Roman" w:eastAsia="黑体" w:cs="Times New Roman"/>
          <w:b w:val="0"/>
          <w:color w:val="auto"/>
          <w:sz w:val="24"/>
          <w:szCs w:val="24"/>
          <w:highlight w:val="none"/>
        </w:rPr>
      </w:pPr>
      <w:bookmarkStart w:id="408" w:name="_Toc28490"/>
      <w:bookmarkStart w:id="409" w:name="_Toc234832941"/>
      <w:bookmarkStart w:id="410" w:name="_Toc10539"/>
      <w:r>
        <w:rPr>
          <w:rFonts w:hint="default" w:ascii="Times New Roman" w:hAnsi="Times New Roman" w:eastAsia="黑体" w:cs="Times New Roman"/>
          <w:b w:val="0"/>
          <w:color w:val="auto"/>
          <w:sz w:val="24"/>
          <w:szCs w:val="24"/>
          <w:highlight w:val="none"/>
        </w:rPr>
        <w:t>3.</w:t>
      </w:r>
      <w:r>
        <w:rPr>
          <w:rFonts w:hint="default" w:ascii="Times New Roman" w:hAnsi="Times New Roman" w:eastAsia="黑体" w:cs="Times New Roman"/>
          <w:b w:val="0"/>
          <w:color w:val="auto"/>
          <w:sz w:val="24"/>
          <w:szCs w:val="24"/>
          <w:highlight w:val="none"/>
          <w:lang w:eastAsia="zh-CN"/>
        </w:rPr>
        <w:t>8</w:t>
      </w:r>
      <w:r>
        <w:rPr>
          <w:rFonts w:hint="default" w:ascii="Times New Roman" w:hAnsi="Times New Roman" w:eastAsia="黑体" w:cs="Times New Roman"/>
          <w:b w:val="0"/>
          <w:color w:val="auto"/>
          <w:sz w:val="24"/>
          <w:szCs w:val="24"/>
          <w:highlight w:val="none"/>
        </w:rPr>
        <w:t>评标结果</w:t>
      </w:r>
      <w:bookmarkEnd w:id="408"/>
      <w:bookmarkEnd w:id="409"/>
      <w:bookmarkEnd w:id="410"/>
    </w:p>
    <w:p w14:paraId="1C94EB15">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3.8.1除第二章</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eastAsia="宋体" w:cs="Times New Roman"/>
          <w:color w:val="auto"/>
          <w:sz w:val="24"/>
          <w:highlight w:val="none"/>
        </w:rPr>
        <w:t>前附表授权直接确定中标人外，评标委员会按照得分由高到低的顺序推荐中标候选人，并标明排序。</w:t>
      </w:r>
    </w:p>
    <w:p w14:paraId="404E9C2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3.8.2评标委员会完成评标后，应向招标人提交评标报告。</w:t>
      </w:r>
    </w:p>
    <w:p w14:paraId="09A203AC">
      <w:pPr>
        <w:pStyle w:val="24"/>
        <w:pageBreakBefore w:val="0"/>
        <w:kinsoku/>
        <w:wordWrap w:val="0"/>
        <w:bidi w:val="0"/>
        <w:spacing w:line="360" w:lineRule="atLeast"/>
        <w:ind w:firstLine="480"/>
        <w:outlineLvl w:val="9"/>
        <w:rPr>
          <w:rFonts w:hint="default" w:ascii="Times New Roman" w:hAnsi="Times New Roman" w:eastAsia="隶书" w:cs="Times New Roman"/>
          <w:color w:val="auto"/>
          <w:sz w:val="24"/>
          <w:szCs w:val="24"/>
          <w:highlight w:val="none"/>
        </w:rPr>
        <w:sectPr>
          <w:headerReference r:id="rId27" w:type="default"/>
          <w:footerReference r:id="rId28"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054208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E88A7C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A1332A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665EF9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704F7D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B80266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A2EA8A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CEA2F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124F8F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967485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A6D09D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0E0A307">
      <w:pPr>
        <w:pageBreakBefore w:val="0"/>
        <w:kinsoku/>
        <w:wordWrap w:val="0"/>
        <w:topLinePunct/>
        <w:bidi w:val="0"/>
        <w:spacing w:line="240" w:lineRule="atLeast"/>
        <w:ind w:right="31" w:rightChars="15"/>
        <w:jc w:val="center"/>
        <w:outlineLvl w:val="1"/>
        <w:rPr>
          <w:rFonts w:hint="default" w:ascii="Times New Roman" w:hAnsi="Times New Roman" w:eastAsia="黑体" w:cs="Times New Roman"/>
          <w:color w:val="auto"/>
          <w:sz w:val="56"/>
          <w:szCs w:val="56"/>
          <w:highlight w:val="none"/>
        </w:rPr>
      </w:pPr>
      <w:bookmarkStart w:id="411" w:name="_Toc27019"/>
      <w:bookmarkStart w:id="412" w:name="_Toc234832964"/>
      <w:bookmarkStart w:id="413" w:name="_Toc11119"/>
      <w:bookmarkStart w:id="414" w:name="_Toc5239"/>
      <w:bookmarkStart w:id="415" w:name="_Toc22672"/>
      <w:r>
        <w:rPr>
          <w:rFonts w:hint="default" w:ascii="Times New Roman" w:hAnsi="Times New Roman" w:eastAsia="黑体" w:cs="Times New Roman"/>
          <w:color w:val="auto"/>
          <w:sz w:val="56"/>
          <w:szCs w:val="56"/>
          <w:highlight w:val="none"/>
        </w:rPr>
        <w:t>第四章</w:t>
      </w:r>
      <w:r>
        <w:rPr>
          <w:rFonts w:hint="eastAsia" w:ascii="Times New Roman" w:hAnsi="Times New Roman"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合同条款及格式</w:t>
      </w:r>
      <w:bookmarkEnd w:id="411"/>
      <w:bookmarkEnd w:id="412"/>
      <w:bookmarkEnd w:id="413"/>
      <w:r>
        <w:rPr>
          <w:rFonts w:hint="default" w:ascii="Times New Roman" w:hAnsi="Times New Roman" w:eastAsia="黑体" w:cs="Times New Roman"/>
          <w:color w:val="auto"/>
          <w:sz w:val="56"/>
          <w:szCs w:val="56"/>
          <w:highlight w:val="none"/>
          <w:vertAlign w:val="superscript"/>
        </w:rPr>
        <w:footnoteReference w:id="30"/>
      </w:r>
      <w:bookmarkEnd w:id="414"/>
      <w:bookmarkEnd w:id="415"/>
    </w:p>
    <w:p w14:paraId="4BEDB55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9B6B3F5">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A169AD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A0E94E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r>
        <w:rPr>
          <w:rFonts w:hint="default" w:ascii="Times New Roman" w:hAnsi="Times New Roman" w:cs="Times New Roman"/>
          <w:color w:val="auto"/>
          <w:sz w:val="20"/>
          <w:szCs w:val="20"/>
          <w:highlight w:val="none"/>
        </w:rPr>
        <w:br w:type="page"/>
      </w:r>
      <w:bookmarkStart w:id="416" w:name="_Toc234832965"/>
    </w:p>
    <w:p w14:paraId="0020234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543AA3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CC537E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F8F52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66B636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53A05B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1B56A2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80FE70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03352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D6B946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7600BA">
      <w:pPr>
        <w:pStyle w:val="5"/>
        <w:pageBreakBefore w:val="0"/>
        <w:kinsoku/>
        <w:wordWrap w:val="0"/>
        <w:bidi w:val="0"/>
        <w:spacing w:before="240" w:after="240" w:line="380" w:lineRule="atLeast"/>
        <w:jc w:val="center"/>
        <w:outlineLvl w:val="2"/>
        <w:rPr>
          <w:rFonts w:hint="default" w:ascii="Times New Roman" w:hAnsi="Times New Roman" w:eastAsia="黑体" w:cs="Times New Roman"/>
          <w:b w:val="0"/>
          <w:color w:val="auto"/>
          <w:sz w:val="42"/>
          <w:szCs w:val="42"/>
          <w:highlight w:val="none"/>
        </w:rPr>
      </w:pPr>
      <w:bookmarkStart w:id="417" w:name="_Toc8047"/>
      <w:bookmarkStart w:id="418" w:name="_Toc18651"/>
      <w:bookmarkStart w:id="419" w:name="_Toc22989"/>
      <w:bookmarkStart w:id="420" w:name="_Toc3167"/>
      <w:r>
        <w:rPr>
          <w:rFonts w:hint="default" w:ascii="Times New Roman" w:hAnsi="Times New Roman" w:eastAsia="黑体" w:cs="Times New Roman"/>
          <w:b w:val="0"/>
          <w:color w:val="auto"/>
          <w:sz w:val="42"/>
          <w:szCs w:val="42"/>
          <w:highlight w:val="none"/>
        </w:rPr>
        <w:t>第一节</w:t>
      </w:r>
      <w:r>
        <w:rPr>
          <w:rFonts w:hint="eastAsia" w:eastAsia="黑体" w:cs="Times New Roman"/>
          <w:b w:val="0"/>
          <w:color w:val="auto"/>
          <w:sz w:val="42"/>
          <w:szCs w:val="42"/>
          <w:highlight w:val="none"/>
          <w:lang w:val="en-US" w:eastAsia="zh-CN"/>
        </w:rPr>
        <w:t xml:space="preserve"> </w:t>
      </w:r>
      <w:r>
        <w:rPr>
          <w:rFonts w:hint="default" w:ascii="Times New Roman" w:hAnsi="Times New Roman" w:eastAsia="黑体" w:cs="Times New Roman"/>
          <w:b w:val="0"/>
          <w:color w:val="auto"/>
          <w:sz w:val="42"/>
          <w:szCs w:val="42"/>
          <w:highlight w:val="none"/>
        </w:rPr>
        <w:t>通用合同条款</w:t>
      </w:r>
      <w:bookmarkEnd w:id="416"/>
      <w:r>
        <w:rPr>
          <w:rStyle w:val="48"/>
          <w:rFonts w:hint="default" w:ascii="Times New Roman" w:hAnsi="Times New Roman" w:eastAsia="黑体" w:cs="Times New Roman"/>
          <w:b w:val="0"/>
          <w:color w:val="auto"/>
          <w:sz w:val="32"/>
          <w:szCs w:val="32"/>
          <w:highlight w:val="none"/>
        </w:rPr>
        <w:footnoteReference w:id="31"/>
      </w:r>
      <w:bookmarkEnd w:id="417"/>
      <w:bookmarkEnd w:id="418"/>
      <w:bookmarkEnd w:id="419"/>
      <w:bookmarkEnd w:id="420"/>
    </w:p>
    <w:p w14:paraId="5ADD53AB">
      <w:pPr>
        <w:pageBreakBefore w:val="0"/>
        <w:kinsoku/>
        <w:wordWrap w:val="0"/>
        <w:bidi w:val="0"/>
        <w:spacing w:before="240" w:after="240" w:line="380" w:lineRule="atLeast"/>
        <w:jc w:val="center"/>
        <w:outlineLvl w:val="9"/>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sz w:val="32"/>
          <w:szCs w:val="32"/>
          <w:highlight w:val="none"/>
        </w:rPr>
        <w:br w:type="page"/>
      </w:r>
      <w:bookmarkStart w:id="421" w:name="_Toc1065"/>
      <w:bookmarkStart w:id="422" w:name="_Toc14452"/>
      <w:bookmarkStart w:id="423" w:name="_Toc32556"/>
      <w:bookmarkStart w:id="424" w:name="_Toc234832966"/>
      <w:r>
        <w:rPr>
          <w:rFonts w:hint="default" w:ascii="Times New Roman" w:hAnsi="Times New Roman" w:eastAsia="黑体" w:cs="Times New Roman"/>
          <w:b w:val="0"/>
          <w:color w:val="auto"/>
          <w:sz w:val="32"/>
          <w:szCs w:val="32"/>
          <w:highlight w:val="none"/>
        </w:rPr>
        <w:t>通用合同条款</w:t>
      </w:r>
      <w:bookmarkEnd w:id="421"/>
      <w:bookmarkEnd w:id="422"/>
      <w:bookmarkEnd w:id="423"/>
      <w:bookmarkEnd w:id="424"/>
    </w:p>
    <w:p w14:paraId="6AA6B8CB">
      <w:pPr>
        <w:pageBreakBefore w:val="0"/>
        <w:kinsoku/>
        <w:wordWrap w:val="0"/>
        <w:bidi w:val="0"/>
        <w:spacing w:before="360" w:after="240" w:line="380" w:lineRule="atLeast"/>
        <w:outlineLvl w:val="9"/>
        <w:rPr>
          <w:rFonts w:hint="default" w:ascii="Times New Roman" w:hAnsi="Times New Roman" w:eastAsia="黑体" w:cs="Times New Roman"/>
          <w:b w:val="0"/>
          <w:color w:val="auto"/>
          <w:sz w:val="28"/>
          <w:szCs w:val="28"/>
          <w:highlight w:val="none"/>
        </w:rPr>
      </w:pPr>
      <w:bookmarkStart w:id="425" w:name="_Toc28721"/>
      <w:bookmarkStart w:id="426" w:name="_Toc30881"/>
      <w:bookmarkStart w:id="427" w:name="_Toc234832967"/>
      <w:bookmarkStart w:id="428" w:name="_Toc24661"/>
      <w:r>
        <w:rPr>
          <w:rFonts w:hint="default" w:ascii="Times New Roman" w:hAnsi="Times New Roman" w:eastAsia="黑体" w:cs="Times New Roman"/>
          <w:b w:val="0"/>
          <w:color w:val="auto"/>
          <w:sz w:val="28"/>
          <w:szCs w:val="28"/>
          <w:highlight w:val="none"/>
        </w:rPr>
        <w:t>1.一般约定</w:t>
      </w:r>
      <w:bookmarkEnd w:id="425"/>
      <w:bookmarkEnd w:id="426"/>
      <w:bookmarkEnd w:id="427"/>
      <w:bookmarkEnd w:id="428"/>
      <w:r>
        <w:rPr>
          <w:rFonts w:hint="default" w:ascii="Times New Roman" w:hAnsi="Times New Roman" w:eastAsia="黑体" w:cs="Times New Roman"/>
          <w:b w:val="0"/>
          <w:color w:val="auto"/>
          <w:sz w:val="28"/>
          <w:szCs w:val="28"/>
          <w:highlight w:val="none"/>
        </w:rPr>
        <w:tab/>
      </w:r>
    </w:p>
    <w:p w14:paraId="1E4F540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29" w:name="_Toc10064"/>
      <w:bookmarkStart w:id="430" w:name="_Toc5421"/>
      <w:bookmarkStart w:id="431" w:name="_Toc24826"/>
      <w:bookmarkStart w:id="432" w:name="_Toc234832968"/>
      <w:r>
        <w:rPr>
          <w:rFonts w:hint="default" w:ascii="Times New Roman" w:hAnsi="Times New Roman" w:eastAsia="黑体" w:cs="Times New Roman"/>
          <w:b w:val="0"/>
          <w:color w:val="auto"/>
          <w:sz w:val="24"/>
          <w:szCs w:val="24"/>
          <w:highlight w:val="none"/>
        </w:rPr>
        <w:t>1.1</w:t>
      </w:r>
      <w:r>
        <w:rPr>
          <w:rFonts w:hint="default" w:ascii="Times New Roman" w:hAnsi="Times New Roman" w:eastAsia="黑体" w:cs="Times New Roman"/>
          <w:b w:val="0"/>
          <w:color w:val="auto"/>
          <w:sz w:val="24"/>
          <w:szCs w:val="24"/>
          <w:highlight w:val="none"/>
        </w:rPr>
        <w:tab/>
      </w:r>
      <w:r>
        <w:rPr>
          <w:rFonts w:hint="default" w:ascii="Times New Roman" w:hAnsi="Times New Roman" w:eastAsia="黑体" w:cs="Times New Roman"/>
          <w:b w:val="0"/>
          <w:color w:val="auto"/>
          <w:sz w:val="24"/>
          <w:szCs w:val="24"/>
          <w:highlight w:val="none"/>
        </w:rPr>
        <w:t>词语定义</w:t>
      </w:r>
      <w:bookmarkEnd w:id="429"/>
      <w:bookmarkEnd w:id="430"/>
      <w:bookmarkEnd w:id="431"/>
      <w:bookmarkEnd w:id="432"/>
    </w:p>
    <w:p w14:paraId="4AB4D233">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通用合同条款、专用合同条款中的下列词语应具有本款所赋予的含义。</w:t>
      </w:r>
    </w:p>
    <w:p w14:paraId="4E36DA85">
      <w:pPr>
        <w:pageBreakBefore w:val="0"/>
        <w:kinsoku/>
        <w:wordWrap w:val="0"/>
        <w:bidi w:val="0"/>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default" w:ascii="Times New Roman" w:hAnsi="Times New Roman" w:eastAsia="黑体" w:cs="Times New Roman"/>
          <w:color w:val="auto"/>
          <w:sz w:val="24"/>
          <w:highlight w:val="none"/>
        </w:rPr>
        <w:t>合同</w:t>
      </w:r>
    </w:p>
    <w:p w14:paraId="1507979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1.1.1.1合同文件（或称合同）：指合同协议书、中标通知书、投标函及投标函附录、专用合同条款、通用合同条款、技术标准和要求、图纸、已标价工程量清单，以及其他合同文件。</w:t>
      </w:r>
    </w:p>
    <w:p w14:paraId="714FCB8F">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1.1.1.2合同协议书：指第1.5款所指的合同协议书。</w:t>
      </w:r>
    </w:p>
    <w:p w14:paraId="74F76FE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1.1.1.3中标通知书：指发包人通知承包人中标的函件。</w:t>
      </w:r>
    </w:p>
    <w:p w14:paraId="55A5B6B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1.1.1.4投标函：指构成合同文件组成部分的由承包人填写并签署的投标函。</w:t>
      </w:r>
    </w:p>
    <w:p w14:paraId="01606A1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1.1.1.5投标函附录：指附在投标函后构成合同文件的投标函附录。</w:t>
      </w:r>
    </w:p>
    <w:p w14:paraId="43BC1FD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1.1.1.6技术标准和要求：指构成合同文件组成部分的名为技术标准和要求的文件，包括合同双方当事人约定对其所作的修改或补充。</w:t>
      </w:r>
    </w:p>
    <w:p w14:paraId="6364E11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1.1.1.7图纸：指包含在合同中的工程图纸，以及由发包人按合同约定提供的任何补充和修改的图纸，包括配套的说明。</w:t>
      </w:r>
    </w:p>
    <w:p w14:paraId="7C01300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1.1.1.8已标价工程量清单：指构成合同文件组成部分的由承包人按照规定的格式和要求填写并标明价格的工程量清单。</w:t>
      </w:r>
    </w:p>
    <w:p w14:paraId="1EB1B429">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1.1.1.9其他合同文件：指经合同双方当事人确认构成合同文件的其他文件。</w:t>
      </w:r>
    </w:p>
    <w:p w14:paraId="05353B57">
      <w:pPr>
        <w:pageBreakBefore w:val="0"/>
        <w:kinsoku/>
        <w:wordWrap w:val="0"/>
        <w:bidi w:val="0"/>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1.1.2</w:t>
      </w:r>
      <w:r>
        <w:rPr>
          <w:rFonts w:hint="default" w:ascii="Times New Roman" w:hAnsi="Times New Roman" w:eastAsia="黑体" w:cs="Times New Roman"/>
          <w:color w:val="auto"/>
          <w:sz w:val="24"/>
          <w:highlight w:val="none"/>
        </w:rPr>
        <w:t>合同当事人和人员</w:t>
      </w:r>
    </w:p>
    <w:p w14:paraId="541CD46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1.1.2.1合同当事人：指发包人和（或）承包人。</w:t>
      </w:r>
    </w:p>
    <w:p w14:paraId="125731F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1.1.2.2发包人：指专用合同条款中指明并与承包人在合同协议书中签字的当事人。</w:t>
      </w:r>
    </w:p>
    <w:p w14:paraId="72ADAD7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1.1.2.3承包人：指与发包人签订合同协议书的当事人。</w:t>
      </w:r>
    </w:p>
    <w:p w14:paraId="6A4F9F99">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1.1.2.4承包人项目经理：指承包人派驻施工场地的全权负责人。</w:t>
      </w:r>
    </w:p>
    <w:p w14:paraId="02F8042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1.1.2.5分包人：指从承包人处分包合同中某一部分工程，并与其签订分包合同的分包人。</w:t>
      </w:r>
    </w:p>
    <w:p w14:paraId="60BC9C5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1.1.2.6监理人：指在专用合同条款中指明的，受发包人委托对合同履行实施管理的法人或其他组织。</w:t>
      </w:r>
    </w:p>
    <w:p w14:paraId="7A20878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1.1.2.7总监理工程师（总监）：指由监理人委派常驻施工场地对合同履行实施管理的全权负责人。</w:t>
      </w:r>
    </w:p>
    <w:p w14:paraId="6434D3B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w:t>
      </w:r>
      <w:r>
        <w:rPr>
          <w:rFonts w:hint="default" w:ascii="Times New Roman" w:hAnsi="Times New Roman" w:eastAsia="黑体" w:cs="Times New Roman"/>
          <w:color w:val="auto"/>
          <w:sz w:val="24"/>
          <w:highlight w:val="none"/>
        </w:rPr>
        <w:t>工程和设备</w:t>
      </w:r>
    </w:p>
    <w:p w14:paraId="552D5B8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1.1.3.1工程：指永久工程和（或）临时工程。</w:t>
      </w:r>
    </w:p>
    <w:p w14:paraId="4A5BE04B">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1.1.3.2永久工程：指按合同约定建造并移交给发包人的工程，包括工程设备。</w:t>
      </w:r>
    </w:p>
    <w:p w14:paraId="5E0F6455">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1.1.3.3临时工程：指为完成合同约定的永久工程所修建的各类临时性工程，不包括施工设备。</w:t>
      </w:r>
    </w:p>
    <w:p w14:paraId="0805895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1.1.3.4单位工程：指专用合同条款中指明特定范围的永久工程。</w:t>
      </w:r>
    </w:p>
    <w:p w14:paraId="6DF0D15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1.1.3.5工程设备：指构成或计划构成永久工程一部分的机电设备、金属结构设备、仪器装置及其他类似的设备和装置。</w:t>
      </w:r>
    </w:p>
    <w:p w14:paraId="05A48750">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1.1.3.6施工设备：指为完成合同约定的各项工作所需的设备、器具和其他物品，不包括临时工程和材料。</w:t>
      </w:r>
    </w:p>
    <w:p w14:paraId="75619B80">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1.1.3.7临时设施：指为完成合同约定的各项工作所服务的临时性生产和生活设施。</w:t>
      </w:r>
    </w:p>
    <w:p w14:paraId="2F80E39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1.1.3.8承包人设备：指承包人自带的施工设备。</w:t>
      </w:r>
    </w:p>
    <w:p w14:paraId="2C82208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1.1.3.9施工场地（或称工地、现场）：指用于合同工程施工的场所，以及在合同中指定作为施工场地组成部分的其他场所，包括永久占地和临时占地。</w:t>
      </w:r>
    </w:p>
    <w:p w14:paraId="273CB94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1.1.3.10永久占地：指专用合同条款中指明为实施合同工程需永久占用的土地。</w:t>
      </w:r>
    </w:p>
    <w:p w14:paraId="30F0B0C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1.1.3.11临时占地：指专用合同条款中指明为实施合同工程需临时占用的土地。</w:t>
      </w:r>
    </w:p>
    <w:p w14:paraId="12B27DFC">
      <w:pPr>
        <w:pageBreakBefore w:val="0"/>
        <w:kinsoku/>
        <w:wordWrap w:val="0"/>
        <w:bidi w:val="0"/>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1.1.4</w:t>
      </w:r>
      <w:r>
        <w:rPr>
          <w:rFonts w:hint="default" w:ascii="Times New Roman" w:hAnsi="Times New Roman" w:eastAsia="黑体" w:cs="Times New Roman"/>
          <w:color w:val="auto"/>
          <w:sz w:val="24"/>
          <w:highlight w:val="none"/>
        </w:rPr>
        <w:t>日期</w:t>
      </w:r>
    </w:p>
    <w:p w14:paraId="632FF0C8">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1.1.4.1开工通知：指监理人按第11.1款通知承包人开工的函件。</w:t>
      </w:r>
    </w:p>
    <w:p w14:paraId="6620A418">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1.1.4.2开工日期：指监理人按第11.1款发出的开工通知中写明的开工日期。</w:t>
      </w:r>
    </w:p>
    <w:p w14:paraId="14F45D7F">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1.1.4.3工期：指承包人在投标函中承诺的完成合同工程所需的期限，包括按第11.3款、第11.4款和第11.6款约定所作的变更。</w:t>
      </w:r>
    </w:p>
    <w:p w14:paraId="349C8B6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1.1.4.4竣工日期：指第1.1.4.3目约定工期届满时的日期。实际竣工日期以工程接收证书中写明的日期为准。</w:t>
      </w:r>
    </w:p>
    <w:p w14:paraId="4D397683">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1.1.4.5缺陷责任期：指履行第19.2款约定的缺陷责任的期限，具体期限由专用合同条款约定，包括根据第19.3款约定所作的延长。</w:t>
      </w:r>
    </w:p>
    <w:p w14:paraId="4A3EC0C1">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1.1.4.6基准日期：指投标截止时间前28天的日期。</w:t>
      </w:r>
    </w:p>
    <w:p w14:paraId="4C97DE96">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1.1.4.7天：除特别指明外，指日历天。合同中按天计算时间的，开始当天不计入，从次日开始计算。期限最后一天的截止时间为当天24:00。</w:t>
      </w:r>
    </w:p>
    <w:p w14:paraId="3912725A">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w:t>
      </w:r>
      <w:r>
        <w:rPr>
          <w:rFonts w:hint="default" w:ascii="Times New Roman" w:hAnsi="Times New Roman" w:eastAsia="黑体" w:cs="Times New Roman"/>
          <w:color w:val="auto"/>
          <w:sz w:val="24"/>
          <w:highlight w:val="none"/>
        </w:rPr>
        <w:t>合同价格和费用</w:t>
      </w:r>
    </w:p>
    <w:p w14:paraId="32321F1A">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1.1.5.1签约合同价：指签订合同时合同协议书中写明的，包括了暂列金额、暂估价的合同总金额。</w:t>
      </w:r>
    </w:p>
    <w:p w14:paraId="6C278165">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1.1.5.2合同价格：指承包人按合同约定完成了包括缺陷责任期内的全部承包工作后，发包人应付给承包人的金额，包括在履行合同过程中按合同约定进行的变更和调整。</w:t>
      </w:r>
    </w:p>
    <w:p w14:paraId="2E925B29">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1.1.5.3费用：指为履行合同所发生的或将要发生的所有合理开支，包括管理费和应分摊的其他费用，但不包括利润。</w:t>
      </w:r>
    </w:p>
    <w:p w14:paraId="19886387">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1.1.5.4暂列金额：指已标价工程量清单中所列的暂列金额，用于在签订协议书时尚未确定或不可预见变更的施工及其所需材料、工程设备、服务等的金额，包括以计日工方式支付的金额。</w:t>
      </w:r>
    </w:p>
    <w:p w14:paraId="6507C334">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1.1.5.5暂估价：指发包人在工程量清单中给定的用于支付必然发生但暂时不能确定价格的材料、工程设备以及专业工程的金额。</w:t>
      </w:r>
    </w:p>
    <w:p w14:paraId="5398EB38">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1.1.5.6计日工：指对零星工作采取的一种计价方式，按合同中的计日工子目及其单价计价付款。</w:t>
      </w:r>
    </w:p>
    <w:p w14:paraId="14330D12">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1.1.5.7质量保证金（或称保留金）：指按第17.4.1项约定用于保证在缺陷责任期内履行缺陷修复义务的金额。</w:t>
      </w:r>
    </w:p>
    <w:p w14:paraId="6EFC036E">
      <w:pPr>
        <w:pageBreakBefore w:val="0"/>
        <w:kinsoku/>
        <w:wordWrap w:val="0"/>
        <w:bidi w:val="0"/>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w:t>
      </w:r>
      <w:r>
        <w:rPr>
          <w:rFonts w:hint="default" w:ascii="Times New Roman" w:hAnsi="Times New Roman" w:eastAsia="黑体" w:cs="Times New Roman"/>
          <w:color w:val="auto"/>
          <w:sz w:val="24"/>
          <w:highlight w:val="none"/>
        </w:rPr>
        <w:t>其他</w:t>
      </w:r>
    </w:p>
    <w:p w14:paraId="30DA39DE">
      <w:pPr>
        <w:pageBreakBefore w:val="0"/>
        <w:kinsoku/>
        <w:wordWrap w:val="0"/>
        <w:bidi w:val="0"/>
        <w:spacing w:line="400" w:lineRule="atLeas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1.1.6.1书面形式：指合同文件、信函、电报、传真等可以有形地表现所载内容的形式。</w:t>
      </w:r>
    </w:p>
    <w:p w14:paraId="6A2C30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33" w:name="_Toc234832969"/>
      <w:bookmarkStart w:id="434" w:name="_Toc22350"/>
      <w:bookmarkStart w:id="435" w:name="_Toc25135"/>
      <w:bookmarkStart w:id="436" w:name="_Toc27354"/>
      <w:r>
        <w:rPr>
          <w:rFonts w:hint="default" w:ascii="Times New Roman" w:hAnsi="Times New Roman" w:eastAsia="黑体" w:cs="Times New Roman"/>
          <w:b w:val="0"/>
          <w:color w:val="auto"/>
          <w:sz w:val="24"/>
          <w:szCs w:val="24"/>
          <w:highlight w:val="none"/>
        </w:rPr>
        <w:t>1.2语言文字</w:t>
      </w:r>
      <w:bookmarkEnd w:id="433"/>
      <w:bookmarkEnd w:id="434"/>
      <w:bookmarkEnd w:id="435"/>
      <w:bookmarkEnd w:id="436"/>
    </w:p>
    <w:p w14:paraId="4BF196F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除专用术语外，合同使用的语言文字为中文。必要时专用术语应附有中文注释。</w:t>
      </w:r>
    </w:p>
    <w:p w14:paraId="3BEE524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37" w:name="_Toc234832970"/>
      <w:bookmarkStart w:id="438" w:name="_Toc13856"/>
      <w:bookmarkStart w:id="439" w:name="_Toc8637"/>
      <w:bookmarkStart w:id="440" w:name="_Toc317"/>
      <w:r>
        <w:rPr>
          <w:rFonts w:hint="default" w:ascii="Times New Roman" w:hAnsi="Times New Roman" w:eastAsia="黑体" w:cs="Times New Roman"/>
          <w:b w:val="0"/>
          <w:color w:val="auto"/>
          <w:sz w:val="24"/>
          <w:szCs w:val="24"/>
          <w:highlight w:val="none"/>
        </w:rPr>
        <w:t>1.3法律</w:t>
      </w:r>
      <w:bookmarkEnd w:id="437"/>
      <w:bookmarkEnd w:id="438"/>
      <w:bookmarkEnd w:id="439"/>
      <w:bookmarkEnd w:id="440"/>
    </w:p>
    <w:p w14:paraId="22852B62">
      <w:pPr>
        <w:pageBreakBefore w:val="0"/>
        <w:tabs>
          <w:tab w:val="left" w:pos="7020"/>
        </w:tabs>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适用于合同的法律包括中华人民共和国法律、行政法规、部门规章，以及工程所在地的地方法规、自治条例、单行条例和地方政府规章。</w:t>
      </w:r>
    </w:p>
    <w:p w14:paraId="0527A54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41" w:name="_Toc9336"/>
      <w:bookmarkStart w:id="442" w:name="_Toc8196"/>
      <w:bookmarkStart w:id="443" w:name="_Toc23484"/>
      <w:bookmarkStart w:id="444" w:name="_Toc234832971"/>
      <w:r>
        <w:rPr>
          <w:rFonts w:hint="default" w:ascii="Times New Roman" w:hAnsi="Times New Roman" w:eastAsia="黑体" w:cs="Times New Roman"/>
          <w:b w:val="0"/>
          <w:color w:val="auto"/>
          <w:sz w:val="24"/>
          <w:szCs w:val="24"/>
          <w:highlight w:val="none"/>
        </w:rPr>
        <w:t>1.4合同文件的优先顺序</w:t>
      </w:r>
      <w:bookmarkEnd w:id="441"/>
      <w:bookmarkEnd w:id="442"/>
      <w:bookmarkEnd w:id="443"/>
      <w:bookmarkEnd w:id="444"/>
    </w:p>
    <w:p w14:paraId="79B12600">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组成合同的各项文件应互相解释，互为说明。除专用合同条款另有约定外，解释合同文件的优先顺序如下：</w:t>
      </w:r>
    </w:p>
    <w:p w14:paraId="6686AEB4">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（1）合同协议书；</w:t>
      </w:r>
    </w:p>
    <w:p w14:paraId="295A703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（2）中标通知书；</w:t>
      </w:r>
    </w:p>
    <w:p w14:paraId="63F70AF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（3）投标函及投标函附录；</w:t>
      </w:r>
    </w:p>
    <w:p w14:paraId="2A97E10F">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（4）专用合同条款；</w:t>
      </w:r>
    </w:p>
    <w:p w14:paraId="02B907F0">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（5）通用合同条款；</w:t>
      </w:r>
    </w:p>
    <w:p w14:paraId="525C3E0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（6）技术标准和要求；</w:t>
      </w:r>
    </w:p>
    <w:p w14:paraId="1CF87D22">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（7）图纸；</w:t>
      </w:r>
    </w:p>
    <w:p w14:paraId="443D33F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（8）已标价工程量清单；</w:t>
      </w:r>
    </w:p>
    <w:p w14:paraId="5F51ABAA">
      <w:pPr>
        <w:pageBreakBefore w:val="0"/>
        <w:kinsoku/>
        <w:wordWrap w:val="0"/>
        <w:bidi w:val="0"/>
        <w:spacing w:line="400" w:lineRule="atLeast"/>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（9）其他合同文件。</w:t>
      </w:r>
    </w:p>
    <w:p w14:paraId="4921D5C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45" w:name="_Toc234832972"/>
      <w:bookmarkStart w:id="446" w:name="_Toc29563"/>
      <w:bookmarkStart w:id="447" w:name="_Toc7240"/>
      <w:bookmarkStart w:id="448" w:name="_Toc1591"/>
      <w:r>
        <w:rPr>
          <w:rFonts w:hint="default" w:ascii="Times New Roman" w:hAnsi="Times New Roman" w:eastAsia="黑体" w:cs="Times New Roman"/>
          <w:b w:val="0"/>
          <w:color w:val="auto"/>
          <w:sz w:val="24"/>
          <w:szCs w:val="24"/>
          <w:highlight w:val="none"/>
        </w:rPr>
        <w:t>1.5合同协议书</w:t>
      </w:r>
      <w:bookmarkEnd w:id="445"/>
      <w:bookmarkEnd w:id="446"/>
      <w:bookmarkEnd w:id="447"/>
      <w:bookmarkEnd w:id="448"/>
    </w:p>
    <w:p w14:paraId="2A40A1B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2A4E98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49" w:name="_Toc18684"/>
      <w:bookmarkStart w:id="450" w:name="_Toc30819"/>
      <w:bookmarkStart w:id="451" w:name="_Toc24591"/>
      <w:bookmarkStart w:id="452" w:name="_Toc234832973"/>
      <w:r>
        <w:rPr>
          <w:rFonts w:hint="default" w:ascii="Times New Roman" w:hAnsi="Times New Roman" w:eastAsia="黑体" w:cs="Times New Roman"/>
          <w:b w:val="0"/>
          <w:color w:val="auto"/>
          <w:sz w:val="24"/>
          <w:szCs w:val="24"/>
          <w:highlight w:val="none"/>
        </w:rPr>
        <w:t>1.6图纸和承包人文件</w:t>
      </w:r>
      <w:bookmarkEnd w:id="449"/>
      <w:bookmarkEnd w:id="450"/>
      <w:bookmarkEnd w:id="451"/>
      <w:bookmarkEnd w:id="452"/>
    </w:p>
    <w:p w14:paraId="595E47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w:t>
      </w:r>
      <w:r>
        <w:rPr>
          <w:rFonts w:hint="default" w:ascii="Times New Roman" w:hAnsi="Times New Roman" w:eastAsia="黑体" w:cs="Times New Roman"/>
          <w:color w:val="auto"/>
          <w:sz w:val="24"/>
          <w:highlight w:val="none"/>
        </w:rPr>
        <w:t>图纸的提供</w:t>
      </w:r>
    </w:p>
    <w:p w14:paraId="53D8B2A9">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除专用合同条款另有约定外，图纸应在合理的期限内按照合同约定的数量提供给承包人。由于发包人未按时提供图纸造成工期延误的，按第11.3款的约定办理。</w:t>
      </w:r>
    </w:p>
    <w:p w14:paraId="15E1C577">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1.6.2</w:t>
      </w:r>
      <w:r>
        <w:rPr>
          <w:rFonts w:hint="default" w:ascii="Times New Roman" w:hAnsi="Times New Roman" w:eastAsia="黑体" w:cs="Times New Roman"/>
          <w:color w:val="auto"/>
          <w:sz w:val="24"/>
          <w:highlight w:val="none"/>
        </w:rPr>
        <w:t>承包人提供的文件</w:t>
      </w:r>
    </w:p>
    <w:p w14:paraId="7D67D35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按专用合同条款约定由承包人提供的文件，包括部分工程的大样图、加工图等，承包人应按约定的数量和期限报送监理人。监理人应在专用合同条款约定的期限内批复。</w:t>
      </w:r>
    </w:p>
    <w:p w14:paraId="61BBD78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w:t>
      </w:r>
      <w:r>
        <w:rPr>
          <w:rFonts w:hint="default" w:ascii="Times New Roman" w:hAnsi="Times New Roman" w:eastAsia="黑体" w:cs="Times New Roman"/>
          <w:color w:val="auto"/>
          <w:sz w:val="24"/>
          <w:highlight w:val="none"/>
        </w:rPr>
        <w:t>图纸的修改</w:t>
      </w:r>
    </w:p>
    <w:p w14:paraId="06B1EC9B">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F916339">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w:t>
      </w:r>
      <w:r>
        <w:rPr>
          <w:rFonts w:hint="default" w:ascii="Times New Roman" w:hAnsi="Times New Roman" w:eastAsia="黑体" w:cs="Times New Roman"/>
          <w:color w:val="auto"/>
          <w:sz w:val="24"/>
          <w:highlight w:val="none"/>
        </w:rPr>
        <w:t>图纸的错误</w:t>
      </w:r>
    </w:p>
    <w:p w14:paraId="7DD26160">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承包人发现发包人提供的图纸存在明显错误或疏忽，应及时通知监理人。</w:t>
      </w:r>
    </w:p>
    <w:p w14:paraId="4A76F242">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1.6.5</w:t>
      </w:r>
      <w:r>
        <w:rPr>
          <w:rFonts w:hint="default" w:ascii="Times New Roman" w:hAnsi="Times New Roman" w:eastAsia="黑体" w:cs="Times New Roman"/>
          <w:color w:val="auto"/>
          <w:sz w:val="24"/>
          <w:highlight w:val="none"/>
        </w:rPr>
        <w:t>图纸和承包人文件的保管</w:t>
      </w:r>
    </w:p>
    <w:p w14:paraId="422F6EE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监理人和承包人均应在施工场地各保存一套完整的包含第1.6.1项、第1.6.2项、第1.6.3项约定内容的图纸和承包人文件。</w:t>
      </w:r>
    </w:p>
    <w:p w14:paraId="2B0690A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53" w:name="_Toc234832974"/>
      <w:bookmarkStart w:id="454" w:name="_Toc3784"/>
      <w:bookmarkStart w:id="455" w:name="_Toc3785"/>
      <w:bookmarkStart w:id="456" w:name="_Toc28959"/>
      <w:r>
        <w:rPr>
          <w:rFonts w:hint="default" w:ascii="Times New Roman" w:hAnsi="Times New Roman" w:eastAsia="黑体" w:cs="Times New Roman"/>
          <w:b w:val="0"/>
          <w:color w:val="auto"/>
          <w:sz w:val="24"/>
          <w:szCs w:val="24"/>
          <w:highlight w:val="none"/>
        </w:rPr>
        <w:t>1.7联络</w:t>
      </w:r>
      <w:bookmarkEnd w:id="453"/>
      <w:bookmarkEnd w:id="454"/>
      <w:bookmarkEnd w:id="455"/>
      <w:bookmarkEnd w:id="456"/>
    </w:p>
    <w:p w14:paraId="52118EC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1.7.1与合同有关的通知、批准、证明、证书、指示、要求、请求、同意、意见、确定和决定等，均应采用书面形式。</w:t>
      </w:r>
    </w:p>
    <w:p w14:paraId="43D3E69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1.7.2第1.7.1项中的通知、批准、证明、证书、指示、要求、请求、同意、意见、确定和决定等来往函件，均应在合同约定的期限内送达指定地点和接收人，并办理签收手续。</w:t>
      </w:r>
    </w:p>
    <w:p w14:paraId="12F4050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57" w:name="_Toc162"/>
      <w:bookmarkStart w:id="458" w:name="_Toc13094"/>
      <w:bookmarkStart w:id="459" w:name="_Toc234832975"/>
      <w:bookmarkStart w:id="460" w:name="_Toc8917"/>
      <w:r>
        <w:rPr>
          <w:rFonts w:hint="default" w:ascii="Times New Roman" w:hAnsi="Times New Roman" w:eastAsia="黑体" w:cs="Times New Roman"/>
          <w:b w:val="0"/>
          <w:color w:val="auto"/>
          <w:sz w:val="24"/>
          <w:szCs w:val="24"/>
          <w:highlight w:val="none"/>
        </w:rPr>
        <w:t>1.8转让</w:t>
      </w:r>
      <w:bookmarkEnd w:id="457"/>
      <w:bookmarkEnd w:id="458"/>
      <w:bookmarkEnd w:id="459"/>
      <w:bookmarkEnd w:id="460"/>
    </w:p>
    <w:p w14:paraId="5810E1F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除合同另有约定外，未经对方当事人同意，一方当事人不得将合同权利全部或部分转让给第三人，也不得全部或部分转移合同义务。</w:t>
      </w:r>
    </w:p>
    <w:p w14:paraId="03390F6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61" w:name="_Toc234832976"/>
      <w:bookmarkStart w:id="462" w:name="_Toc24262"/>
      <w:bookmarkStart w:id="463" w:name="_Toc23791"/>
      <w:bookmarkStart w:id="464" w:name="_Toc6228"/>
      <w:r>
        <w:rPr>
          <w:rFonts w:hint="default" w:ascii="Times New Roman" w:hAnsi="Times New Roman" w:eastAsia="黑体" w:cs="Times New Roman"/>
          <w:b w:val="0"/>
          <w:color w:val="auto"/>
          <w:sz w:val="24"/>
          <w:szCs w:val="24"/>
          <w:highlight w:val="none"/>
        </w:rPr>
        <w:t>1.9严禁贿赂</w:t>
      </w:r>
      <w:bookmarkEnd w:id="461"/>
      <w:bookmarkEnd w:id="462"/>
      <w:bookmarkEnd w:id="463"/>
      <w:bookmarkEnd w:id="464"/>
    </w:p>
    <w:p w14:paraId="50B5E60E">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合同双方当事人不得以贿赂或变相贿赂的方式，谋取不当利益或损害对方权益。因贿赂造成对方损失的，行为人应赔偿损失，并承担相应的法律责任。</w:t>
      </w:r>
    </w:p>
    <w:p w14:paraId="1F1A2E3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65" w:name="_Toc1823"/>
      <w:bookmarkStart w:id="466" w:name="_Toc234832977"/>
      <w:bookmarkStart w:id="467" w:name="_Toc5924"/>
      <w:bookmarkStart w:id="468" w:name="_Toc28929"/>
      <w:r>
        <w:rPr>
          <w:rFonts w:hint="default" w:ascii="Times New Roman" w:hAnsi="Times New Roman" w:eastAsia="黑体" w:cs="Times New Roman"/>
          <w:b w:val="0"/>
          <w:color w:val="auto"/>
          <w:sz w:val="24"/>
          <w:szCs w:val="24"/>
          <w:highlight w:val="none"/>
        </w:rPr>
        <w:t>1.10化石、文物</w:t>
      </w:r>
      <w:bookmarkEnd w:id="465"/>
      <w:bookmarkEnd w:id="466"/>
      <w:bookmarkEnd w:id="467"/>
      <w:bookmarkEnd w:id="468"/>
    </w:p>
    <w:p w14:paraId="1720EFB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1.10.1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FC4A6D3">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1.10.2承包人发现文物后不及时报告或隐瞒不报，致使文物丢失或损坏的，应赔偿损失，并承担相应的法律责任。</w:t>
      </w:r>
    </w:p>
    <w:p w14:paraId="6856879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69" w:name="_Toc7504"/>
      <w:bookmarkStart w:id="470" w:name="_Toc27784"/>
      <w:bookmarkStart w:id="471" w:name="_Toc24599"/>
      <w:bookmarkStart w:id="472" w:name="_Toc234832978"/>
      <w:r>
        <w:rPr>
          <w:rFonts w:hint="default" w:ascii="Times New Roman" w:hAnsi="Times New Roman" w:eastAsia="黑体" w:cs="Times New Roman"/>
          <w:b w:val="0"/>
          <w:color w:val="auto"/>
          <w:sz w:val="24"/>
          <w:szCs w:val="24"/>
          <w:highlight w:val="none"/>
        </w:rPr>
        <w:t>1.11专利技术</w:t>
      </w:r>
      <w:bookmarkEnd w:id="469"/>
      <w:bookmarkEnd w:id="470"/>
      <w:bookmarkEnd w:id="471"/>
      <w:bookmarkEnd w:id="472"/>
    </w:p>
    <w:p w14:paraId="3A86707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1.11.1承包人在使用任何材料、承包人设备、工程设备或采用施工工艺时，因侵犯专利权或其他知识产权所引起的责任，由承包人承担，但由于遵照发包人提供的设计或技术标准和要求引起的除外。</w:t>
      </w:r>
    </w:p>
    <w:p w14:paraId="38ACE0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1.11.2承包人在投标文件中采用专利技术的，专利技术的使用费包含在投标报价内。</w:t>
      </w:r>
    </w:p>
    <w:p w14:paraId="2168DBD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1.11.3承包人的技术秘密和声明需要保密的资料和信息，发包人和监理人不得为合同以外的目的泄露给他人。</w:t>
      </w:r>
    </w:p>
    <w:p w14:paraId="78ACD53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73" w:name="_Toc234832979"/>
      <w:bookmarkStart w:id="474" w:name="_Toc963"/>
      <w:bookmarkStart w:id="475" w:name="_Toc2063"/>
      <w:bookmarkStart w:id="476" w:name="_Toc29843"/>
      <w:r>
        <w:rPr>
          <w:rFonts w:hint="default" w:ascii="Times New Roman" w:hAnsi="Times New Roman" w:eastAsia="黑体" w:cs="Times New Roman"/>
          <w:b w:val="0"/>
          <w:color w:val="auto"/>
          <w:sz w:val="24"/>
          <w:szCs w:val="24"/>
          <w:highlight w:val="none"/>
        </w:rPr>
        <w:t>1.12图纸和文件的保密</w:t>
      </w:r>
      <w:bookmarkEnd w:id="473"/>
      <w:bookmarkEnd w:id="474"/>
      <w:bookmarkEnd w:id="475"/>
      <w:bookmarkEnd w:id="476"/>
    </w:p>
    <w:p w14:paraId="6DECE5B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1.12.1发包人提供的图纸和文件，未经发包人同意，承包人不得为合同以外的目的泄露给他人或公开发表与引用。</w:t>
      </w:r>
    </w:p>
    <w:p w14:paraId="2E2B1A7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1.12.2承包人提供的文件，未经承包人同意，发包人和监理人不得为合同以外的目的泄露给他人或公开发表与引用。</w:t>
      </w:r>
    </w:p>
    <w:p w14:paraId="7626824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477" w:name="_Toc234832980"/>
      <w:bookmarkStart w:id="478" w:name="_Toc11044"/>
      <w:bookmarkStart w:id="479" w:name="_Toc2725"/>
      <w:bookmarkStart w:id="480" w:name="_Toc28964"/>
      <w:r>
        <w:rPr>
          <w:rFonts w:hint="default" w:ascii="Times New Roman" w:hAnsi="Times New Roman" w:eastAsia="黑体" w:cs="Times New Roman"/>
          <w:b w:val="0"/>
          <w:color w:val="auto"/>
          <w:sz w:val="28"/>
          <w:szCs w:val="28"/>
          <w:highlight w:val="none"/>
        </w:rPr>
        <w:t>2.发包人义务</w:t>
      </w:r>
      <w:bookmarkEnd w:id="477"/>
      <w:bookmarkEnd w:id="478"/>
      <w:bookmarkEnd w:id="479"/>
      <w:bookmarkEnd w:id="480"/>
    </w:p>
    <w:p w14:paraId="3BFEE29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81" w:name="_Toc9101"/>
      <w:bookmarkStart w:id="482" w:name="_Toc234832981"/>
      <w:bookmarkStart w:id="483" w:name="_Toc25606"/>
      <w:bookmarkStart w:id="484" w:name="_Toc5651"/>
      <w:r>
        <w:rPr>
          <w:rFonts w:hint="default" w:ascii="Times New Roman" w:hAnsi="Times New Roman" w:eastAsia="黑体" w:cs="Times New Roman"/>
          <w:b w:val="0"/>
          <w:color w:val="auto"/>
          <w:sz w:val="24"/>
          <w:szCs w:val="24"/>
          <w:highlight w:val="none"/>
        </w:rPr>
        <w:t>2.1遵守法律</w:t>
      </w:r>
      <w:bookmarkEnd w:id="481"/>
      <w:bookmarkEnd w:id="482"/>
      <w:bookmarkEnd w:id="483"/>
      <w:bookmarkEnd w:id="484"/>
    </w:p>
    <w:p w14:paraId="0466AB7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发包人在履行合同过程中应遵守法律，并保证承包人免于承担因发包人违反法律而引起的任何责任。</w:t>
      </w:r>
    </w:p>
    <w:p w14:paraId="3305A62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85" w:name="_Toc31599"/>
      <w:bookmarkStart w:id="486" w:name="_Toc234832982"/>
      <w:bookmarkStart w:id="487" w:name="_Toc19902"/>
      <w:bookmarkStart w:id="488" w:name="_Toc31024"/>
      <w:r>
        <w:rPr>
          <w:rFonts w:hint="default" w:ascii="Times New Roman" w:hAnsi="Times New Roman" w:eastAsia="黑体" w:cs="Times New Roman"/>
          <w:b w:val="0"/>
          <w:color w:val="auto"/>
          <w:sz w:val="24"/>
          <w:szCs w:val="24"/>
          <w:highlight w:val="none"/>
        </w:rPr>
        <w:t>2.2发出开工通知</w:t>
      </w:r>
      <w:bookmarkEnd w:id="485"/>
      <w:bookmarkEnd w:id="486"/>
      <w:bookmarkEnd w:id="487"/>
      <w:bookmarkEnd w:id="488"/>
    </w:p>
    <w:p w14:paraId="6D516D7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发包人应委托监理人按第11.1款的约定向承包人发出开工通知。</w:t>
      </w:r>
    </w:p>
    <w:p w14:paraId="1093D38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89" w:name="_Toc12076"/>
      <w:bookmarkStart w:id="490" w:name="_Toc234832983"/>
      <w:bookmarkStart w:id="491" w:name="_Toc17104"/>
      <w:bookmarkStart w:id="492" w:name="_Toc12327"/>
      <w:r>
        <w:rPr>
          <w:rFonts w:hint="default" w:ascii="Times New Roman" w:hAnsi="Times New Roman" w:eastAsia="黑体" w:cs="Times New Roman"/>
          <w:b w:val="0"/>
          <w:color w:val="auto"/>
          <w:sz w:val="24"/>
          <w:szCs w:val="24"/>
          <w:highlight w:val="none"/>
        </w:rPr>
        <w:t>2.3提供施工场地</w:t>
      </w:r>
      <w:bookmarkEnd w:id="489"/>
      <w:bookmarkEnd w:id="490"/>
      <w:bookmarkEnd w:id="491"/>
      <w:bookmarkEnd w:id="492"/>
    </w:p>
    <w:p w14:paraId="04300EF3">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发包人应按专用合同条款约定向承包人提供施工场地，以及施工场地内地下管线和地下设施等有关资料，并保证资料的真实、准确、完整。</w:t>
      </w:r>
    </w:p>
    <w:p w14:paraId="24262F4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93" w:name="_Toc12372"/>
      <w:bookmarkStart w:id="494" w:name="_Toc234832984"/>
      <w:bookmarkStart w:id="495" w:name="_Toc12536"/>
      <w:bookmarkStart w:id="496" w:name="_Toc15886"/>
      <w:r>
        <w:rPr>
          <w:rFonts w:hint="default" w:ascii="Times New Roman" w:hAnsi="Times New Roman" w:eastAsia="黑体" w:cs="Times New Roman"/>
          <w:b w:val="0"/>
          <w:color w:val="auto"/>
          <w:sz w:val="24"/>
          <w:szCs w:val="24"/>
          <w:highlight w:val="none"/>
        </w:rPr>
        <w:t>2.4协助承包人办理证件和批件</w:t>
      </w:r>
      <w:bookmarkEnd w:id="493"/>
      <w:bookmarkEnd w:id="494"/>
      <w:bookmarkEnd w:id="495"/>
      <w:bookmarkEnd w:id="496"/>
    </w:p>
    <w:p w14:paraId="2CF61F4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发包人应协助承包人办理法律规定的有关施工证件和批件。</w:t>
      </w:r>
    </w:p>
    <w:p w14:paraId="0DAD9F6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497" w:name="_Toc6781"/>
      <w:bookmarkStart w:id="498" w:name="_Toc234832985"/>
      <w:bookmarkStart w:id="499" w:name="_Toc2840"/>
      <w:bookmarkStart w:id="500" w:name="_Toc22937"/>
      <w:r>
        <w:rPr>
          <w:rFonts w:hint="default" w:ascii="Times New Roman" w:hAnsi="Times New Roman" w:eastAsia="黑体" w:cs="Times New Roman"/>
          <w:b w:val="0"/>
          <w:color w:val="auto"/>
          <w:sz w:val="24"/>
          <w:szCs w:val="24"/>
          <w:highlight w:val="none"/>
        </w:rPr>
        <w:t>2.5组织设计交底</w:t>
      </w:r>
      <w:bookmarkEnd w:id="497"/>
      <w:bookmarkEnd w:id="498"/>
      <w:bookmarkEnd w:id="499"/>
      <w:bookmarkEnd w:id="500"/>
    </w:p>
    <w:p w14:paraId="1264241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发包人应根据合同进度计划，组织设计单位向承包人进行设计交底。</w:t>
      </w:r>
    </w:p>
    <w:p w14:paraId="70C45C3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01" w:name="_Toc15709"/>
      <w:bookmarkStart w:id="502" w:name="_Toc2788"/>
      <w:bookmarkStart w:id="503" w:name="_Toc18904"/>
      <w:bookmarkStart w:id="504" w:name="_Toc234832986"/>
      <w:r>
        <w:rPr>
          <w:rFonts w:hint="default" w:ascii="Times New Roman" w:hAnsi="Times New Roman" w:eastAsia="黑体" w:cs="Times New Roman"/>
          <w:b w:val="0"/>
          <w:color w:val="auto"/>
          <w:sz w:val="24"/>
          <w:szCs w:val="24"/>
          <w:highlight w:val="none"/>
        </w:rPr>
        <w:t>2.6支付合同价款</w:t>
      </w:r>
      <w:bookmarkEnd w:id="501"/>
      <w:bookmarkEnd w:id="502"/>
      <w:bookmarkEnd w:id="503"/>
      <w:bookmarkEnd w:id="504"/>
    </w:p>
    <w:p w14:paraId="5AE08D1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发包人应按合同约定向承包人及时支付合同价款。</w:t>
      </w:r>
    </w:p>
    <w:p w14:paraId="03EB274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05" w:name="_Toc12390"/>
      <w:bookmarkStart w:id="506" w:name="_Toc1813"/>
      <w:bookmarkStart w:id="507" w:name="_Toc234832987"/>
      <w:bookmarkStart w:id="508" w:name="_Toc8246"/>
      <w:r>
        <w:rPr>
          <w:rFonts w:hint="default" w:ascii="Times New Roman" w:hAnsi="Times New Roman" w:eastAsia="黑体" w:cs="Times New Roman"/>
          <w:b w:val="0"/>
          <w:color w:val="auto"/>
          <w:sz w:val="24"/>
          <w:szCs w:val="24"/>
          <w:highlight w:val="none"/>
        </w:rPr>
        <w:t>2.7组织竣工验收</w:t>
      </w:r>
      <w:bookmarkEnd w:id="505"/>
      <w:bookmarkEnd w:id="506"/>
      <w:bookmarkEnd w:id="507"/>
      <w:bookmarkEnd w:id="508"/>
    </w:p>
    <w:p w14:paraId="69B32CE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发包人应按合同约定及时组织竣工验收。</w:t>
      </w:r>
    </w:p>
    <w:p w14:paraId="3DC950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09" w:name="_Toc234832988"/>
      <w:bookmarkStart w:id="510" w:name="_Toc4891"/>
      <w:bookmarkStart w:id="511" w:name="_Toc16971"/>
      <w:bookmarkStart w:id="512" w:name="_Toc13771"/>
      <w:r>
        <w:rPr>
          <w:rFonts w:hint="default" w:ascii="Times New Roman" w:hAnsi="Times New Roman" w:eastAsia="黑体" w:cs="Times New Roman"/>
          <w:b w:val="0"/>
          <w:color w:val="auto"/>
          <w:sz w:val="24"/>
          <w:szCs w:val="24"/>
          <w:highlight w:val="none"/>
        </w:rPr>
        <w:t>2.8其他义务</w:t>
      </w:r>
      <w:bookmarkEnd w:id="509"/>
      <w:bookmarkEnd w:id="510"/>
      <w:bookmarkEnd w:id="511"/>
      <w:bookmarkEnd w:id="512"/>
    </w:p>
    <w:p w14:paraId="112CE1BB">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发包人应履行合同约定的其他义务。</w:t>
      </w:r>
    </w:p>
    <w:p w14:paraId="6306B28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513" w:name="_Toc234832989"/>
      <w:bookmarkStart w:id="514" w:name="_Toc11915"/>
      <w:bookmarkStart w:id="515" w:name="_Toc22971"/>
      <w:bookmarkStart w:id="516" w:name="_Toc7583"/>
      <w:r>
        <w:rPr>
          <w:rFonts w:hint="default" w:ascii="Times New Roman" w:hAnsi="Times New Roman" w:eastAsia="黑体" w:cs="Times New Roman"/>
          <w:b w:val="0"/>
          <w:color w:val="auto"/>
          <w:sz w:val="28"/>
          <w:szCs w:val="28"/>
          <w:highlight w:val="none"/>
        </w:rPr>
        <w:t>3.监理人</w:t>
      </w:r>
      <w:bookmarkEnd w:id="513"/>
      <w:bookmarkEnd w:id="514"/>
      <w:bookmarkEnd w:id="515"/>
      <w:bookmarkEnd w:id="516"/>
    </w:p>
    <w:p w14:paraId="23342743">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517" w:name="_Toc21643"/>
      <w:bookmarkStart w:id="518" w:name="_Toc6610"/>
      <w:bookmarkStart w:id="519" w:name="_Toc16801"/>
      <w:bookmarkStart w:id="520" w:name="_Toc234832990"/>
      <w:r>
        <w:rPr>
          <w:rFonts w:hint="default" w:ascii="Times New Roman" w:hAnsi="Times New Roman" w:eastAsia="黑体" w:cs="Times New Roman"/>
          <w:b w:val="0"/>
          <w:color w:val="auto"/>
          <w:sz w:val="24"/>
          <w:szCs w:val="24"/>
          <w:highlight w:val="none"/>
        </w:rPr>
        <w:t>3.1监理人的职责和权力</w:t>
      </w:r>
      <w:bookmarkEnd w:id="517"/>
      <w:bookmarkEnd w:id="518"/>
      <w:bookmarkEnd w:id="519"/>
      <w:bookmarkEnd w:id="520"/>
    </w:p>
    <w:p w14:paraId="3BB5A3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3.1.1监理人受发包人委托，享有合同约定的权力。监理人在行使某项权力前需要经发包人事先批准而通用合同条款没有指明的，应在专用合同条款中指明。</w:t>
      </w:r>
    </w:p>
    <w:p w14:paraId="7F6373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3.1.2监理人发出的任何指示应视为已得到发包人的批准，但监理人无权免除或变更合同约定的发包人和承包人的权利、义务和责任。</w:t>
      </w:r>
    </w:p>
    <w:p w14:paraId="117C6CA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3.1.3合同约定应由承包人承担的义务和责任，不因监理人对承包人提交文件的审查或批准，对工程、材料和设备的检查和检验，以及为实施监理作出的指示等职务行为而减轻或解除。</w:t>
      </w:r>
    </w:p>
    <w:p w14:paraId="5ABC9F6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21" w:name="_Toc8512"/>
      <w:bookmarkStart w:id="522" w:name="_Toc234832991"/>
      <w:bookmarkStart w:id="523" w:name="_Toc8960"/>
      <w:bookmarkStart w:id="524" w:name="_Toc4457"/>
      <w:r>
        <w:rPr>
          <w:rFonts w:hint="default" w:ascii="Times New Roman" w:hAnsi="Times New Roman" w:eastAsia="黑体" w:cs="Times New Roman"/>
          <w:b w:val="0"/>
          <w:color w:val="auto"/>
          <w:sz w:val="24"/>
          <w:szCs w:val="24"/>
          <w:highlight w:val="none"/>
        </w:rPr>
        <w:t>3.2总监理工程师</w:t>
      </w:r>
      <w:bookmarkEnd w:id="521"/>
      <w:bookmarkEnd w:id="522"/>
      <w:bookmarkEnd w:id="523"/>
      <w:bookmarkEnd w:id="524"/>
    </w:p>
    <w:p w14:paraId="0AF1B38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282010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25" w:name="_Toc234832992"/>
      <w:bookmarkStart w:id="526" w:name="_Toc2208"/>
      <w:bookmarkStart w:id="527" w:name="_Toc26577"/>
      <w:bookmarkStart w:id="528" w:name="_Toc28836"/>
      <w:r>
        <w:rPr>
          <w:rFonts w:hint="default" w:ascii="Times New Roman" w:hAnsi="Times New Roman" w:eastAsia="黑体" w:cs="Times New Roman"/>
          <w:b w:val="0"/>
          <w:color w:val="auto"/>
          <w:sz w:val="24"/>
          <w:szCs w:val="24"/>
          <w:highlight w:val="none"/>
        </w:rPr>
        <w:t>3.3监理人员</w:t>
      </w:r>
      <w:bookmarkEnd w:id="525"/>
      <w:bookmarkEnd w:id="526"/>
      <w:bookmarkEnd w:id="527"/>
      <w:bookmarkEnd w:id="528"/>
    </w:p>
    <w:p w14:paraId="03F316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902281E">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3.3.2监理人员对承包人的任何工作、工程或其采用的材料和工程设备未在约定的或合理的期限内提出否定意见的，视为已获批准，但不影响监理人在以后拒绝该项工作、工程、材料或工程设备的权利。</w:t>
      </w:r>
    </w:p>
    <w:p w14:paraId="6E9C3EC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3.3.3承包人对总监理工程师授权的监理人员发出的指示有疑问的，可向总监理工程师提出书面异议，总监理工程师应在48小时内对该指示予以确认、更改或撤销。</w:t>
      </w:r>
    </w:p>
    <w:p w14:paraId="1A3F7B9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3.3.4除专用合同条款另有约定外，总监理工程师不应将第3.5款约定应由总监理工程师作出确定的权力授权或委托给其他监理人员。</w:t>
      </w:r>
    </w:p>
    <w:p w14:paraId="4881757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29" w:name="_Toc234832993"/>
      <w:bookmarkStart w:id="530" w:name="_Toc1056"/>
      <w:bookmarkStart w:id="531" w:name="_Toc12482"/>
      <w:bookmarkStart w:id="532" w:name="_Toc31668"/>
      <w:r>
        <w:rPr>
          <w:rFonts w:hint="default" w:ascii="Times New Roman" w:hAnsi="Times New Roman" w:eastAsia="黑体" w:cs="Times New Roman"/>
          <w:b w:val="0"/>
          <w:color w:val="auto"/>
          <w:sz w:val="24"/>
          <w:szCs w:val="24"/>
          <w:highlight w:val="none"/>
        </w:rPr>
        <w:t>3.4监理人的指示</w:t>
      </w:r>
      <w:bookmarkEnd w:id="529"/>
      <w:bookmarkEnd w:id="530"/>
      <w:bookmarkEnd w:id="531"/>
      <w:bookmarkEnd w:id="532"/>
    </w:p>
    <w:p w14:paraId="79DA2DC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3.4.1监理人应按第3.1款的约定向承包人发出指示，监理人的指示应盖有监理人授权的施工场地机构章，并由总监理工程师或总监理工程师按第3.3.1项约定授权的监理人员签字。</w:t>
      </w:r>
    </w:p>
    <w:p w14:paraId="6FECE68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3.4.2承包人收到监理人按第3.4.1项作出的指示后应遵照执行。指示构成变更的，应按第15条处理。</w:t>
      </w:r>
    </w:p>
    <w:p w14:paraId="51A02C8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3.4.3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6F906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3.4.4除合同另有约定外，承包人只从总监理工程师或按第3.3.1项被授权的监理人员处取得指示。</w:t>
      </w:r>
    </w:p>
    <w:p w14:paraId="73CE1220">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3.4.5由于监理人未能按合同约定发出指示、指示延误或指示错误而导致承包人费用增加和（或）工期延误的，由发包人承担赔偿责任。</w:t>
      </w:r>
    </w:p>
    <w:p w14:paraId="6761E72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33" w:name="_Toc13069"/>
      <w:bookmarkStart w:id="534" w:name="_Toc7716"/>
      <w:bookmarkStart w:id="535" w:name="_Toc9828"/>
      <w:bookmarkStart w:id="536" w:name="_Toc234832994"/>
      <w:r>
        <w:rPr>
          <w:rFonts w:hint="default" w:ascii="Times New Roman" w:hAnsi="Times New Roman" w:eastAsia="黑体" w:cs="Times New Roman"/>
          <w:b w:val="0"/>
          <w:color w:val="auto"/>
          <w:sz w:val="24"/>
          <w:szCs w:val="24"/>
          <w:highlight w:val="none"/>
        </w:rPr>
        <w:t>3.5商定或确定</w:t>
      </w:r>
      <w:bookmarkEnd w:id="533"/>
      <w:bookmarkEnd w:id="534"/>
      <w:bookmarkEnd w:id="535"/>
      <w:bookmarkEnd w:id="536"/>
    </w:p>
    <w:p w14:paraId="74192CF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14:paraId="0FD722C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3.5.2总监理工程师应将商定或确定的事项通知合同当事人，并附详细依据。对总监理工程师的确定有异议的，</w:t>
      </w:r>
      <w:r>
        <w:rPr>
          <w:rFonts w:hint="default" w:ascii="Times New Roman" w:hAnsi="Times New Roman" w:cs="Times New Roman"/>
          <w:iCs/>
          <w:color w:val="auto"/>
          <w:sz w:val="24"/>
          <w:highlight w:val="none"/>
        </w:rPr>
        <w:t>构成争议，</w:t>
      </w:r>
      <w:r>
        <w:rPr>
          <w:rFonts w:hint="default" w:ascii="Times New Roman" w:hAnsi="Times New Roman" w:cs="Times New Roman"/>
          <w:color w:val="auto"/>
          <w:sz w:val="24"/>
          <w:highlight w:val="none"/>
        </w:rPr>
        <w:t>按照第24条的约定处理。在争议解决前，双方应暂按总监理工程师的确定执行，按照第24条的约定对总监理工程师的确定作出修改的，按修改后的结果执行。</w:t>
      </w:r>
    </w:p>
    <w:p w14:paraId="5855688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537" w:name="_Toc1630"/>
      <w:bookmarkStart w:id="538" w:name="_Toc30028"/>
      <w:bookmarkStart w:id="539" w:name="_Toc234832995"/>
      <w:bookmarkStart w:id="540" w:name="_Toc9721"/>
      <w:r>
        <w:rPr>
          <w:rFonts w:hint="default" w:ascii="Times New Roman" w:hAnsi="Times New Roman" w:eastAsia="黑体" w:cs="Times New Roman"/>
          <w:b w:val="0"/>
          <w:color w:val="auto"/>
          <w:sz w:val="28"/>
          <w:szCs w:val="28"/>
          <w:highlight w:val="none"/>
        </w:rPr>
        <w:t>4.承包人</w:t>
      </w:r>
      <w:bookmarkEnd w:id="537"/>
      <w:bookmarkEnd w:id="538"/>
      <w:bookmarkEnd w:id="539"/>
      <w:bookmarkEnd w:id="540"/>
    </w:p>
    <w:p w14:paraId="279110A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41" w:name="_Toc25150"/>
      <w:bookmarkStart w:id="542" w:name="_Toc21919"/>
      <w:bookmarkStart w:id="543" w:name="_Toc234832996"/>
      <w:bookmarkStart w:id="544" w:name="_Toc20434"/>
      <w:r>
        <w:rPr>
          <w:rFonts w:hint="default" w:ascii="Times New Roman" w:hAnsi="Times New Roman" w:eastAsia="黑体" w:cs="Times New Roman"/>
          <w:b w:val="0"/>
          <w:color w:val="auto"/>
          <w:sz w:val="24"/>
          <w:szCs w:val="24"/>
          <w:highlight w:val="none"/>
        </w:rPr>
        <w:t>4.1承包人的一般义务</w:t>
      </w:r>
      <w:bookmarkEnd w:id="541"/>
      <w:bookmarkEnd w:id="542"/>
      <w:bookmarkEnd w:id="543"/>
      <w:bookmarkEnd w:id="544"/>
    </w:p>
    <w:p w14:paraId="6F5EEE64">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w:t>
      </w:r>
      <w:r>
        <w:rPr>
          <w:rFonts w:hint="default" w:ascii="Times New Roman" w:hAnsi="Times New Roman" w:eastAsia="黑体" w:cs="Times New Roman"/>
          <w:color w:val="auto"/>
          <w:sz w:val="24"/>
          <w:highlight w:val="none"/>
        </w:rPr>
        <w:t>遵守法律</w:t>
      </w:r>
    </w:p>
    <w:p w14:paraId="58206EE1">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承包人在履行合同过程中应遵守法律，并保证发包人免于承担因承包人违反法律而引起的任何责任。</w:t>
      </w:r>
    </w:p>
    <w:p w14:paraId="0391DD50">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4.1.2</w:t>
      </w:r>
      <w:r>
        <w:rPr>
          <w:rFonts w:hint="default" w:ascii="Times New Roman" w:hAnsi="Times New Roman" w:eastAsia="黑体" w:cs="Times New Roman"/>
          <w:color w:val="auto"/>
          <w:sz w:val="24"/>
          <w:highlight w:val="none"/>
        </w:rPr>
        <w:t>依法纳税</w:t>
      </w:r>
    </w:p>
    <w:p w14:paraId="326E2FE9">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承包人应按有关法律规定纳税，应缴纳的税金包括在合同价格内。</w:t>
      </w:r>
    </w:p>
    <w:p w14:paraId="0A1762EB">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4.1.3</w:t>
      </w:r>
      <w:r>
        <w:rPr>
          <w:rFonts w:hint="default" w:ascii="Times New Roman" w:hAnsi="Times New Roman" w:eastAsia="黑体" w:cs="Times New Roman"/>
          <w:color w:val="auto"/>
          <w:sz w:val="24"/>
          <w:highlight w:val="none"/>
        </w:rPr>
        <w:t>完成各项承包工作</w:t>
      </w:r>
    </w:p>
    <w:p w14:paraId="6B5DBDC1">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5C5BAA9A">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4.1.4对施工作业和施工方法的完备性负责</w:t>
      </w:r>
    </w:p>
    <w:p w14:paraId="6C536C38">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承包人应按合同约定的工作内容和施工进度要求，编制施工组织设计和施工措施计划，并对所有施工作业和施工方法的完备性和安全可靠性负责。</w:t>
      </w:r>
    </w:p>
    <w:p w14:paraId="27A6BFF8">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4.1.5</w:t>
      </w:r>
      <w:r>
        <w:rPr>
          <w:rFonts w:hint="default" w:ascii="Times New Roman" w:hAnsi="Times New Roman" w:eastAsia="黑体" w:cs="Times New Roman"/>
          <w:color w:val="auto"/>
          <w:sz w:val="24"/>
          <w:highlight w:val="none"/>
        </w:rPr>
        <w:t>保证工程施工和人员的安全</w:t>
      </w:r>
    </w:p>
    <w:p w14:paraId="0F8BF416">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承包人应按第9.2款约定采取施工安全措施，确保工程及其人员、材料、设备和设施的安全，防止因工程施工造成的人身伤害和财产损失。</w:t>
      </w:r>
    </w:p>
    <w:p w14:paraId="6FF083E3">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4.1.6</w:t>
      </w:r>
      <w:r>
        <w:rPr>
          <w:rFonts w:hint="default" w:ascii="Times New Roman" w:hAnsi="Times New Roman" w:eastAsia="黑体" w:cs="Times New Roman"/>
          <w:color w:val="auto"/>
          <w:sz w:val="24"/>
          <w:highlight w:val="none"/>
        </w:rPr>
        <w:t>负责施工场地及其周边环境与生态的保护工作</w:t>
      </w:r>
    </w:p>
    <w:p w14:paraId="2EDFCA3F">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承包人应按照第9.4款约定负责施工场地及其周边环境与生态的保护工作。</w:t>
      </w:r>
    </w:p>
    <w:p w14:paraId="1027A143">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4.1.7</w:t>
      </w:r>
      <w:r>
        <w:rPr>
          <w:rFonts w:hint="default" w:ascii="Times New Roman" w:hAnsi="Times New Roman" w:eastAsia="黑体" w:cs="Times New Roman"/>
          <w:color w:val="auto"/>
          <w:sz w:val="24"/>
          <w:highlight w:val="none"/>
        </w:rPr>
        <w:t>避免施工对公众与他人的利益造成损害</w:t>
      </w:r>
    </w:p>
    <w:p w14:paraId="0806FF0A">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87382F">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4.1.8</w:t>
      </w:r>
      <w:r>
        <w:rPr>
          <w:rFonts w:hint="default" w:ascii="Times New Roman" w:hAnsi="Times New Roman" w:eastAsia="黑体" w:cs="Times New Roman"/>
          <w:color w:val="auto"/>
          <w:sz w:val="24"/>
          <w:highlight w:val="none"/>
        </w:rPr>
        <w:t>为他人提供方便</w:t>
      </w:r>
    </w:p>
    <w:p w14:paraId="03F8280F">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0DC2C911">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4.1.9</w:t>
      </w:r>
      <w:r>
        <w:rPr>
          <w:rFonts w:hint="default" w:ascii="Times New Roman" w:hAnsi="Times New Roman" w:eastAsia="黑体" w:cs="Times New Roman"/>
          <w:color w:val="auto"/>
          <w:sz w:val="24"/>
          <w:highlight w:val="none"/>
        </w:rPr>
        <w:t>工程的维护和照管</w:t>
      </w:r>
    </w:p>
    <w:p w14:paraId="3FC8AE85">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726177C9">
      <w:pPr>
        <w:pageBreakBefore w:val="0"/>
        <w:kinsoku/>
        <w:wordWrap w:val="0"/>
        <w:bidi w:val="0"/>
        <w:spacing w:line="400" w:lineRule="atLeast"/>
        <w:ind w:firstLine="468" w:firstLineChars="195"/>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4.1.10</w:t>
      </w:r>
      <w:r>
        <w:rPr>
          <w:rFonts w:hint="default" w:ascii="Times New Roman" w:hAnsi="Times New Roman" w:eastAsia="黑体" w:cs="Times New Roman"/>
          <w:color w:val="auto"/>
          <w:sz w:val="24"/>
          <w:highlight w:val="none"/>
        </w:rPr>
        <w:t>其他义务</w:t>
      </w:r>
    </w:p>
    <w:p w14:paraId="352C1447">
      <w:pPr>
        <w:pageBreakBefore w:val="0"/>
        <w:kinsoku/>
        <w:wordWrap w:val="0"/>
        <w:bidi w:val="0"/>
        <w:spacing w:line="400" w:lineRule="atLeast"/>
        <w:ind w:firstLine="468" w:firstLineChars="19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承包人应履行合同约定的其他义务。</w:t>
      </w:r>
    </w:p>
    <w:p w14:paraId="361EC2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45" w:name="_Toc3711"/>
      <w:bookmarkStart w:id="546" w:name="_Toc30774"/>
      <w:bookmarkStart w:id="547" w:name="_Toc15934"/>
      <w:bookmarkStart w:id="548" w:name="_Toc234832997"/>
      <w:r>
        <w:rPr>
          <w:rFonts w:hint="default" w:ascii="Times New Roman" w:hAnsi="Times New Roman" w:eastAsia="黑体" w:cs="Times New Roman"/>
          <w:b w:val="0"/>
          <w:color w:val="auto"/>
          <w:sz w:val="24"/>
          <w:szCs w:val="24"/>
          <w:highlight w:val="none"/>
        </w:rPr>
        <w:t>4.2履约担保</w:t>
      </w:r>
      <w:bookmarkEnd w:id="545"/>
      <w:bookmarkEnd w:id="546"/>
      <w:bookmarkEnd w:id="547"/>
      <w:bookmarkEnd w:id="548"/>
    </w:p>
    <w:p w14:paraId="34C613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承包人应保证其履约担保在发包人颁发工程接收证书前一直有效。发包人应在工程接收证书颁发后28天内把履约担保退还给承包人。</w:t>
      </w:r>
    </w:p>
    <w:p w14:paraId="68F231E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49" w:name="_Toc1459"/>
      <w:bookmarkStart w:id="550" w:name="_Toc234832998"/>
      <w:bookmarkStart w:id="551" w:name="_Toc24336"/>
      <w:bookmarkStart w:id="552" w:name="_Toc17914"/>
      <w:r>
        <w:rPr>
          <w:rFonts w:hint="default" w:ascii="Times New Roman" w:hAnsi="Times New Roman" w:eastAsia="黑体" w:cs="Times New Roman"/>
          <w:b w:val="0"/>
          <w:color w:val="auto"/>
          <w:sz w:val="24"/>
          <w:szCs w:val="24"/>
          <w:highlight w:val="none"/>
        </w:rPr>
        <w:t>4.3分包</w:t>
      </w:r>
      <w:bookmarkEnd w:id="549"/>
      <w:bookmarkEnd w:id="550"/>
      <w:bookmarkEnd w:id="551"/>
      <w:bookmarkEnd w:id="552"/>
    </w:p>
    <w:p w14:paraId="14B33B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4.3.1承包人不得将其承包的全部工程转包给第三人，或将其承包的全部工程肢解后以分包的名义转包给第三人。</w:t>
      </w:r>
    </w:p>
    <w:p w14:paraId="27071CF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4.3.2承包人不得将工程主体、关键性工作分包给第三人。除专用合同条款另有约定外，未经发包人同意，承包人不得将工程的其他部分或工作分包给第三人。</w:t>
      </w:r>
    </w:p>
    <w:p w14:paraId="0740145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4.3.3分包人的资格能力应与其分包工程的标准和规模相适应。</w:t>
      </w:r>
    </w:p>
    <w:p w14:paraId="13FA64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4.3.4按投标函附录约定分包工程的，承包人应向发包人和监理人提交分包合同副本。</w:t>
      </w:r>
    </w:p>
    <w:p w14:paraId="4160CD4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4.3.5承包人应与分包人就分包工程向发包人承担连带责任。</w:t>
      </w:r>
    </w:p>
    <w:p w14:paraId="10C7191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53" w:name="_Toc32164"/>
      <w:bookmarkStart w:id="554" w:name="_Toc234832999"/>
      <w:bookmarkStart w:id="555" w:name="_Toc4870"/>
      <w:bookmarkStart w:id="556" w:name="_Toc3204"/>
      <w:r>
        <w:rPr>
          <w:rFonts w:hint="default" w:ascii="Times New Roman" w:hAnsi="Times New Roman" w:eastAsia="黑体" w:cs="Times New Roman"/>
          <w:b w:val="0"/>
          <w:color w:val="auto"/>
          <w:sz w:val="24"/>
          <w:szCs w:val="24"/>
          <w:highlight w:val="none"/>
        </w:rPr>
        <w:t>4.4联合体</w:t>
      </w:r>
      <w:bookmarkEnd w:id="553"/>
      <w:bookmarkEnd w:id="554"/>
      <w:bookmarkEnd w:id="555"/>
      <w:bookmarkEnd w:id="556"/>
    </w:p>
    <w:p w14:paraId="0BA3B45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4.4.1联合体各方应共同与发包人签订合同协议书。联合体各方应为履行合同承担连带责任。</w:t>
      </w:r>
    </w:p>
    <w:p w14:paraId="63AD91D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4.4.2</w:t>
      </w:r>
      <w:r>
        <w:rPr>
          <w:rFonts w:hint="default" w:ascii="Times New Roman" w:hAnsi="Times New Roman" w:cs="Times New Roman"/>
          <w:iCs/>
          <w:color w:val="auto"/>
          <w:sz w:val="24"/>
          <w:highlight w:val="none"/>
        </w:rPr>
        <w:t>联合体协议经发包人确认后作为合同附件。</w:t>
      </w:r>
      <w:r>
        <w:rPr>
          <w:rFonts w:hint="default" w:ascii="Times New Roman" w:hAnsi="Times New Roman" w:cs="Times New Roman"/>
          <w:color w:val="auto"/>
          <w:sz w:val="24"/>
          <w:highlight w:val="none"/>
        </w:rPr>
        <w:t>在履行合同过程中，未经发包人同意，不得修改联合体协议。</w:t>
      </w:r>
    </w:p>
    <w:p w14:paraId="4709DAD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4.4.3联合体牵头人负责与发包人和监理人联系，并接受指示，负责组织联合体各成员全面履行合同。</w:t>
      </w:r>
    </w:p>
    <w:p w14:paraId="1555858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57" w:name="_Toc25555"/>
      <w:bookmarkStart w:id="558" w:name="_Toc19688"/>
      <w:bookmarkStart w:id="559" w:name="_Toc29702"/>
      <w:bookmarkStart w:id="560" w:name="_Toc234833000"/>
      <w:r>
        <w:rPr>
          <w:rFonts w:hint="default" w:ascii="Times New Roman" w:hAnsi="Times New Roman" w:eastAsia="黑体" w:cs="Times New Roman"/>
          <w:b w:val="0"/>
          <w:color w:val="auto"/>
          <w:sz w:val="24"/>
          <w:szCs w:val="24"/>
          <w:highlight w:val="none"/>
        </w:rPr>
        <w:t>4.5承包人项目经理</w:t>
      </w:r>
      <w:bookmarkEnd w:id="557"/>
      <w:bookmarkEnd w:id="558"/>
      <w:bookmarkEnd w:id="559"/>
      <w:bookmarkEnd w:id="560"/>
    </w:p>
    <w:p w14:paraId="2A878DF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45FED71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4.5.2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0D55D0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4.5.3承包人为履行合同发出的一切函件均应盖有承包人授权的施工场地管理机构章，并由承包人项目经理或其授权代表签字。</w:t>
      </w:r>
    </w:p>
    <w:p w14:paraId="1F1E586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4.5.4承包人项目经理可以授权其下属人员履行其某项职责，但事先应将这些人员的姓名和授权范围通知监理人。</w:t>
      </w:r>
    </w:p>
    <w:p w14:paraId="68168DE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61" w:name="_Toc32486"/>
      <w:bookmarkStart w:id="562" w:name="_Toc23442"/>
      <w:bookmarkStart w:id="563" w:name="_Toc30705"/>
      <w:bookmarkStart w:id="564" w:name="_Toc234833001"/>
      <w:r>
        <w:rPr>
          <w:rFonts w:hint="default" w:ascii="Times New Roman" w:hAnsi="Times New Roman" w:eastAsia="黑体" w:cs="Times New Roman"/>
          <w:b w:val="0"/>
          <w:color w:val="auto"/>
          <w:sz w:val="24"/>
          <w:szCs w:val="24"/>
          <w:highlight w:val="none"/>
        </w:rPr>
        <w:t>4.6承包人人员的管理</w:t>
      </w:r>
      <w:bookmarkEnd w:id="561"/>
      <w:bookmarkEnd w:id="562"/>
      <w:bookmarkEnd w:id="563"/>
      <w:bookmarkEnd w:id="564"/>
    </w:p>
    <w:p w14:paraId="525D864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E72982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4.6.2为完成合同约定的各项工作，承包人应向施工场地派遣或雇佣足够数量的下列人员：</w:t>
      </w:r>
    </w:p>
    <w:p w14:paraId="2BFE1019">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（1）具有相应资格的专业技工和合格的普工；</w:t>
      </w:r>
    </w:p>
    <w:p w14:paraId="21D1942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（2）具有相应施工经验的技术人员；</w:t>
      </w:r>
    </w:p>
    <w:p w14:paraId="1F13151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（3）具有相应岗位资格的各级管理人员。</w:t>
      </w:r>
    </w:p>
    <w:p w14:paraId="0E4BB68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4.6.3承包人安排在施工场地的主要管理人员和技术骨干应相对稳定。承包人更换主要管理人员和技术骨干时，应取得监理人的同意。</w:t>
      </w:r>
    </w:p>
    <w:p w14:paraId="1819CA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4.6.4特殊岗位的工作人员均应持有相应的资格证明，监理人有权随时检查。监理人认为有必要时，可进行现场考核。</w:t>
      </w:r>
    </w:p>
    <w:p w14:paraId="7FFA3B5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65" w:name="_Toc234833002"/>
      <w:bookmarkStart w:id="566" w:name="_Toc25941"/>
      <w:bookmarkStart w:id="567" w:name="_Toc29162"/>
      <w:bookmarkStart w:id="568" w:name="_Toc16860"/>
      <w:r>
        <w:rPr>
          <w:rFonts w:hint="default" w:ascii="Times New Roman" w:hAnsi="Times New Roman" w:eastAsia="黑体" w:cs="Times New Roman"/>
          <w:b w:val="0"/>
          <w:color w:val="auto"/>
          <w:sz w:val="24"/>
          <w:szCs w:val="24"/>
          <w:highlight w:val="none"/>
        </w:rPr>
        <w:t>4.7撤换承包人项目经理和其他人员</w:t>
      </w:r>
      <w:bookmarkEnd w:id="565"/>
      <w:bookmarkEnd w:id="566"/>
      <w:bookmarkEnd w:id="567"/>
      <w:bookmarkEnd w:id="568"/>
    </w:p>
    <w:p w14:paraId="6892B5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承包人应对其项目经理和其他人员进行有效管理。监理人要求撤换不能胜任本职工作、行为不端或玩忽职守的承包人项目经理和其他人员的，承包人应予以撤换。</w:t>
      </w:r>
    </w:p>
    <w:p w14:paraId="539D5C7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69" w:name="_Toc5844"/>
      <w:bookmarkStart w:id="570" w:name="_Toc514"/>
      <w:bookmarkStart w:id="571" w:name="_Toc234833003"/>
      <w:bookmarkStart w:id="572" w:name="_Toc9913"/>
      <w:r>
        <w:rPr>
          <w:rFonts w:hint="default" w:ascii="Times New Roman" w:hAnsi="Times New Roman" w:eastAsia="黑体" w:cs="Times New Roman"/>
          <w:b w:val="0"/>
          <w:color w:val="auto"/>
          <w:sz w:val="24"/>
          <w:szCs w:val="24"/>
          <w:highlight w:val="none"/>
        </w:rPr>
        <w:t>4.8保障承包人人员的合法权益</w:t>
      </w:r>
      <w:bookmarkEnd w:id="569"/>
      <w:bookmarkEnd w:id="570"/>
      <w:bookmarkEnd w:id="571"/>
      <w:bookmarkEnd w:id="572"/>
    </w:p>
    <w:p w14:paraId="2B67AB9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4.8.1承包人应与其雇佣的人员签订劳动合同，并按时发放工资。</w:t>
      </w:r>
    </w:p>
    <w:p w14:paraId="1C9F9D5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4.8.2承包人应按劳动法的规定安排工作时间，保证其雇佣人员享有休息和休假的权利。因工程施工的特殊需要占用休假日或延长工作时间的，应不超过法律规定的限度，并按法律规定给予补休或付酬。</w:t>
      </w:r>
    </w:p>
    <w:p w14:paraId="40F2F7F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4.8.3承包人应为其雇佣人员提供必要的食宿条件，以及符合环境保护和卫生要求的生活环境，在远离城镇的施工场地，还应配备必要的伤病防治和急救的医务人员与医疗设施。</w:t>
      </w:r>
    </w:p>
    <w:p w14:paraId="65101AF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4.8.4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9E1FA1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4.8.5承包人应按有关法律规定和合同约定，为其雇佣人员办理保险。</w:t>
      </w:r>
    </w:p>
    <w:p w14:paraId="36AC4F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4.8.6承包人应负责处理其雇佣人员因工伤亡事故的善后事宜。</w:t>
      </w:r>
    </w:p>
    <w:p w14:paraId="2F89EB5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73" w:name="_Toc29044"/>
      <w:bookmarkStart w:id="574" w:name="_Toc234833004"/>
      <w:bookmarkStart w:id="575" w:name="_Toc27171"/>
      <w:bookmarkStart w:id="576" w:name="_Toc1107"/>
      <w:r>
        <w:rPr>
          <w:rFonts w:hint="default" w:ascii="Times New Roman" w:hAnsi="Times New Roman" w:eastAsia="黑体" w:cs="Times New Roman"/>
          <w:b w:val="0"/>
          <w:color w:val="auto"/>
          <w:sz w:val="24"/>
          <w:szCs w:val="24"/>
          <w:highlight w:val="none"/>
        </w:rPr>
        <w:t>4.9工程价款应专款专用</w:t>
      </w:r>
      <w:bookmarkEnd w:id="573"/>
      <w:bookmarkEnd w:id="574"/>
      <w:bookmarkEnd w:id="575"/>
      <w:bookmarkEnd w:id="576"/>
    </w:p>
    <w:p w14:paraId="4AA3043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发包人按合同约定支付给承包人的各项价款应专用于合同工程。</w:t>
      </w:r>
    </w:p>
    <w:p w14:paraId="78591753">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577" w:name="_Toc9152"/>
      <w:bookmarkStart w:id="578" w:name="_Toc234833005"/>
      <w:bookmarkStart w:id="579" w:name="_Toc28976"/>
      <w:bookmarkStart w:id="580" w:name="_Toc25811"/>
      <w:r>
        <w:rPr>
          <w:rFonts w:hint="default" w:ascii="Times New Roman" w:hAnsi="Times New Roman" w:eastAsia="黑体" w:cs="Times New Roman"/>
          <w:b w:val="0"/>
          <w:color w:val="auto"/>
          <w:sz w:val="24"/>
          <w:szCs w:val="24"/>
          <w:highlight w:val="none"/>
        </w:rPr>
        <w:t>4.10承包人现场查勘</w:t>
      </w:r>
      <w:bookmarkEnd w:id="577"/>
      <w:bookmarkEnd w:id="578"/>
      <w:bookmarkEnd w:id="579"/>
      <w:bookmarkEnd w:id="580"/>
    </w:p>
    <w:p w14:paraId="0AA26E3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4.10.1发包人应将其持有的现场地质勘探资料、水文气象资料提供给承包人，并对其准确性负责。但承包人应对其阅读上述有关资料后所作出的解释和推断负责。</w:t>
      </w:r>
    </w:p>
    <w:p w14:paraId="568C85F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39F966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81" w:name="_Toc234833006"/>
      <w:bookmarkStart w:id="582" w:name="_Toc17320"/>
      <w:bookmarkStart w:id="583" w:name="_Toc9021"/>
      <w:bookmarkStart w:id="584" w:name="_Toc22483"/>
      <w:r>
        <w:rPr>
          <w:rFonts w:hint="default" w:ascii="Times New Roman" w:hAnsi="Times New Roman" w:eastAsia="黑体" w:cs="Times New Roman"/>
          <w:b w:val="0"/>
          <w:color w:val="auto"/>
          <w:sz w:val="24"/>
          <w:szCs w:val="24"/>
          <w:highlight w:val="none"/>
        </w:rPr>
        <w:t>4.11不利物质条件</w:t>
      </w:r>
      <w:bookmarkEnd w:id="581"/>
      <w:bookmarkEnd w:id="582"/>
      <w:bookmarkEnd w:id="583"/>
      <w:bookmarkEnd w:id="584"/>
    </w:p>
    <w:p w14:paraId="555EC2EA">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4.11.1不利物质条件，除专用合同条款另有约定外，是指承包人在施工场地遇到的不可预见的自然物质条件、非自然的物质障碍和污染物，包括地下和水文条件，但不包括气候条件。</w:t>
      </w:r>
    </w:p>
    <w:p w14:paraId="5D1EAFA9">
      <w:pPr>
        <w:pageBreakBefore w:val="0"/>
        <w:kinsoku/>
        <w:wordWrap w:val="0"/>
        <w:bidi w:val="0"/>
        <w:spacing w:line="400" w:lineRule="atLeast"/>
        <w:ind w:firstLine="420"/>
        <w:outlineLvl w:val="9"/>
        <w:rPr>
          <w:rFonts w:hint="default" w:ascii="Times New Roman" w:hAnsi="Times New Roman" w:cs="Times New Roman"/>
          <w:iCs/>
          <w:color w:val="auto"/>
          <w:sz w:val="24"/>
          <w:highlight w:val="none"/>
        </w:rPr>
      </w:pPr>
      <w:r>
        <w:rPr>
          <w:rFonts w:hint="default" w:ascii="Times New Roman" w:hAnsi="Times New Roman" w:cs="Times New Roman"/>
          <w:iCs/>
          <w:color w:val="auto"/>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427EF0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585" w:name="_Toc234833007"/>
      <w:bookmarkStart w:id="586" w:name="_Toc17106"/>
      <w:bookmarkStart w:id="587" w:name="_Toc4965"/>
      <w:bookmarkStart w:id="588" w:name="_Toc25496"/>
      <w:r>
        <w:rPr>
          <w:rFonts w:hint="default" w:ascii="Times New Roman" w:hAnsi="Times New Roman" w:eastAsia="黑体" w:cs="Times New Roman"/>
          <w:b w:val="0"/>
          <w:color w:val="auto"/>
          <w:sz w:val="28"/>
          <w:szCs w:val="28"/>
          <w:highlight w:val="none"/>
        </w:rPr>
        <w:t>5.材料和工程设备</w:t>
      </w:r>
      <w:bookmarkEnd w:id="585"/>
      <w:bookmarkEnd w:id="586"/>
      <w:bookmarkEnd w:id="587"/>
      <w:bookmarkEnd w:id="588"/>
    </w:p>
    <w:p w14:paraId="2694970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89" w:name="_Toc234833008"/>
      <w:bookmarkStart w:id="590" w:name="_Toc28474"/>
      <w:bookmarkStart w:id="591" w:name="_Toc20835"/>
      <w:bookmarkStart w:id="592" w:name="_Toc4914"/>
      <w:r>
        <w:rPr>
          <w:rFonts w:hint="default" w:ascii="Times New Roman" w:hAnsi="Times New Roman" w:eastAsia="黑体" w:cs="Times New Roman"/>
          <w:b w:val="0"/>
          <w:color w:val="auto"/>
          <w:sz w:val="24"/>
          <w:szCs w:val="24"/>
          <w:highlight w:val="none"/>
        </w:rPr>
        <w:t>5.1承包人提供的材料和工程设备</w:t>
      </w:r>
      <w:bookmarkEnd w:id="589"/>
      <w:bookmarkEnd w:id="590"/>
      <w:bookmarkEnd w:id="591"/>
      <w:bookmarkEnd w:id="592"/>
    </w:p>
    <w:p w14:paraId="120313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5.1.1除专用合同条款另有约定外，承包人提供的材料和工程设备均由承包人负责采购、运输和保管。承包人应对其采购的材料和工程设备负责。</w:t>
      </w:r>
    </w:p>
    <w:p w14:paraId="141BC93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5.1.2承包人应按专用合同条款的约定，将各项材料和工程设备的供货人及品种、规格、数量和供货时间等报送监理人审批。承包人应向监理</w:t>
      </w:r>
      <w:r>
        <w:rPr>
          <w:rFonts w:hint="default" w:ascii="Times New Roman" w:hAnsi="Times New Roman" w:cs="Times New Roman"/>
          <w:iCs/>
          <w:color w:val="auto"/>
          <w:sz w:val="24"/>
          <w:highlight w:val="none"/>
        </w:rPr>
        <w:t>人</w:t>
      </w:r>
      <w:r>
        <w:rPr>
          <w:rFonts w:hint="default" w:ascii="Times New Roman" w:hAnsi="Times New Roman" w:cs="Times New Roman"/>
          <w:color w:val="auto"/>
          <w:sz w:val="24"/>
          <w:highlight w:val="none"/>
        </w:rPr>
        <w:t>提交其负责提供的材料和工程设备的质量证明文件，并满足合同约定的质量标准。</w:t>
      </w:r>
    </w:p>
    <w:p w14:paraId="3E3EFB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C60718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93" w:name="_Toc234833009"/>
      <w:bookmarkStart w:id="594" w:name="_Toc5584"/>
      <w:bookmarkStart w:id="595" w:name="_Toc11854"/>
      <w:bookmarkStart w:id="596" w:name="_Toc1587"/>
      <w:r>
        <w:rPr>
          <w:rFonts w:hint="default" w:ascii="Times New Roman" w:hAnsi="Times New Roman" w:eastAsia="黑体" w:cs="Times New Roman"/>
          <w:b w:val="0"/>
          <w:color w:val="auto"/>
          <w:sz w:val="24"/>
          <w:szCs w:val="24"/>
          <w:highlight w:val="none"/>
        </w:rPr>
        <w:t>5.2发包人提供的材料和工程设备</w:t>
      </w:r>
      <w:bookmarkEnd w:id="593"/>
      <w:bookmarkEnd w:id="594"/>
      <w:bookmarkEnd w:id="595"/>
      <w:bookmarkEnd w:id="596"/>
    </w:p>
    <w:p w14:paraId="13B79FE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5.2.1发包人提供的材料和工程设备，应在专用合同条款中写明材料和工程设备的名称、规格、数量、价格、交货方式、交货地点和计划交货日期等。</w:t>
      </w:r>
    </w:p>
    <w:p w14:paraId="486429E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5.2.2承包人应根据合同进度计划的安排，向监理人报送要求发包人交货的日期计划。发包人应按照监理人与合同双方当事人</w:t>
      </w:r>
      <w:r>
        <w:rPr>
          <w:rFonts w:hint="default" w:ascii="Times New Roman" w:hAnsi="Times New Roman" w:cs="Times New Roman"/>
          <w:iCs/>
          <w:color w:val="auto"/>
          <w:sz w:val="24"/>
          <w:highlight w:val="none"/>
        </w:rPr>
        <w:t>商定</w:t>
      </w:r>
      <w:r>
        <w:rPr>
          <w:rFonts w:hint="default" w:ascii="Times New Roman" w:hAnsi="Times New Roman" w:cs="Times New Roman"/>
          <w:color w:val="auto"/>
          <w:sz w:val="24"/>
          <w:highlight w:val="none"/>
        </w:rPr>
        <w:t>的交货日期，向承包人提交材料和工程设备。</w:t>
      </w:r>
    </w:p>
    <w:p w14:paraId="340670E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5.2.3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29F363D6">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5.2.4发包人要求向承包人提前交货的，承包人不得拒绝，但发包人应承担承包人由此增加的费用。</w:t>
      </w:r>
    </w:p>
    <w:p w14:paraId="02DA2348">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5.2.5承包人要求更改交货日期或地点的，应事先报请监理人批准。由于承包人要求更改交货时间或地点所增加的费用和（或）工期延误由承包人承担。</w:t>
      </w:r>
    </w:p>
    <w:p w14:paraId="66D968B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5.2.6发包人提供的材料和工程设备的规格、数量或质量不符合合同要求，或由于发包人原因发生交货日期延误及交货地点变更等情况的，发包人应承担由此增加的费用和（或）工期延误，并向承包人支付合理利润。</w:t>
      </w:r>
    </w:p>
    <w:p w14:paraId="037959B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597" w:name="_Toc3308"/>
      <w:bookmarkStart w:id="598" w:name="_Toc16074"/>
      <w:bookmarkStart w:id="599" w:name="_Toc234833010"/>
      <w:bookmarkStart w:id="600" w:name="_Toc23205"/>
      <w:r>
        <w:rPr>
          <w:rFonts w:hint="default" w:ascii="Times New Roman" w:hAnsi="Times New Roman" w:eastAsia="黑体" w:cs="Times New Roman"/>
          <w:b w:val="0"/>
          <w:color w:val="auto"/>
          <w:sz w:val="24"/>
          <w:szCs w:val="24"/>
          <w:highlight w:val="none"/>
        </w:rPr>
        <w:t>5.3材料和工程设备专用于合同工程</w:t>
      </w:r>
      <w:bookmarkEnd w:id="597"/>
      <w:bookmarkEnd w:id="598"/>
      <w:bookmarkEnd w:id="599"/>
      <w:bookmarkEnd w:id="600"/>
    </w:p>
    <w:p w14:paraId="3323F9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5.3.1运入施工场地的材料、工程设备，包括备品备件、安装专用工器具与随机资料，必须专用于合同工程，未经监理人同意，承包人不得运出施工场地或挪作他用。</w:t>
      </w:r>
    </w:p>
    <w:p w14:paraId="5D93379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5.3.2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3B9A919">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601" w:name="_Toc30003"/>
      <w:bookmarkStart w:id="602" w:name="_Toc234833011"/>
      <w:bookmarkStart w:id="603" w:name="_Toc5084"/>
      <w:bookmarkStart w:id="604" w:name="_Toc25420"/>
      <w:r>
        <w:rPr>
          <w:rFonts w:hint="default" w:ascii="Times New Roman" w:hAnsi="Times New Roman" w:eastAsia="黑体" w:cs="Times New Roman"/>
          <w:b w:val="0"/>
          <w:color w:val="auto"/>
          <w:sz w:val="24"/>
          <w:szCs w:val="24"/>
          <w:highlight w:val="none"/>
        </w:rPr>
        <w:t>5.4禁止使用不合格的材料和工程设备</w:t>
      </w:r>
      <w:bookmarkEnd w:id="601"/>
      <w:bookmarkEnd w:id="602"/>
      <w:bookmarkEnd w:id="603"/>
      <w:bookmarkEnd w:id="604"/>
    </w:p>
    <w:p w14:paraId="2C100C4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5.4.1监理人有权拒绝承包人提供的不合格材料或工程设备，并要求承包人立即进行更换。监理人应在更换后再次进行检查和检验，由此增加的费用和（或）工期延误由承包人承担。</w:t>
      </w:r>
    </w:p>
    <w:p w14:paraId="6A7BBD6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5.4.2监理人发现承包人使用了不合格的材料和工程设备，应即时发出指示要求承包人立即改正，并禁止在工程中继续使用不合格的材料和工程设备。</w:t>
      </w:r>
    </w:p>
    <w:p w14:paraId="1CD9C71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5.4.3发包人提供的材料或工程设备不符合合同要求的，承包人有权拒绝，并可要求发包人更换，由此增加的费用和（或）工期延误由发包人承担。</w:t>
      </w:r>
    </w:p>
    <w:p w14:paraId="05B890CF">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605" w:name="_Toc29185"/>
      <w:bookmarkStart w:id="606" w:name="_Toc19538"/>
      <w:bookmarkStart w:id="607" w:name="_Toc234833012"/>
      <w:bookmarkStart w:id="608" w:name="_Toc17211"/>
      <w:r>
        <w:rPr>
          <w:rFonts w:hint="default" w:ascii="Times New Roman" w:hAnsi="Times New Roman" w:eastAsia="黑体" w:cs="Times New Roman"/>
          <w:b w:val="0"/>
          <w:color w:val="auto"/>
          <w:sz w:val="28"/>
          <w:szCs w:val="28"/>
          <w:highlight w:val="none"/>
        </w:rPr>
        <w:t>6.施工设备和临时设施</w:t>
      </w:r>
      <w:bookmarkEnd w:id="605"/>
      <w:bookmarkEnd w:id="606"/>
      <w:bookmarkEnd w:id="607"/>
      <w:bookmarkEnd w:id="608"/>
    </w:p>
    <w:p w14:paraId="76D7846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09" w:name="_Toc12035"/>
      <w:bookmarkStart w:id="610" w:name="_Toc234833013"/>
      <w:bookmarkStart w:id="611" w:name="_Toc11446"/>
      <w:bookmarkStart w:id="612" w:name="_Toc4093"/>
      <w:r>
        <w:rPr>
          <w:rFonts w:hint="default" w:ascii="Times New Roman" w:hAnsi="Times New Roman" w:eastAsia="黑体" w:cs="Times New Roman"/>
          <w:b w:val="0"/>
          <w:color w:val="auto"/>
          <w:sz w:val="24"/>
          <w:szCs w:val="24"/>
          <w:highlight w:val="none"/>
        </w:rPr>
        <w:t>6.1承包人提供的施工设备和临时设施</w:t>
      </w:r>
      <w:bookmarkEnd w:id="609"/>
      <w:bookmarkEnd w:id="610"/>
      <w:bookmarkEnd w:id="611"/>
      <w:bookmarkEnd w:id="612"/>
    </w:p>
    <w:p w14:paraId="4B600E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6.1.1承包人应按合同进度计划的要求，及时配置施工设备和修建临时设施。进入施工场地的承包人设备需经监理人核查后才能投入使用。承包人更换合同约定的承包人设备的，应报监理人批准。</w:t>
      </w:r>
    </w:p>
    <w:p w14:paraId="18012A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6.1.2除专用合同条款另有约定外，承包人应自行承担修建临时设施的费用，需要临时占地的，应由发包人办理申请手续并承担相应费用。</w:t>
      </w:r>
    </w:p>
    <w:p w14:paraId="5A1A860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13" w:name="_Toc234833014"/>
      <w:bookmarkStart w:id="614" w:name="_Toc30109"/>
      <w:bookmarkStart w:id="615" w:name="_Toc25302"/>
      <w:bookmarkStart w:id="616" w:name="_Toc31129"/>
      <w:r>
        <w:rPr>
          <w:rFonts w:hint="default" w:ascii="Times New Roman" w:hAnsi="Times New Roman" w:eastAsia="黑体" w:cs="Times New Roman"/>
          <w:b w:val="0"/>
          <w:color w:val="auto"/>
          <w:sz w:val="24"/>
          <w:szCs w:val="24"/>
          <w:highlight w:val="none"/>
        </w:rPr>
        <w:t>6.2发包人提供的施工设备和临时设施</w:t>
      </w:r>
      <w:bookmarkEnd w:id="613"/>
      <w:bookmarkEnd w:id="614"/>
      <w:bookmarkEnd w:id="615"/>
      <w:bookmarkEnd w:id="616"/>
    </w:p>
    <w:p w14:paraId="245D03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发包人提供的施工设备或临时设施在专用合同条款中约定。</w:t>
      </w:r>
    </w:p>
    <w:p w14:paraId="7A0F7DF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17" w:name="_Toc1669"/>
      <w:bookmarkStart w:id="618" w:name="_Toc7691"/>
      <w:bookmarkStart w:id="619" w:name="_Toc234833015"/>
      <w:bookmarkStart w:id="620" w:name="_Toc26083"/>
      <w:r>
        <w:rPr>
          <w:rFonts w:hint="default" w:ascii="Times New Roman" w:hAnsi="Times New Roman" w:eastAsia="黑体" w:cs="Times New Roman"/>
          <w:b w:val="0"/>
          <w:color w:val="auto"/>
          <w:sz w:val="24"/>
          <w:szCs w:val="24"/>
          <w:highlight w:val="none"/>
        </w:rPr>
        <w:t>6.3要求承包人增加或更换施工设备</w:t>
      </w:r>
      <w:bookmarkEnd w:id="617"/>
      <w:bookmarkEnd w:id="618"/>
      <w:bookmarkEnd w:id="619"/>
      <w:bookmarkEnd w:id="620"/>
    </w:p>
    <w:p w14:paraId="3174FC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57A89B0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21" w:name="_Toc13599"/>
      <w:bookmarkStart w:id="622" w:name="_Toc19683"/>
      <w:bookmarkStart w:id="623" w:name="_Toc20359"/>
      <w:bookmarkStart w:id="624" w:name="_Toc234833016"/>
      <w:r>
        <w:rPr>
          <w:rFonts w:hint="default" w:ascii="Times New Roman" w:hAnsi="Times New Roman" w:eastAsia="黑体" w:cs="Times New Roman"/>
          <w:b w:val="0"/>
          <w:color w:val="auto"/>
          <w:sz w:val="24"/>
          <w:szCs w:val="24"/>
          <w:highlight w:val="none"/>
        </w:rPr>
        <w:t>6.4施工设备和临时设施专用于合同工程</w:t>
      </w:r>
      <w:bookmarkEnd w:id="621"/>
      <w:bookmarkEnd w:id="622"/>
      <w:bookmarkEnd w:id="623"/>
      <w:bookmarkEnd w:id="624"/>
    </w:p>
    <w:p w14:paraId="4AF4938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96BFB6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6.4.2经监理人同意，承包人可根据合同进度计划撤走闲置的施工设备。</w:t>
      </w:r>
    </w:p>
    <w:p w14:paraId="3460F8E1">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625" w:name="_Toc7239"/>
      <w:bookmarkStart w:id="626" w:name="_Toc7342"/>
      <w:bookmarkStart w:id="627" w:name="_Toc234833017"/>
      <w:bookmarkStart w:id="628" w:name="_Toc16465"/>
      <w:r>
        <w:rPr>
          <w:rFonts w:hint="default" w:ascii="Times New Roman" w:hAnsi="Times New Roman" w:eastAsia="黑体" w:cs="Times New Roman"/>
          <w:b w:val="0"/>
          <w:color w:val="auto"/>
          <w:sz w:val="28"/>
          <w:szCs w:val="28"/>
          <w:highlight w:val="none"/>
        </w:rPr>
        <w:t>7.交通运输</w:t>
      </w:r>
      <w:bookmarkEnd w:id="625"/>
      <w:bookmarkEnd w:id="626"/>
      <w:bookmarkEnd w:id="627"/>
      <w:bookmarkEnd w:id="628"/>
    </w:p>
    <w:p w14:paraId="6F5C8E5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29" w:name="_Toc26715"/>
      <w:bookmarkStart w:id="630" w:name="_Toc6489"/>
      <w:bookmarkStart w:id="631" w:name="_Toc234833018"/>
      <w:bookmarkStart w:id="632" w:name="_Toc2798"/>
      <w:r>
        <w:rPr>
          <w:rFonts w:hint="default" w:ascii="Times New Roman" w:hAnsi="Times New Roman" w:eastAsia="黑体" w:cs="Times New Roman"/>
          <w:b w:val="0"/>
          <w:color w:val="auto"/>
          <w:sz w:val="24"/>
          <w:szCs w:val="24"/>
          <w:highlight w:val="none"/>
        </w:rPr>
        <w:t>7.1道路通行权和场外设施</w:t>
      </w:r>
      <w:bookmarkEnd w:id="629"/>
      <w:bookmarkEnd w:id="630"/>
      <w:bookmarkEnd w:id="631"/>
      <w:bookmarkEnd w:id="632"/>
    </w:p>
    <w:p w14:paraId="42C8A552">
      <w:pPr>
        <w:pageBreakBefore w:val="0"/>
        <w:kinsoku/>
        <w:wordWrap w:val="0"/>
        <w:bidi w:val="0"/>
        <w:spacing w:line="400" w:lineRule="atLeast"/>
        <w:ind w:firstLine="420"/>
        <w:outlineLvl w:val="9"/>
        <w:rPr>
          <w:rFonts w:hint="default" w:ascii="Times New Roman" w:hAnsi="Times New Roman" w:cs="Times New Roman"/>
          <w:i/>
          <w:color w:val="auto"/>
          <w:sz w:val="24"/>
          <w:highlight w:val="none"/>
        </w:rPr>
      </w:pPr>
      <w:r>
        <w:rPr>
          <w:rFonts w:hint="default" w:ascii="Times New Roman" w:hAnsi="Times New Roman" w:cs="Times New Roman"/>
          <w:color w:val="auto"/>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8E8B09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33" w:name="_Toc234833019"/>
      <w:bookmarkStart w:id="634" w:name="_Toc9049"/>
      <w:bookmarkStart w:id="635" w:name="_Toc9056"/>
      <w:bookmarkStart w:id="636" w:name="_Toc18679"/>
      <w:r>
        <w:rPr>
          <w:rFonts w:hint="default" w:ascii="Times New Roman" w:hAnsi="Times New Roman" w:eastAsia="黑体" w:cs="Times New Roman"/>
          <w:b w:val="0"/>
          <w:color w:val="auto"/>
          <w:sz w:val="24"/>
          <w:szCs w:val="24"/>
          <w:highlight w:val="none"/>
        </w:rPr>
        <w:t>7.2场内施工道路</w:t>
      </w:r>
      <w:bookmarkEnd w:id="633"/>
      <w:bookmarkEnd w:id="634"/>
      <w:bookmarkEnd w:id="635"/>
      <w:bookmarkEnd w:id="636"/>
    </w:p>
    <w:p w14:paraId="51C43E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7.2.1除专用合同条款另有约定外，承包人应负责修建、维修、养护和管理施工所需的临时道路和交通设施，包括维修、养护和管理发包人提供的道路和交通设施，并承担相应费用。</w:t>
      </w:r>
    </w:p>
    <w:p w14:paraId="460C43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7.2.2除专用合同条款另有约定外，承包人修建的临时道路和交通设施应免费提供发包人和监理人使用。</w:t>
      </w:r>
    </w:p>
    <w:p w14:paraId="5AB8FD3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37" w:name="_Toc234833020"/>
      <w:bookmarkStart w:id="638" w:name="_Toc16389"/>
      <w:bookmarkStart w:id="639" w:name="_Toc19305"/>
      <w:bookmarkStart w:id="640" w:name="_Toc31425"/>
      <w:r>
        <w:rPr>
          <w:rFonts w:hint="default" w:ascii="Times New Roman" w:hAnsi="Times New Roman" w:eastAsia="黑体" w:cs="Times New Roman"/>
          <w:b w:val="0"/>
          <w:color w:val="auto"/>
          <w:sz w:val="24"/>
          <w:szCs w:val="24"/>
          <w:highlight w:val="none"/>
        </w:rPr>
        <w:t>7.3场外交通</w:t>
      </w:r>
      <w:bookmarkEnd w:id="637"/>
      <w:bookmarkEnd w:id="638"/>
      <w:bookmarkEnd w:id="639"/>
      <w:bookmarkEnd w:id="640"/>
    </w:p>
    <w:p w14:paraId="15559C1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7.3.1承包人车辆外出行驶所需的场外公共道路的通行费、养路费和税款等由承包人承担。</w:t>
      </w:r>
    </w:p>
    <w:p w14:paraId="4E02100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7.3.2承包人应遵守有关交通法规，严格按照道路和桥梁的限制荷重安全行驶，并服从交通管理部门的检查和监督。</w:t>
      </w:r>
    </w:p>
    <w:p w14:paraId="259277B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41" w:name="_Toc29695"/>
      <w:bookmarkStart w:id="642" w:name="_Toc3057"/>
      <w:bookmarkStart w:id="643" w:name="_Toc16025"/>
      <w:bookmarkStart w:id="644" w:name="_Toc234833021"/>
      <w:r>
        <w:rPr>
          <w:rFonts w:hint="default" w:ascii="Times New Roman" w:hAnsi="Times New Roman" w:eastAsia="黑体" w:cs="Times New Roman"/>
          <w:b w:val="0"/>
          <w:color w:val="auto"/>
          <w:sz w:val="24"/>
          <w:szCs w:val="24"/>
          <w:highlight w:val="none"/>
        </w:rPr>
        <w:t>7.4超大件和超重件的运输</w:t>
      </w:r>
      <w:bookmarkEnd w:id="641"/>
      <w:bookmarkEnd w:id="642"/>
      <w:bookmarkEnd w:id="643"/>
      <w:bookmarkEnd w:id="644"/>
    </w:p>
    <w:p w14:paraId="0A709C8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FAA6870">
      <w:pPr>
        <w:pageBreakBefore w:val="0"/>
        <w:kinsoku/>
        <w:wordWrap w:val="0"/>
        <w:bidi w:val="0"/>
        <w:spacing w:line="400" w:lineRule="atLeast"/>
        <w:outlineLvl w:val="9"/>
        <w:rPr>
          <w:rFonts w:hint="default" w:ascii="Times New Roman" w:hAnsi="Times New Roman" w:cs="Times New Roman"/>
          <w:color w:val="auto"/>
          <w:sz w:val="24"/>
          <w:highlight w:val="none"/>
        </w:rPr>
      </w:pPr>
    </w:p>
    <w:p w14:paraId="32245CF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45" w:name="_Toc5290"/>
      <w:bookmarkStart w:id="646" w:name="_Toc30531"/>
      <w:bookmarkStart w:id="647" w:name="_Toc9627"/>
      <w:bookmarkStart w:id="648" w:name="_Toc234833022"/>
      <w:r>
        <w:rPr>
          <w:rFonts w:hint="default" w:ascii="Times New Roman" w:hAnsi="Times New Roman" w:eastAsia="黑体" w:cs="Times New Roman"/>
          <w:b w:val="0"/>
          <w:color w:val="auto"/>
          <w:sz w:val="24"/>
          <w:szCs w:val="24"/>
          <w:highlight w:val="none"/>
        </w:rPr>
        <w:t>7.5道路和桥梁的损坏责任</w:t>
      </w:r>
      <w:bookmarkEnd w:id="645"/>
      <w:bookmarkEnd w:id="646"/>
      <w:bookmarkEnd w:id="647"/>
      <w:bookmarkEnd w:id="648"/>
    </w:p>
    <w:p w14:paraId="3978CDF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因承包人运输造成施工场地内外公共道路和桥梁损坏的，由承包人承担修复损坏的全部费用和可能引起的赔偿。</w:t>
      </w:r>
    </w:p>
    <w:p w14:paraId="35F2D16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49" w:name="_Toc9650"/>
      <w:bookmarkStart w:id="650" w:name="_Toc23109"/>
      <w:bookmarkStart w:id="651" w:name="_Toc30141"/>
      <w:bookmarkStart w:id="652" w:name="_Toc234833023"/>
      <w:r>
        <w:rPr>
          <w:rFonts w:hint="default" w:ascii="Times New Roman" w:hAnsi="Times New Roman" w:eastAsia="黑体" w:cs="Times New Roman"/>
          <w:b w:val="0"/>
          <w:color w:val="auto"/>
          <w:sz w:val="24"/>
          <w:szCs w:val="24"/>
          <w:highlight w:val="none"/>
        </w:rPr>
        <w:t>7.6水路和航空运输</w:t>
      </w:r>
      <w:bookmarkEnd w:id="649"/>
      <w:bookmarkEnd w:id="650"/>
      <w:bookmarkEnd w:id="651"/>
      <w:bookmarkEnd w:id="652"/>
    </w:p>
    <w:p w14:paraId="39E4E0D6">
      <w:pPr>
        <w:pageBreakBefore w:val="0"/>
        <w:kinsoku/>
        <w:wordWrap w:val="0"/>
        <w:bidi w:val="0"/>
        <w:spacing w:line="400" w:lineRule="atLeast"/>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本条上述各款的内容适用于水路运输和航空运输，其中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道路</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一词的涵义包括河道、航线、船闸、机场、码头、堤防以及水路或航空运输中其他相似结构物；</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车辆</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一词的涵义包括船舶和飞机等。</w:t>
      </w:r>
    </w:p>
    <w:p w14:paraId="1047FB54">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653" w:name="_Toc234833024"/>
      <w:bookmarkStart w:id="654" w:name="_Toc24534"/>
      <w:bookmarkStart w:id="655" w:name="_Toc4669"/>
      <w:bookmarkStart w:id="656" w:name="_Toc19372"/>
      <w:r>
        <w:rPr>
          <w:rFonts w:hint="default" w:ascii="Times New Roman" w:hAnsi="Times New Roman" w:eastAsia="黑体" w:cs="Times New Roman"/>
          <w:b w:val="0"/>
          <w:color w:val="auto"/>
          <w:sz w:val="28"/>
          <w:szCs w:val="28"/>
          <w:highlight w:val="none"/>
        </w:rPr>
        <w:t>8.测量放线</w:t>
      </w:r>
      <w:bookmarkEnd w:id="653"/>
      <w:bookmarkEnd w:id="654"/>
      <w:bookmarkEnd w:id="655"/>
      <w:bookmarkEnd w:id="656"/>
    </w:p>
    <w:p w14:paraId="4A8BF67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57" w:name="_Toc22172"/>
      <w:bookmarkStart w:id="658" w:name="_Toc234833025"/>
      <w:bookmarkStart w:id="659" w:name="_Toc9189"/>
      <w:bookmarkStart w:id="660" w:name="_Toc10567"/>
      <w:r>
        <w:rPr>
          <w:rFonts w:hint="default" w:ascii="Times New Roman" w:hAnsi="Times New Roman" w:eastAsia="黑体" w:cs="Times New Roman"/>
          <w:b w:val="0"/>
          <w:color w:val="auto"/>
          <w:sz w:val="24"/>
          <w:szCs w:val="24"/>
          <w:highlight w:val="none"/>
        </w:rPr>
        <w:t>8.1施工控制网</w:t>
      </w:r>
      <w:bookmarkEnd w:id="657"/>
      <w:bookmarkEnd w:id="658"/>
      <w:bookmarkEnd w:id="659"/>
      <w:bookmarkEnd w:id="660"/>
    </w:p>
    <w:p w14:paraId="1BE5AE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65BD8E42">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336BB64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61" w:name="_Toc234833026"/>
      <w:bookmarkStart w:id="662" w:name="_Toc23418"/>
      <w:bookmarkStart w:id="663" w:name="_Toc25309"/>
      <w:bookmarkStart w:id="664" w:name="_Toc17769"/>
      <w:r>
        <w:rPr>
          <w:rFonts w:hint="default" w:ascii="Times New Roman" w:hAnsi="Times New Roman" w:eastAsia="黑体" w:cs="Times New Roman"/>
          <w:b w:val="0"/>
          <w:color w:val="auto"/>
          <w:sz w:val="24"/>
          <w:szCs w:val="24"/>
          <w:highlight w:val="none"/>
        </w:rPr>
        <w:t>8.2施工测量</w:t>
      </w:r>
      <w:bookmarkEnd w:id="661"/>
      <w:bookmarkEnd w:id="662"/>
      <w:bookmarkEnd w:id="663"/>
      <w:bookmarkEnd w:id="664"/>
    </w:p>
    <w:p w14:paraId="2ECB024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8.2.1承包人应负责施工过程中的全部施工测量放线工作，并配置合格的人员、仪器、设备和其他物品。</w:t>
      </w:r>
    </w:p>
    <w:p w14:paraId="53542158">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8.2.2监理人可以指示承包人进行抽样复测，当复测中发现错误或出现超过合同约定的误差时，承包人应按监理人指示进行修正或补测，并承担相应的复测费用。</w:t>
      </w:r>
    </w:p>
    <w:p w14:paraId="0F5CD1F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65" w:name="_Toc26654"/>
      <w:bookmarkStart w:id="666" w:name="_Toc234833027"/>
      <w:bookmarkStart w:id="667" w:name="_Toc10297"/>
      <w:bookmarkStart w:id="668" w:name="_Toc30617"/>
      <w:r>
        <w:rPr>
          <w:rFonts w:hint="default" w:ascii="Times New Roman" w:hAnsi="Times New Roman" w:eastAsia="黑体" w:cs="Times New Roman"/>
          <w:b w:val="0"/>
          <w:color w:val="auto"/>
          <w:sz w:val="24"/>
          <w:szCs w:val="24"/>
          <w:highlight w:val="none"/>
        </w:rPr>
        <w:t>8.3基准资料错误的责任</w:t>
      </w:r>
      <w:bookmarkEnd w:id="665"/>
      <w:bookmarkEnd w:id="666"/>
      <w:bookmarkEnd w:id="667"/>
      <w:bookmarkEnd w:id="668"/>
    </w:p>
    <w:p w14:paraId="6954389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94E1F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69" w:name="_Toc15727"/>
      <w:bookmarkStart w:id="670" w:name="_Toc234833028"/>
      <w:bookmarkStart w:id="671" w:name="_Toc31976"/>
      <w:bookmarkStart w:id="672" w:name="_Toc1487"/>
      <w:r>
        <w:rPr>
          <w:rFonts w:hint="default" w:ascii="Times New Roman" w:hAnsi="Times New Roman" w:eastAsia="黑体" w:cs="Times New Roman"/>
          <w:b w:val="0"/>
          <w:color w:val="auto"/>
          <w:sz w:val="24"/>
          <w:szCs w:val="24"/>
          <w:highlight w:val="none"/>
        </w:rPr>
        <w:t>8.4监理人使用施工控制网</w:t>
      </w:r>
      <w:bookmarkEnd w:id="669"/>
      <w:bookmarkEnd w:id="670"/>
      <w:bookmarkEnd w:id="671"/>
      <w:bookmarkEnd w:id="672"/>
    </w:p>
    <w:p w14:paraId="182405F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监理人需要使用施工控制网的，承包人应提供必要的协助，发包人不再为此支付费用。</w:t>
      </w:r>
    </w:p>
    <w:p w14:paraId="2748BE83">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673" w:name="_Toc234833029"/>
      <w:bookmarkStart w:id="674" w:name="_Toc1730"/>
      <w:bookmarkStart w:id="675" w:name="_Toc24858"/>
      <w:bookmarkStart w:id="676" w:name="_Toc3624"/>
      <w:r>
        <w:rPr>
          <w:rFonts w:hint="default" w:ascii="Times New Roman" w:hAnsi="Times New Roman" w:eastAsia="黑体" w:cs="Times New Roman"/>
          <w:b w:val="0"/>
          <w:color w:val="auto"/>
          <w:sz w:val="28"/>
          <w:szCs w:val="28"/>
          <w:highlight w:val="none"/>
        </w:rPr>
        <w:t>9.施工安全、治安保卫和环境保护</w:t>
      </w:r>
      <w:bookmarkEnd w:id="673"/>
      <w:bookmarkEnd w:id="674"/>
      <w:bookmarkEnd w:id="675"/>
      <w:bookmarkEnd w:id="676"/>
    </w:p>
    <w:p w14:paraId="417DB60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77" w:name="_Toc234833030"/>
      <w:bookmarkStart w:id="678" w:name="_Toc5314"/>
      <w:bookmarkStart w:id="679" w:name="_Toc20223"/>
      <w:bookmarkStart w:id="680" w:name="_Toc3769"/>
      <w:r>
        <w:rPr>
          <w:rFonts w:hint="default" w:ascii="Times New Roman" w:hAnsi="Times New Roman" w:eastAsia="黑体" w:cs="Times New Roman"/>
          <w:b w:val="0"/>
          <w:color w:val="auto"/>
          <w:sz w:val="24"/>
          <w:szCs w:val="24"/>
          <w:highlight w:val="none"/>
        </w:rPr>
        <w:t>9.1发包人的施工安全责任</w:t>
      </w:r>
      <w:bookmarkEnd w:id="677"/>
      <w:bookmarkEnd w:id="678"/>
      <w:bookmarkEnd w:id="679"/>
      <w:bookmarkEnd w:id="680"/>
    </w:p>
    <w:p w14:paraId="00DD29E9">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9.1.1发包人应按合同约定履行安全职责，授权监理人按合同约定的安全工作内容监督、检查承包人安全工作的实施，组织承包人和有关单位进行安全检查。</w:t>
      </w:r>
    </w:p>
    <w:p w14:paraId="42D9B4B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9.1.2发包人应对其现场机构雇佣的全部人员的工伤事故承担责任，但由于承包人原因造成发包人人员工伤的，应由承包人承担责任。</w:t>
      </w:r>
    </w:p>
    <w:p w14:paraId="1C5D6EB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9.1.3发包人应负责赔偿以下各种情况造成的第三者人身伤亡和财产损失：</w:t>
      </w:r>
    </w:p>
    <w:p w14:paraId="5DBFCB4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（1）工程或工程的任何部分对土地的占用所造成的第三者财产损失；</w:t>
      </w:r>
    </w:p>
    <w:p w14:paraId="60EDF158">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（2）由于发包人原因在施工场地及其毗邻地带造成的第三者人身伤亡和财产损失。</w:t>
      </w:r>
    </w:p>
    <w:p w14:paraId="263CEF1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81" w:name="_Toc3730"/>
      <w:bookmarkStart w:id="682" w:name="_Toc16709"/>
      <w:bookmarkStart w:id="683" w:name="_Toc26218"/>
      <w:bookmarkStart w:id="684" w:name="_Toc234833031"/>
      <w:r>
        <w:rPr>
          <w:rFonts w:hint="default" w:ascii="Times New Roman" w:hAnsi="Times New Roman" w:eastAsia="黑体" w:cs="Times New Roman"/>
          <w:b w:val="0"/>
          <w:color w:val="auto"/>
          <w:sz w:val="24"/>
          <w:szCs w:val="24"/>
          <w:highlight w:val="none"/>
        </w:rPr>
        <w:t>9.2承包人的施工安全责任</w:t>
      </w:r>
      <w:bookmarkEnd w:id="681"/>
      <w:bookmarkEnd w:id="682"/>
      <w:bookmarkEnd w:id="683"/>
      <w:bookmarkEnd w:id="684"/>
    </w:p>
    <w:p w14:paraId="229DA92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9.2.1承包人应按合同约定履行安全职责,执行监理人有关安全工作的指示,并在专用合同条款约定的期限内，按合同约定的安全工作内容，编制施工安全措施计划报送监理人审批。</w:t>
      </w:r>
    </w:p>
    <w:p w14:paraId="606DE27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9.2.2承包人应加强施工作业安全管理，特别应加强易燃、易爆材料、火工器材、有毒与腐蚀性材料和其他危险品的管理，以及对爆破作业和地下工程施工等危险作业的管理。</w:t>
      </w:r>
    </w:p>
    <w:p w14:paraId="6C10161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9.2.3承包人应严格按照国家安全标准制定施工安全操作规程，配备必要的安全生产和劳动保护设施，加强对承包人人员的安全教育，并发放安全工作手册和劳动保护用具。</w:t>
      </w:r>
    </w:p>
    <w:p w14:paraId="3C27EF7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9.2.4承包人应按监理人的指示制定应对灾害的紧急预案，报送监理人审批。承包人还应按预案做好安全检查，配置必要的救助物资和器材，切实保护好有关人员的人身和财产安全。</w:t>
      </w:r>
    </w:p>
    <w:p w14:paraId="1F5A1E0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9.2.5合同约定的安全作业环境及安全施工措施所需费用应遵守有关规定，并包括在相关工作的合同价格中。因采取合同未约定的安全作业环境及安全施工措施增加的费用，由监理人按第3.5款商定或确定。</w:t>
      </w:r>
    </w:p>
    <w:p w14:paraId="3E35AA6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9.2.6承包人应对其履行合同所雇佣的全部人员，包括分包人人员的工伤事故承担责任，但由于发包人原因造成承包人人员工伤事故的，应由发包人承担责任。</w:t>
      </w:r>
    </w:p>
    <w:p w14:paraId="64549F4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9.2.7由于承包人原因在施工场地内及其毗邻地带造成的第三者人员伤亡和财产损失，由承包人负责赔偿。</w:t>
      </w:r>
    </w:p>
    <w:p w14:paraId="235F075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85" w:name="_Toc234833032"/>
      <w:bookmarkStart w:id="686" w:name="_Toc27835"/>
      <w:bookmarkStart w:id="687" w:name="_Toc31111"/>
      <w:bookmarkStart w:id="688" w:name="_Toc24377"/>
      <w:r>
        <w:rPr>
          <w:rFonts w:hint="default" w:ascii="Times New Roman" w:hAnsi="Times New Roman" w:eastAsia="黑体" w:cs="Times New Roman"/>
          <w:b w:val="0"/>
          <w:color w:val="auto"/>
          <w:sz w:val="24"/>
          <w:szCs w:val="24"/>
          <w:highlight w:val="none"/>
        </w:rPr>
        <w:t>9.3治安保卫</w:t>
      </w:r>
      <w:bookmarkEnd w:id="685"/>
      <w:bookmarkEnd w:id="686"/>
      <w:bookmarkEnd w:id="687"/>
      <w:bookmarkEnd w:id="688"/>
    </w:p>
    <w:p w14:paraId="619A707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9.3.1除合同另有约定外，发包人应与当地公安部门协商，在现场建立治安管理机构或联防组织，统一管理施工场地的治安保卫事项，履行合同工程的治安保卫职责。</w:t>
      </w:r>
    </w:p>
    <w:p w14:paraId="4C93F64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9.3.2发包人和承包人除应协助现场治安管理机构或联防组织维护施工场地的社会治安外，还应做好包括生活区在内的各自管辖区的治安保卫工作。</w:t>
      </w:r>
    </w:p>
    <w:p w14:paraId="184153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9.3.3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1C1CE46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89" w:name="_Toc269"/>
      <w:bookmarkStart w:id="690" w:name="_Toc234833033"/>
      <w:bookmarkStart w:id="691" w:name="_Toc30300"/>
      <w:bookmarkStart w:id="692" w:name="_Toc16001"/>
      <w:r>
        <w:rPr>
          <w:rFonts w:hint="default" w:ascii="Times New Roman" w:hAnsi="Times New Roman" w:eastAsia="黑体" w:cs="Times New Roman"/>
          <w:b w:val="0"/>
          <w:color w:val="auto"/>
          <w:sz w:val="24"/>
          <w:szCs w:val="24"/>
          <w:highlight w:val="none"/>
        </w:rPr>
        <w:t>9.4环境保护</w:t>
      </w:r>
      <w:bookmarkEnd w:id="689"/>
      <w:bookmarkEnd w:id="690"/>
      <w:bookmarkEnd w:id="691"/>
      <w:bookmarkEnd w:id="692"/>
    </w:p>
    <w:p w14:paraId="545C87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9.4.1承包人在施工过程中，应遵守有关环境保护的法律，履行合同约定的环境保护义务，并对违反法律和合同约定义务所造成的环境破坏、人身伤害和财产损失负责。</w:t>
      </w:r>
    </w:p>
    <w:p w14:paraId="146FCF0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9.4.2承包人应按合同约定的环保工作内容，编制施工环保措施计划，报送监理人审批。</w:t>
      </w:r>
    </w:p>
    <w:p w14:paraId="76377A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E9BE2F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9.4.4承包人应按合同约定采取有效措施，对施工开挖的边坡及时进行支护,维护排水设施，并进行水土保护，避免因施工造成的地质灾害。</w:t>
      </w:r>
    </w:p>
    <w:p w14:paraId="062E26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9.4.5承包人应按国家饮用水管理标准定期对饮用水源进行监测，防止施工活动污染饮用水源。</w:t>
      </w:r>
    </w:p>
    <w:p w14:paraId="29271A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9.4.6承包人应按合同约定，加强对噪声、粉尘、废气、废水和废油的控制，努力降低噪声，控制粉尘和废气浓度，做好废水和废油的治理和排放。</w:t>
      </w:r>
    </w:p>
    <w:p w14:paraId="7BBF9C3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693" w:name="_Toc234833034"/>
      <w:bookmarkStart w:id="694" w:name="_Toc5457"/>
      <w:bookmarkStart w:id="695" w:name="_Toc26780"/>
      <w:bookmarkStart w:id="696" w:name="_Toc17129"/>
      <w:r>
        <w:rPr>
          <w:rFonts w:hint="default" w:ascii="Times New Roman" w:hAnsi="Times New Roman" w:eastAsia="黑体" w:cs="Times New Roman"/>
          <w:b w:val="0"/>
          <w:color w:val="auto"/>
          <w:sz w:val="24"/>
          <w:szCs w:val="24"/>
          <w:highlight w:val="none"/>
        </w:rPr>
        <w:t>9.5事故处理</w:t>
      </w:r>
      <w:bookmarkEnd w:id="693"/>
      <w:bookmarkEnd w:id="694"/>
      <w:bookmarkEnd w:id="695"/>
      <w:bookmarkEnd w:id="696"/>
    </w:p>
    <w:p w14:paraId="1FF503F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8B50426">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697" w:name="_Toc30729"/>
      <w:bookmarkStart w:id="698" w:name="_Toc12821"/>
      <w:bookmarkStart w:id="699" w:name="_Toc234833035"/>
      <w:bookmarkStart w:id="700" w:name="_Toc32151"/>
      <w:r>
        <w:rPr>
          <w:rFonts w:hint="default" w:ascii="Times New Roman" w:hAnsi="Times New Roman" w:eastAsia="黑体" w:cs="Times New Roman"/>
          <w:b w:val="0"/>
          <w:color w:val="auto"/>
          <w:sz w:val="28"/>
          <w:szCs w:val="28"/>
          <w:highlight w:val="none"/>
        </w:rPr>
        <w:t>10.进度计划</w:t>
      </w:r>
      <w:bookmarkEnd w:id="697"/>
      <w:bookmarkEnd w:id="698"/>
      <w:bookmarkEnd w:id="699"/>
      <w:bookmarkEnd w:id="700"/>
    </w:p>
    <w:p w14:paraId="6EDB38A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01" w:name="_Toc24434"/>
      <w:bookmarkStart w:id="702" w:name="_Toc9432"/>
      <w:bookmarkStart w:id="703" w:name="_Toc234833036"/>
      <w:bookmarkStart w:id="704" w:name="_Toc17150"/>
      <w:r>
        <w:rPr>
          <w:rFonts w:hint="default" w:ascii="Times New Roman" w:hAnsi="Times New Roman" w:eastAsia="黑体" w:cs="Times New Roman"/>
          <w:b w:val="0"/>
          <w:color w:val="auto"/>
          <w:sz w:val="24"/>
          <w:szCs w:val="24"/>
          <w:highlight w:val="none"/>
        </w:rPr>
        <w:t>10.1合同进度计划</w:t>
      </w:r>
      <w:bookmarkEnd w:id="701"/>
      <w:bookmarkEnd w:id="702"/>
      <w:bookmarkEnd w:id="703"/>
      <w:bookmarkEnd w:id="704"/>
    </w:p>
    <w:p w14:paraId="70FF881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4242638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05" w:name="_Toc23622"/>
      <w:bookmarkStart w:id="706" w:name="_Toc21458"/>
      <w:bookmarkStart w:id="707" w:name="_Toc234833037"/>
      <w:bookmarkStart w:id="708" w:name="_Toc15025"/>
      <w:r>
        <w:rPr>
          <w:rFonts w:hint="default" w:ascii="Times New Roman" w:hAnsi="Times New Roman" w:eastAsia="黑体" w:cs="Times New Roman"/>
          <w:b w:val="0"/>
          <w:color w:val="auto"/>
          <w:sz w:val="24"/>
          <w:szCs w:val="24"/>
          <w:highlight w:val="none"/>
        </w:rPr>
        <w:t>10.2合同进度计划的修订</w:t>
      </w:r>
      <w:bookmarkEnd w:id="705"/>
      <w:bookmarkEnd w:id="706"/>
      <w:bookmarkEnd w:id="707"/>
      <w:bookmarkEnd w:id="708"/>
    </w:p>
    <w:p w14:paraId="717C7D5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233704BF">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09" w:name="_Toc1558"/>
      <w:bookmarkStart w:id="710" w:name="_Toc15582"/>
      <w:bookmarkStart w:id="711" w:name="_Toc234833038"/>
      <w:bookmarkStart w:id="712" w:name="_Toc31278"/>
      <w:r>
        <w:rPr>
          <w:rFonts w:hint="default" w:ascii="Times New Roman" w:hAnsi="Times New Roman" w:eastAsia="黑体" w:cs="Times New Roman"/>
          <w:b w:val="0"/>
          <w:color w:val="auto"/>
          <w:sz w:val="28"/>
          <w:szCs w:val="28"/>
          <w:highlight w:val="none"/>
        </w:rPr>
        <w:t>11.开工和竣工</w:t>
      </w:r>
      <w:bookmarkEnd w:id="709"/>
      <w:bookmarkEnd w:id="710"/>
      <w:bookmarkEnd w:id="711"/>
      <w:bookmarkEnd w:id="712"/>
    </w:p>
    <w:p w14:paraId="4AC0B3A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13" w:name="_Toc20810"/>
      <w:bookmarkStart w:id="714" w:name="_Toc12994"/>
      <w:bookmarkStart w:id="715" w:name="_Toc234833039"/>
      <w:bookmarkStart w:id="716" w:name="_Toc196"/>
      <w:r>
        <w:rPr>
          <w:rFonts w:hint="default" w:ascii="Times New Roman" w:hAnsi="Times New Roman" w:eastAsia="黑体" w:cs="Times New Roman"/>
          <w:b w:val="0"/>
          <w:color w:val="auto"/>
          <w:sz w:val="24"/>
          <w:szCs w:val="24"/>
          <w:highlight w:val="none"/>
        </w:rPr>
        <w:t>11.1开工</w:t>
      </w:r>
      <w:bookmarkEnd w:id="713"/>
      <w:bookmarkEnd w:id="714"/>
      <w:bookmarkEnd w:id="715"/>
      <w:bookmarkEnd w:id="716"/>
    </w:p>
    <w:p w14:paraId="2D335B5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11.1.1监理人应在开工日期7天前向承包人发出开工通知。监理人在发出开工通知前应获得发包人同意。工期自监理人发出的开工通知中载明的开工日期起计算。承包人应在开工日期后尽快施工。</w:t>
      </w:r>
    </w:p>
    <w:p w14:paraId="2D8947C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11.1.2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E5A9BE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17" w:name="_Toc10996"/>
      <w:bookmarkStart w:id="718" w:name="_Toc9084"/>
      <w:bookmarkStart w:id="719" w:name="_Toc234833040"/>
      <w:bookmarkStart w:id="720" w:name="_Toc830"/>
      <w:r>
        <w:rPr>
          <w:rFonts w:hint="default" w:ascii="Times New Roman" w:hAnsi="Times New Roman" w:eastAsia="黑体" w:cs="Times New Roman"/>
          <w:b w:val="0"/>
          <w:color w:val="auto"/>
          <w:sz w:val="24"/>
          <w:szCs w:val="24"/>
          <w:highlight w:val="none"/>
        </w:rPr>
        <w:t>11.2竣工</w:t>
      </w:r>
      <w:bookmarkEnd w:id="717"/>
      <w:bookmarkEnd w:id="718"/>
      <w:bookmarkEnd w:id="719"/>
      <w:bookmarkEnd w:id="720"/>
    </w:p>
    <w:p w14:paraId="6699331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承包人应在第1.1.4.3目约定的期限内完成合同工程。实际竣工日期在接收证书中写明。</w:t>
      </w:r>
    </w:p>
    <w:p w14:paraId="55C9B25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21" w:name="_Toc234833041"/>
      <w:bookmarkStart w:id="722" w:name="_Toc27035"/>
      <w:bookmarkStart w:id="723" w:name="_Toc18689"/>
      <w:bookmarkStart w:id="724" w:name="_Toc27799"/>
      <w:r>
        <w:rPr>
          <w:rFonts w:hint="default" w:ascii="Times New Roman" w:hAnsi="Times New Roman" w:eastAsia="黑体" w:cs="Times New Roman"/>
          <w:b w:val="0"/>
          <w:color w:val="auto"/>
          <w:sz w:val="24"/>
          <w:szCs w:val="24"/>
          <w:highlight w:val="none"/>
        </w:rPr>
        <w:t>11.3发包人的工期延误</w:t>
      </w:r>
      <w:bookmarkEnd w:id="721"/>
      <w:bookmarkEnd w:id="722"/>
      <w:bookmarkEnd w:id="723"/>
      <w:bookmarkEnd w:id="724"/>
    </w:p>
    <w:p w14:paraId="1B238DA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14:paraId="5D19ED51">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（1）增加合同工作内容;</w:t>
      </w:r>
    </w:p>
    <w:p w14:paraId="1C67A1C5">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（2）改变合同中任何一项工作的质量要求或其他特性；</w:t>
      </w:r>
    </w:p>
    <w:p w14:paraId="7A06084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（3）发包人迟延提供材料、工程设备或变更交货地点的；</w:t>
      </w:r>
    </w:p>
    <w:p w14:paraId="7E63DD8D">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（4）因发包人原因导致的暂停施工；</w:t>
      </w:r>
    </w:p>
    <w:p w14:paraId="252938A4">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（5）提供图纸延误；</w:t>
      </w:r>
    </w:p>
    <w:p w14:paraId="455992D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（6）未按合同约定及时支付预付款、进度款；</w:t>
      </w:r>
    </w:p>
    <w:p w14:paraId="184EF823">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（7）发包人造成工期延误的其他原因。</w:t>
      </w:r>
    </w:p>
    <w:p w14:paraId="18FE62D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25" w:name="_Toc22343"/>
      <w:bookmarkStart w:id="726" w:name="_Toc10516"/>
      <w:bookmarkStart w:id="727" w:name="_Toc31357"/>
      <w:bookmarkStart w:id="728" w:name="_Toc234833042"/>
      <w:r>
        <w:rPr>
          <w:rFonts w:hint="default" w:ascii="Times New Roman" w:hAnsi="Times New Roman" w:eastAsia="黑体" w:cs="Times New Roman"/>
          <w:b w:val="0"/>
          <w:color w:val="auto"/>
          <w:sz w:val="24"/>
          <w:szCs w:val="24"/>
          <w:highlight w:val="none"/>
        </w:rPr>
        <w:t>11.4异常恶劣的气候条件</w:t>
      </w:r>
      <w:bookmarkEnd w:id="725"/>
      <w:bookmarkEnd w:id="726"/>
      <w:bookmarkEnd w:id="727"/>
      <w:bookmarkEnd w:id="728"/>
    </w:p>
    <w:p w14:paraId="3CC8741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由于出现专用合同条款约定的异常恶劣气候的条件导致工期延误的，承包人有权要求发包人延长工期。</w:t>
      </w:r>
    </w:p>
    <w:p w14:paraId="6ADF96D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29" w:name="_Toc27127"/>
      <w:bookmarkStart w:id="730" w:name="_Toc234833043"/>
      <w:bookmarkStart w:id="731" w:name="_Toc23628"/>
      <w:bookmarkStart w:id="732" w:name="_Toc29531"/>
      <w:r>
        <w:rPr>
          <w:rFonts w:hint="default" w:ascii="Times New Roman" w:hAnsi="Times New Roman" w:eastAsia="黑体" w:cs="Times New Roman"/>
          <w:b w:val="0"/>
          <w:color w:val="auto"/>
          <w:sz w:val="24"/>
          <w:szCs w:val="24"/>
          <w:highlight w:val="none"/>
        </w:rPr>
        <w:t>11.5承包人的工期延误</w:t>
      </w:r>
      <w:bookmarkEnd w:id="729"/>
      <w:bookmarkEnd w:id="730"/>
      <w:bookmarkEnd w:id="731"/>
      <w:bookmarkEnd w:id="732"/>
    </w:p>
    <w:p w14:paraId="2D7232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569829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33" w:name="_Toc25703"/>
      <w:bookmarkStart w:id="734" w:name="_Toc234833044"/>
      <w:bookmarkStart w:id="735" w:name="_Toc18576"/>
      <w:bookmarkStart w:id="736" w:name="_Toc16451"/>
      <w:r>
        <w:rPr>
          <w:rFonts w:hint="default" w:ascii="Times New Roman" w:hAnsi="Times New Roman" w:eastAsia="黑体" w:cs="Times New Roman"/>
          <w:b w:val="0"/>
          <w:color w:val="auto"/>
          <w:sz w:val="24"/>
          <w:szCs w:val="24"/>
          <w:highlight w:val="none"/>
        </w:rPr>
        <w:t>11.6工期提前</w:t>
      </w:r>
      <w:bookmarkEnd w:id="733"/>
      <w:bookmarkEnd w:id="734"/>
      <w:bookmarkEnd w:id="735"/>
      <w:bookmarkEnd w:id="736"/>
    </w:p>
    <w:p w14:paraId="7865CBD1">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0775BA8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37" w:name="_Toc29212"/>
      <w:bookmarkStart w:id="738" w:name="_Toc23679"/>
      <w:bookmarkStart w:id="739" w:name="_Toc17617"/>
      <w:bookmarkStart w:id="740" w:name="_Toc234833045"/>
      <w:r>
        <w:rPr>
          <w:rFonts w:hint="default" w:ascii="Times New Roman" w:hAnsi="Times New Roman" w:eastAsia="黑体" w:cs="Times New Roman"/>
          <w:b w:val="0"/>
          <w:color w:val="auto"/>
          <w:sz w:val="28"/>
          <w:szCs w:val="28"/>
          <w:highlight w:val="none"/>
        </w:rPr>
        <w:t>12.暂停施工</w:t>
      </w:r>
      <w:bookmarkEnd w:id="737"/>
      <w:bookmarkEnd w:id="738"/>
      <w:bookmarkEnd w:id="739"/>
      <w:bookmarkEnd w:id="740"/>
    </w:p>
    <w:p w14:paraId="3B254CC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41" w:name="_Toc18760"/>
      <w:bookmarkStart w:id="742" w:name="_Toc234833046"/>
      <w:bookmarkStart w:id="743" w:name="_Toc8685"/>
      <w:bookmarkStart w:id="744" w:name="_Toc27"/>
      <w:r>
        <w:rPr>
          <w:rFonts w:hint="default" w:ascii="Times New Roman" w:hAnsi="Times New Roman" w:eastAsia="黑体" w:cs="Times New Roman"/>
          <w:b w:val="0"/>
          <w:color w:val="auto"/>
          <w:sz w:val="24"/>
          <w:szCs w:val="24"/>
          <w:highlight w:val="none"/>
        </w:rPr>
        <w:t>12.1承包人暂停施工的责任</w:t>
      </w:r>
      <w:bookmarkEnd w:id="741"/>
      <w:bookmarkEnd w:id="742"/>
      <w:bookmarkEnd w:id="743"/>
      <w:bookmarkEnd w:id="744"/>
    </w:p>
    <w:p w14:paraId="6D9E7C8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因下列暂停施工增加的费用和（或）工期延误由承包人承担：</w:t>
      </w:r>
    </w:p>
    <w:p w14:paraId="37796B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（1）承包人违约引起的暂停施工；</w:t>
      </w:r>
    </w:p>
    <w:p w14:paraId="251865C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（2）由于承包人原因为工程合理施工和安全保障所必需的暂停施工；</w:t>
      </w:r>
    </w:p>
    <w:p w14:paraId="39AB778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（3）承包人擅自暂停施工；</w:t>
      </w:r>
    </w:p>
    <w:p w14:paraId="1AD3CE0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（4）承包人其他原因引起的暂停施工；</w:t>
      </w:r>
    </w:p>
    <w:p w14:paraId="3C6A85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（5）专用合同条款约定由承包人承担的其他暂停施工。</w:t>
      </w:r>
    </w:p>
    <w:p w14:paraId="4FA1AAD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45" w:name="_Toc29989"/>
      <w:bookmarkStart w:id="746" w:name="_Toc234833047"/>
      <w:bookmarkStart w:id="747" w:name="_Toc18857"/>
      <w:bookmarkStart w:id="748" w:name="_Toc23726"/>
      <w:r>
        <w:rPr>
          <w:rFonts w:hint="default" w:ascii="Times New Roman" w:hAnsi="Times New Roman" w:eastAsia="黑体" w:cs="Times New Roman"/>
          <w:b w:val="0"/>
          <w:color w:val="auto"/>
          <w:sz w:val="24"/>
          <w:szCs w:val="24"/>
          <w:highlight w:val="none"/>
        </w:rPr>
        <w:t>12.2发包人暂停施工的责任</w:t>
      </w:r>
      <w:bookmarkEnd w:id="745"/>
      <w:bookmarkEnd w:id="746"/>
      <w:bookmarkEnd w:id="747"/>
      <w:bookmarkEnd w:id="748"/>
    </w:p>
    <w:p w14:paraId="5E7D27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由于发包人原因引起的暂停施工造成工期延误的，承包人有权要求发包人延长工期和（或）增加费用，并支付合理利润。</w:t>
      </w:r>
    </w:p>
    <w:p w14:paraId="5489B2B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49" w:name="_Toc3772"/>
      <w:bookmarkStart w:id="750" w:name="_Toc4773"/>
      <w:bookmarkStart w:id="751" w:name="_Toc15395"/>
      <w:bookmarkStart w:id="752" w:name="_Toc234833048"/>
      <w:r>
        <w:rPr>
          <w:rFonts w:hint="default" w:ascii="Times New Roman" w:hAnsi="Times New Roman" w:eastAsia="黑体" w:cs="Times New Roman"/>
          <w:b w:val="0"/>
          <w:color w:val="auto"/>
          <w:sz w:val="24"/>
          <w:szCs w:val="24"/>
          <w:highlight w:val="none"/>
        </w:rPr>
        <w:t>12.3监理人暂停施工指示</w:t>
      </w:r>
      <w:bookmarkEnd w:id="749"/>
      <w:bookmarkEnd w:id="750"/>
      <w:bookmarkEnd w:id="751"/>
      <w:bookmarkEnd w:id="752"/>
    </w:p>
    <w:p w14:paraId="299708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12.3.1监理人认为有必要时，可向承包人作出暂停施工的指示，承包人应按监理人指示暂停施工。不论由于何种原因引起的暂停施工，暂停施工期间承包人应负责妥善保护工程并提供安全保障。</w:t>
      </w:r>
    </w:p>
    <w:p w14:paraId="27087C3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12.3.2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F818E5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53" w:name="_Toc11081"/>
      <w:bookmarkStart w:id="754" w:name="_Toc234833049"/>
      <w:bookmarkStart w:id="755" w:name="_Toc16137"/>
      <w:bookmarkStart w:id="756" w:name="_Toc1869"/>
      <w:r>
        <w:rPr>
          <w:rFonts w:hint="default" w:ascii="Times New Roman" w:hAnsi="Times New Roman" w:eastAsia="黑体" w:cs="Times New Roman"/>
          <w:b w:val="0"/>
          <w:color w:val="auto"/>
          <w:sz w:val="24"/>
          <w:szCs w:val="24"/>
          <w:highlight w:val="none"/>
        </w:rPr>
        <w:t>12.4暂停施工后的复工</w:t>
      </w:r>
      <w:bookmarkEnd w:id="753"/>
      <w:bookmarkEnd w:id="754"/>
      <w:bookmarkEnd w:id="755"/>
      <w:bookmarkEnd w:id="756"/>
    </w:p>
    <w:p w14:paraId="7650E21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78E8EF6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12.4.2承包人无故拖延和拒绝复工的，由此增加的费用和工期延误由承包人承担；因发包人原因无法按时复工的，承包人有权要求发包人延长工期和（或）增加费用，并支付合理利润。</w:t>
      </w:r>
    </w:p>
    <w:p w14:paraId="4E83983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57" w:name="_Toc11816"/>
      <w:bookmarkStart w:id="758" w:name="_Toc4186"/>
      <w:bookmarkStart w:id="759" w:name="_Toc234833050"/>
      <w:bookmarkStart w:id="760" w:name="_Toc12999"/>
      <w:r>
        <w:rPr>
          <w:rFonts w:hint="default" w:ascii="Times New Roman" w:hAnsi="Times New Roman" w:eastAsia="黑体" w:cs="Times New Roman"/>
          <w:b w:val="0"/>
          <w:color w:val="auto"/>
          <w:sz w:val="24"/>
          <w:szCs w:val="24"/>
          <w:highlight w:val="none"/>
        </w:rPr>
        <w:t>12.5暂停施工持续56天以上</w:t>
      </w:r>
      <w:bookmarkEnd w:id="757"/>
      <w:bookmarkEnd w:id="758"/>
      <w:bookmarkEnd w:id="759"/>
      <w:bookmarkEnd w:id="760"/>
    </w:p>
    <w:p w14:paraId="6265A8A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52A54E2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12.5.2由于承包人责任引起的暂停施工，如承包人在收到监理人暂停施工指示后56天内不认真采取有效的复工措施，造成工期延误，可视为承包人违约，应按第22.1款的约定办理。</w:t>
      </w:r>
    </w:p>
    <w:p w14:paraId="67DC23D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61" w:name="_Toc234833051"/>
      <w:bookmarkStart w:id="762" w:name="_Toc7813"/>
      <w:bookmarkStart w:id="763" w:name="_Toc32763"/>
      <w:bookmarkStart w:id="764" w:name="_Toc38"/>
      <w:r>
        <w:rPr>
          <w:rFonts w:hint="default" w:ascii="Times New Roman" w:hAnsi="Times New Roman" w:eastAsia="黑体" w:cs="Times New Roman"/>
          <w:b w:val="0"/>
          <w:color w:val="auto"/>
          <w:sz w:val="28"/>
          <w:szCs w:val="28"/>
          <w:highlight w:val="none"/>
        </w:rPr>
        <w:t>13.工程质量</w:t>
      </w:r>
      <w:bookmarkEnd w:id="761"/>
      <w:bookmarkEnd w:id="762"/>
      <w:bookmarkEnd w:id="763"/>
      <w:bookmarkEnd w:id="764"/>
    </w:p>
    <w:p w14:paraId="046958F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65" w:name="_Toc9818"/>
      <w:bookmarkStart w:id="766" w:name="_Toc25776"/>
      <w:bookmarkStart w:id="767" w:name="_Toc234833052"/>
      <w:bookmarkStart w:id="768" w:name="_Toc9602"/>
      <w:r>
        <w:rPr>
          <w:rFonts w:hint="default" w:ascii="Times New Roman" w:hAnsi="Times New Roman" w:eastAsia="黑体" w:cs="Times New Roman"/>
          <w:b w:val="0"/>
          <w:color w:val="auto"/>
          <w:sz w:val="24"/>
          <w:szCs w:val="24"/>
          <w:highlight w:val="none"/>
        </w:rPr>
        <w:t>13.1工程质量要求</w:t>
      </w:r>
      <w:bookmarkEnd w:id="765"/>
      <w:bookmarkEnd w:id="766"/>
      <w:bookmarkEnd w:id="767"/>
      <w:bookmarkEnd w:id="768"/>
    </w:p>
    <w:p w14:paraId="50DC21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13.1.1工程质量验收按合同约定验收标准执行。</w:t>
      </w:r>
    </w:p>
    <w:p w14:paraId="3209616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13.1.2因承包人原因造成工程质量达不到合同约定验收标准的，监理人有权要求承包人返工直至符合合同要求为止，由此造成的费用增加和（或）工期延误由承包人承担。</w:t>
      </w:r>
    </w:p>
    <w:p w14:paraId="3091E75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13.1.3因发包人原因造成工程质量达不到合同约定验收标准的，发包人应承担由于承包人返工造成的费用增加和（或）工期延误，并支付承包人合理利润。</w:t>
      </w:r>
    </w:p>
    <w:p w14:paraId="4C5E20F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69" w:name="_Toc20391"/>
      <w:bookmarkStart w:id="770" w:name="_Toc1504"/>
      <w:bookmarkStart w:id="771" w:name="_Toc14900"/>
      <w:bookmarkStart w:id="772" w:name="_Toc234833053"/>
      <w:r>
        <w:rPr>
          <w:rFonts w:hint="default" w:ascii="Times New Roman" w:hAnsi="Times New Roman" w:eastAsia="黑体" w:cs="Times New Roman"/>
          <w:b w:val="0"/>
          <w:color w:val="auto"/>
          <w:sz w:val="24"/>
          <w:szCs w:val="24"/>
          <w:highlight w:val="none"/>
        </w:rPr>
        <w:t>13.2承包人的质量管理</w:t>
      </w:r>
      <w:bookmarkEnd w:id="769"/>
      <w:bookmarkEnd w:id="770"/>
      <w:bookmarkEnd w:id="771"/>
      <w:bookmarkEnd w:id="772"/>
    </w:p>
    <w:p w14:paraId="0E9203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369D6C9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13.2.2承包人应加强对施工人员的质量教育和技术培训，定期考核施工人员的劳动技能，严格执行规范和操作规程。</w:t>
      </w:r>
    </w:p>
    <w:p w14:paraId="1BD7D85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73" w:name="_Toc234833054"/>
      <w:bookmarkStart w:id="774" w:name="_Toc9790"/>
      <w:bookmarkStart w:id="775" w:name="_Toc23276"/>
      <w:bookmarkStart w:id="776" w:name="_Toc18930"/>
      <w:r>
        <w:rPr>
          <w:rFonts w:hint="default" w:ascii="Times New Roman" w:hAnsi="Times New Roman" w:eastAsia="黑体" w:cs="Times New Roman"/>
          <w:b w:val="0"/>
          <w:color w:val="auto"/>
          <w:sz w:val="24"/>
          <w:szCs w:val="24"/>
          <w:highlight w:val="none"/>
        </w:rPr>
        <w:t>13.3承包人的质量检查</w:t>
      </w:r>
      <w:bookmarkEnd w:id="773"/>
      <w:bookmarkEnd w:id="774"/>
      <w:bookmarkEnd w:id="775"/>
      <w:bookmarkEnd w:id="776"/>
    </w:p>
    <w:p w14:paraId="368DADD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承包人应按合同约定对材料、工程设备以及工程的所有部位及其施工工艺进行全过程的质量检查和检验，并作详细记录，编制工程质量报表，报送监理人审查。</w:t>
      </w:r>
    </w:p>
    <w:p w14:paraId="23041F1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77" w:name="_Toc30195"/>
      <w:bookmarkStart w:id="778" w:name="_Toc234833055"/>
      <w:bookmarkStart w:id="779" w:name="_Toc14050"/>
      <w:bookmarkStart w:id="780" w:name="_Toc23210"/>
      <w:r>
        <w:rPr>
          <w:rFonts w:hint="default" w:ascii="Times New Roman" w:hAnsi="Times New Roman" w:eastAsia="黑体" w:cs="Times New Roman"/>
          <w:b w:val="0"/>
          <w:color w:val="auto"/>
          <w:sz w:val="24"/>
          <w:szCs w:val="24"/>
          <w:highlight w:val="none"/>
        </w:rPr>
        <w:t>13.4监理人的质量检查</w:t>
      </w:r>
      <w:bookmarkEnd w:id="777"/>
      <w:bookmarkEnd w:id="778"/>
      <w:bookmarkEnd w:id="779"/>
      <w:bookmarkEnd w:id="780"/>
    </w:p>
    <w:p w14:paraId="2C7A85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24002E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81" w:name="_Toc234833056"/>
      <w:bookmarkStart w:id="782" w:name="_Toc17194"/>
      <w:bookmarkStart w:id="783" w:name="_Toc21706"/>
      <w:bookmarkStart w:id="784" w:name="_Toc17119"/>
      <w:r>
        <w:rPr>
          <w:rFonts w:hint="default" w:ascii="Times New Roman" w:hAnsi="Times New Roman" w:eastAsia="黑体" w:cs="Times New Roman"/>
          <w:b w:val="0"/>
          <w:color w:val="auto"/>
          <w:sz w:val="24"/>
          <w:szCs w:val="24"/>
          <w:highlight w:val="none"/>
        </w:rPr>
        <w:t>13.5工程隐蔽部位覆盖前的检查</w:t>
      </w:r>
      <w:bookmarkEnd w:id="781"/>
      <w:bookmarkEnd w:id="782"/>
      <w:bookmarkEnd w:id="783"/>
      <w:bookmarkEnd w:id="784"/>
    </w:p>
    <w:p w14:paraId="2987CF3D">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13.5.1</w:t>
      </w:r>
      <w:r>
        <w:rPr>
          <w:rFonts w:hint="default" w:ascii="Times New Roman" w:hAnsi="Times New Roman" w:eastAsia="黑体" w:cs="Times New Roman"/>
          <w:color w:val="auto"/>
          <w:sz w:val="24"/>
          <w:highlight w:val="none"/>
        </w:rPr>
        <w:t>通知监理人检查</w:t>
      </w:r>
    </w:p>
    <w:p w14:paraId="6FBCBC6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29771F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13.5.2</w:t>
      </w:r>
      <w:r>
        <w:rPr>
          <w:rFonts w:hint="default" w:ascii="Times New Roman" w:hAnsi="Times New Roman" w:eastAsia="黑体" w:cs="Times New Roman"/>
          <w:color w:val="auto"/>
          <w:sz w:val="24"/>
          <w:highlight w:val="none"/>
        </w:rPr>
        <w:t>监理人未到场检查</w:t>
      </w:r>
    </w:p>
    <w:p w14:paraId="4C7F07E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675D978B">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13.5.3</w:t>
      </w:r>
      <w:r>
        <w:rPr>
          <w:rFonts w:hint="default" w:ascii="Times New Roman" w:hAnsi="Times New Roman" w:eastAsia="黑体" w:cs="Times New Roman"/>
          <w:color w:val="auto"/>
          <w:sz w:val="24"/>
          <w:highlight w:val="none"/>
        </w:rPr>
        <w:t>监理人重新检查</w:t>
      </w:r>
    </w:p>
    <w:p w14:paraId="3C76028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88B2462">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13.5.4</w:t>
      </w:r>
      <w:r>
        <w:rPr>
          <w:rFonts w:hint="default" w:ascii="Times New Roman" w:hAnsi="Times New Roman" w:eastAsia="黑体" w:cs="Times New Roman"/>
          <w:color w:val="auto"/>
          <w:sz w:val="24"/>
          <w:highlight w:val="none"/>
        </w:rPr>
        <w:t>承包人私自覆盖</w:t>
      </w:r>
    </w:p>
    <w:p w14:paraId="0FAEC38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承包人未通知监理人到场检查，私自将工程隐蔽部位覆盖的，监理人有权指示承包人钻孔探测或揭开检查，由此增加的费用和（或）工期延误由承包人承担。</w:t>
      </w:r>
    </w:p>
    <w:p w14:paraId="7E1154D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85" w:name="_Toc11615"/>
      <w:bookmarkStart w:id="786" w:name="_Toc27575"/>
      <w:bookmarkStart w:id="787" w:name="_Toc234833057"/>
      <w:bookmarkStart w:id="788" w:name="_Toc29205"/>
      <w:r>
        <w:rPr>
          <w:rFonts w:hint="default" w:ascii="Times New Roman" w:hAnsi="Times New Roman" w:eastAsia="黑体" w:cs="Times New Roman"/>
          <w:b w:val="0"/>
          <w:color w:val="auto"/>
          <w:sz w:val="24"/>
          <w:szCs w:val="24"/>
          <w:highlight w:val="none"/>
        </w:rPr>
        <w:t>13.6清除不合格工程</w:t>
      </w:r>
      <w:bookmarkEnd w:id="785"/>
      <w:bookmarkEnd w:id="786"/>
      <w:bookmarkEnd w:id="787"/>
      <w:bookmarkEnd w:id="788"/>
    </w:p>
    <w:p w14:paraId="78DC7E3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9D489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13.6.2由于发包人提供的材料或工程设备不合格造成的工程不合格，需要承包人采取措施补救的，发包人应承担由此增加的费用和（或）工期延误，并支付承包人合理利润。</w:t>
      </w:r>
    </w:p>
    <w:p w14:paraId="30D743D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789" w:name="_Toc234833058"/>
      <w:bookmarkStart w:id="790" w:name="_Toc16816"/>
      <w:bookmarkStart w:id="791" w:name="_Toc17780"/>
      <w:bookmarkStart w:id="792" w:name="_Toc26772"/>
      <w:r>
        <w:rPr>
          <w:rFonts w:hint="default" w:ascii="Times New Roman" w:hAnsi="Times New Roman" w:eastAsia="黑体" w:cs="Times New Roman"/>
          <w:b w:val="0"/>
          <w:color w:val="auto"/>
          <w:sz w:val="28"/>
          <w:szCs w:val="28"/>
          <w:highlight w:val="none"/>
        </w:rPr>
        <w:t>14.试验和检验</w:t>
      </w:r>
      <w:bookmarkEnd w:id="789"/>
      <w:bookmarkEnd w:id="790"/>
      <w:bookmarkEnd w:id="791"/>
      <w:bookmarkEnd w:id="792"/>
    </w:p>
    <w:p w14:paraId="079BEB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93" w:name="_Toc234833059"/>
      <w:bookmarkStart w:id="794" w:name="_Toc7572"/>
      <w:bookmarkStart w:id="795" w:name="_Toc23212"/>
      <w:bookmarkStart w:id="796" w:name="_Toc19299"/>
      <w:r>
        <w:rPr>
          <w:rFonts w:hint="default" w:ascii="Times New Roman" w:hAnsi="Times New Roman" w:eastAsia="黑体" w:cs="Times New Roman"/>
          <w:b w:val="0"/>
          <w:color w:val="auto"/>
          <w:sz w:val="24"/>
          <w:szCs w:val="24"/>
          <w:highlight w:val="none"/>
        </w:rPr>
        <w:t>14.1材料、工程设备和工程的试验和检验</w:t>
      </w:r>
      <w:bookmarkEnd w:id="793"/>
      <w:bookmarkEnd w:id="794"/>
      <w:bookmarkEnd w:id="795"/>
      <w:bookmarkEnd w:id="796"/>
    </w:p>
    <w:p w14:paraId="641737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81352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14.1.2监理人未按合同约定派员参加试验和检验的，除监理人另有指示外，承包人可自行试验和检验，并应立即将试验和检验结果报送监理人，监理人应签字确认。</w:t>
      </w:r>
    </w:p>
    <w:p w14:paraId="3083407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F040AD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797" w:name="_Toc9643"/>
      <w:bookmarkStart w:id="798" w:name="_Toc9789"/>
      <w:bookmarkStart w:id="799" w:name="_Toc4179"/>
      <w:bookmarkStart w:id="800" w:name="_Toc234833060"/>
      <w:r>
        <w:rPr>
          <w:rFonts w:hint="default" w:ascii="Times New Roman" w:hAnsi="Times New Roman" w:eastAsia="黑体" w:cs="Times New Roman"/>
          <w:b w:val="0"/>
          <w:color w:val="auto"/>
          <w:sz w:val="24"/>
          <w:szCs w:val="24"/>
          <w:highlight w:val="none"/>
        </w:rPr>
        <w:t>14.2现场材料试验</w:t>
      </w:r>
      <w:bookmarkEnd w:id="797"/>
      <w:bookmarkEnd w:id="798"/>
      <w:bookmarkEnd w:id="799"/>
      <w:bookmarkEnd w:id="800"/>
    </w:p>
    <w:p w14:paraId="5457342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14.2.1承包人根据合同约定或监理人指示进行的现场材料试验，应由承包人提供试验场所、试验人员、试验设备器材以及其他必要的试验条件。</w:t>
      </w:r>
    </w:p>
    <w:p w14:paraId="074110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14.2.2监理人在必要时可以使用承包人的试验场所、试验设备器材以及其他试验条件，进行以工程质量检查为目的的复核性材料试验，承包人应予以协助。</w:t>
      </w:r>
    </w:p>
    <w:p w14:paraId="54F513D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01" w:name="_Toc234833061"/>
      <w:bookmarkStart w:id="802" w:name="_Toc19643"/>
      <w:bookmarkStart w:id="803" w:name="_Toc31625"/>
      <w:bookmarkStart w:id="804" w:name="_Toc505"/>
      <w:r>
        <w:rPr>
          <w:rFonts w:hint="default" w:ascii="Times New Roman" w:hAnsi="Times New Roman" w:eastAsia="黑体" w:cs="Times New Roman"/>
          <w:b w:val="0"/>
          <w:color w:val="auto"/>
          <w:sz w:val="24"/>
          <w:szCs w:val="24"/>
          <w:highlight w:val="none"/>
        </w:rPr>
        <w:t>14.3现场工艺试验</w:t>
      </w:r>
      <w:bookmarkEnd w:id="801"/>
      <w:bookmarkEnd w:id="802"/>
      <w:bookmarkEnd w:id="803"/>
      <w:bookmarkEnd w:id="804"/>
    </w:p>
    <w:p w14:paraId="01C6BD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0D0FB83F">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05" w:name="_Toc17742"/>
      <w:bookmarkStart w:id="806" w:name="_Toc28048"/>
      <w:bookmarkStart w:id="807" w:name="_Toc234833062"/>
      <w:bookmarkStart w:id="808" w:name="_Toc1929"/>
      <w:r>
        <w:rPr>
          <w:rFonts w:hint="default" w:ascii="Times New Roman" w:hAnsi="Times New Roman" w:eastAsia="黑体" w:cs="Times New Roman"/>
          <w:b w:val="0"/>
          <w:color w:val="auto"/>
          <w:sz w:val="28"/>
          <w:szCs w:val="28"/>
          <w:highlight w:val="none"/>
        </w:rPr>
        <w:t>15.变更</w:t>
      </w:r>
      <w:bookmarkEnd w:id="805"/>
      <w:bookmarkEnd w:id="806"/>
      <w:bookmarkEnd w:id="807"/>
      <w:bookmarkEnd w:id="808"/>
    </w:p>
    <w:p w14:paraId="4EB9337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09" w:name="_Toc4605"/>
      <w:bookmarkStart w:id="810" w:name="_Toc234833063"/>
      <w:bookmarkStart w:id="811" w:name="_Toc30228"/>
      <w:bookmarkStart w:id="812" w:name="_Toc20123"/>
      <w:r>
        <w:rPr>
          <w:rFonts w:hint="default" w:ascii="Times New Roman" w:hAnsi="Times New Roman" w:eastAsia="黑体" w:cs="Times New Roman"/>
          <w:b w:val="0"/>
          <w:color w:val="auto"/>
          <w:sz w:val="24"/>
          <w:szCs w:val="24"/>
          <w:highlight w:val="none"/>
        </w:rPr>
        <w:t>15.1变更的范围和内容</w:t>
      </w:r>
      <w:bookmarkEnd w:id="809"/>
      <w:bookmarkEnd w:id="810"/>
      <w:bookmarkEnd w:id="811"/>
      <w:bookmarkEnd w:id="812"/>
    </w:p>
    <w:p w14:paraId="72CBB6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除专用合同条款另有约定外，在履行合同中发生以下情形之一，应按照本条规定进行变更。</w:t>
      </w:r>
    </w:p>
    <w:p w14:paraId="41C0FD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（1）取消合同中任何一项工作，但被取消的工作不能转由发包人或其他人实施；</w:t>
      </w:r>
    </w:p>
    <w:p w14:paraId="6333C6A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（2）改变合同中任何一项工作的质量或其他特性；</w:t>
      </w:r>
    </w:p>
    <w:p w14:paraId="780E2F4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（3）改变合同工程的基线、标高、位置或尺寸；</w:t>
      </w:r>
    </w:p>
    <w:p w14:paraId="0C07179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（4）改变合同中任何一项工作的施工时间或改变已批准的施工工艺或顺序；</w:t>
      </w:r>
    </w:p>
    <w:p w14:paraId="590431A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（5）为完成工程需要追加的额外工作。</w:t>
      </w:r>
    </w:p>
    <w:p w14:paraId="65F27BA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13" w:name="_Toc10482"/>
      <w:bookmarkStart w:id="814" w:name="_Toc8053"/>
      <w:bookmarkStart w:id="815" w:name="_Toc234833064"/>
      <w:bookmarkStart w:id="816" w:name="_Toc24888"/>
      <w:r>
        <w:rPr>
          <w:rFonts w:hint="default" w:ascii="Times New Roman" w:hAnsi="Times New Roman" w:eastAsia="黑体" w:cs="Times New Roman"/>
          <w:b w:val="0"/>
          <w:color w:val="auto"/>
          <w:sz w:val="24"/>
          <w:szCs w:val="24"/>
          <w:highlight w:val="none"/>
        </w:rPr>
        <w:t>15.2变更权</w:t>
      </w:r>
      <w:bookmarkEnd w:id="813"/>
      <w:bookmarkEnd w:id="814"/>
      <w:bookmarkEnd w:id="815"/>
      <w:bookmarkEnd w:id="816"/>
    </w:p>
    <w:p w14:paraId="12E04B7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在履行合同过程中，经发包人同意，监理人可按第15.3款约定的变更程序向承包人作出变更指示，承包人应遵照执行。没有监理人的变更指示，承包人不得擅自变更。</w:t>
      </w:r>
    </w:p>
    <w:p w14:paraId="3ABA7E9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17" w:name="_Toc12919"/>
      <w:bookmarkStart w:id="818" w:name="_Toc29346"/>
      <w:bookmarkStart w:id="819" w:name="_Toc2613"/>
      <w:bookmarkStart w:id="820" w:name="_Toc234833065"/>
      <w:r>
        <w:rPr>
          <w:rFonts w:hint="default" w:ascii="Times New Roman" w:hAnsi="Times New Roman" w:eastAsia="黑体" w:cs="Times New Roman"/>
          <w:b w:val="0"/>
          <w:color w:val="auto"/>
          <w:sz w:val="24"/>
          <w:szCs w:val="24"/>
          <w:highlight w:val="none"/>
        </w:rPr>
        <w:t>15.3变更程序</w:t>
      </w:r>
      <w:bookmarkEnd w:id="817"/>
      <w:bookmarkEnd w:id="818"/>
      <w:bookmarkEnd w:id="819"/>
      <w:bookmarkEnd w:id="820"/>
    </w:p>
    <w:p w14:paraId="63AF3751">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15.3.1</w:t>
      </w:r>
      <w:r>
        <w:rPr>
          <w:rFonts w:hint="default" w:ascii="Times New Roman" w:hAnsi="Times New Roman" w:eastAsia="黑体" w:cs="Times New Roman"/>
          <w:color w:val="auto"/>
          <w:sz w:val="24"/>
          <w:highlight w:val="none"/>
        </w:rPr>
        <w:t>变更的提出</w:t>
      </w:r>
    </w:p>
    <w:p w14:paraId="74F720C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2DEEC37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（2）在合同履行过程中，发生第15.1款约定情形的，监理人应按照第15.3.3项约定向承包人发出变更指示。</w:t>
      </w:r>
    </w:p>
    <w:p w14:paraId="3656BAA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21959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0587EAE3">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15.3.2</w:t>
      </w:r>
      <w:r>
        <w:rPr>
          <w:rFonts w:hint="default" w:ascii="Times New Roman" w:hAnsi="Times New Roman" w:eastAsia="黑体" w:cs="Times New Roman"/>
          <w:color w:val="auto"/>
          <w:sz w:val="24"/>
          <w:highlight w:val="none"/>
        </w:rPr>
        <w:t>变更估价</w:t>
      </w:r>
    </w:p>
    <w:p w14:paraId="7AED45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5D3B3A2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（2）变更工作影响工期的，承包人应提出调整工期的具体细节。监理人认为有必要时，可要求承包人提交要求提前或延长工期的施工进度计划及相应施工措施等详细资料。</w:t>
      </w:r>
    </w:p>
    <w:p w14:paraId="1EBA5FB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（3）除专用合同条款对期限另有约定外，监理人收到承包人变更报价书后的14天内，根据第15.4款约定的估价原则，按照第3.5款商定或确定变更价格。</w:t>
      </w:r>
    </w:p>
    <w:p w14:paraId="2E47263A">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15.3.3</w:t>
      </w:r>
      <w:r>
        <w:rPr>
          <w:rFonts w:hint="default" w:ascii="Times New Roman" w:hAnsi="Times New Roman" w:eastAsia="黑体" w:cs="Times New Roman"/>
          <w:color w:val="auto"/>
          <w:sz w:val="24"/>
          <w:highlight w:val="none"/>
        </w:rPr>
        <w:t>变更指示</w:t>
      </w:r>
    </w:p>
    <w:p w14:paraId="201B11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（1）变更指示只能由监理人发出。</w:t>
      </w:r>
    </w:p>
    <w:p w14:paraId="2D695F6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（2）变更指示应说明变更的目的、范围、变更内容以及变更的工程量及其进度和技术要求，并附有关图纸和文件。承包人收到变更指示后，应按变更指示进行变更工作。</w:t>
      </w:r>
    </w:p>
    <w:p w14:paraId="4F5CD9DD">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821" w:name="_Toc734"/>
      <w:bookmarkStart w:id="822" w:name="_Toc234833066"/>
      <w:bookmarkStart w:id="823" w:name="_Toc21464"/>
      <w:bookmarkStart w:id="824" w:name="_Toc25571"/>
      <w:r>
        <w:rPr>
          <w:rFonts w:hint="default" w:ascii="Times New Roman" w:hAnsi="Times New Roman" w:eastAsia="黑体" w:cs="Times New Roman"/>
          <w:b w:val="0"/>
          <w:color w:val="auto"/>
          <w:sz w:val="24"/>
          <w:szCs w:val="24"/>
          <w:highlight w:val="none"/>
        </w:rPr>
        <w:t>15.4变更的估价原则</w:t>
      </w:r>
      <w:bookmarkEnd w:id="821"/>
      <w:bookmarkEnd w:id="822"/>
      <w:bookmarkEnd w:id="823"/>
      <w:bookmarkEnd w:id="824"/>
    </w:p>
    <w:p w14:paraId="5B96D3AA">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除专用合同条款另有约定外，因变更引起的价格调整按照本款约定处理。</w:t>
      </w:r>
    </w:p>
    <w:p w14:paraId="75D073E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15.4.1已标价工程量清单中有适用于变更工作的子目的，采用该子目的单价。</w:t>
      </w:r>
    </w:p>
    <w:p w14:paraId="7CE416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15.4.2已标价工程量清单中无适用于变更工作的子目，但有类似子目的，可在合理范围内参照类似子目的单价，由监理人按第3.5款商定或确定变更工作的单价。</w:t>
      </w:r>
    </w:p>
    <w:p w14:paraId="72FBB14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15.4.3已标价工程量清单中无适用或类似子目的单价，可按照成本加利润的原则，由监理人按第3.5款商定或确定变更工作的单价。</w:t>
      </w:r>
    </w:p>
    <w:p w14:paraId="71DD059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25" w:name="_Toc5615"/>
      <w:bookmarkStart w:id="826" w:name="_Toc25619"/>
      <w:bookmarkStart w:id="827" w:name="_Toc234833067"/>
      <w:bookmarkStart w:id="828" w:name="_Toc20188"/>
      <w:r>
        <w:rPr>
          <w:rFonts w:hint="default" w:ascii="Times New Roman" w:hAnsi="Times New Roman" w:eastAsia="黑体" w:cs="Times New Roman"/>
          <w:b w:val="0"/>
          <w:color w:val="auto"/>
          <w:sz w:val="24"/>
          <w:szCs w:val="24"/>
          <w:highlight w:val="none"/>
        </w:rPr>
        <w:t>15.5承包人的合理化建议</w:t>
      </w:r>
      <w:bookmarkEnd w:id="825"/>
      <w:bookmarkEnd w:id="826"/>
      <w:bookmarkEnd w:id="827"/>
      <w:bookmarkEnd w:id="828"/>
    </w:p>
    <w:p w14:paraId="7CA9AC0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15.5.1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C15649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15.5.2承包人提出的合理化建议降低了合同价格、缩短了工期或者提高了工程经济效益的，发包人可按国家有关规定在专用合同条款中约定给予奖励。</w:t>
      </w:r>
    </w:p>
    <w:p w14:paraId="7FE7C82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29" w:name="_Toc15655"/>
      <w:bookmarkStart w:id="830" w:name="_Toc32232"/>
      <w:bookmarkStart w:id="831" w:name="_Toc234833068"/>
      <w:bookmarkStart w:id="832" w:name="_Toc1051"/>
      <w:r>
        <w:rPr>
          <w:rFonts w:hint="default" w:ascii="Times New Roman" w:hAnsi="Times New Roman" w:eastAsia="黑体" w:cs="Times New Roman"/>
          <w:b w:val="0"/>
          <w:color w:val="auto"/>
          <w:sz w:val="24"/>
          <w:szCs w:val="24"/>
          <w:highlight w:val="none"/>
        </w:rPr>
        <w:t>15.6暂列金额</w:t>
      </w:r>
      <w:bookmarkEnd w:id="829"/>
      <w:bookmarkEnd w:id="830"/>
      <w:bookmarkEnd w:id="831"/>
      <w:bookmarkEnd w:id="832"/>
    </w:p>
    <w:p w14:paraId="47AE6EFD">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暂列金额只能按照监理人的指示使用，并对合同价格进行相应调整。</w:t>
      </w:r>
    </w:p>
    <w:p w14:paraId="1CED6E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33" w:name="_Toc4406"/>
      <w:bookmarkStart w:id="834" w:name="_Toc10060"/>
      <w:bookmarkStart w:id="835" w:name="_Toc234833069"/>
      <w:bookmarkStart w:id="836" w:name="_Toc25732"/>
      <w:r>
        <w:rPr>
          <w:rFonts w:hint="default" w:ascii="Times New Roman" w:hAnsi="Times New Roman" w:eastAsia="黑体" w:cs="Times New Roman"/>
          <w:b w:val="0"/>
          <w:color w:val="auto"/>
          <w:sz w:val="24"/>
          <w:szCs w:val="24"/>
          <w:highlight w:val="none"/>
        </w:rPr>
        <w:t>15.7计日工</w:t>
      </w:r>
      <w:bookmarkEnd w:id="833"/>
      <w:bookmarkEnd w:id="834"/>
      <w:bookmarkEnd w:id="835"/>
      <w:bookmarkEnd w:id="836"/>
    </w:p>
    <w:p w14:paraId="57E98D7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15.7.1发包人认为有必要时，由监理人通知承包人以计日工方式实施变更的零星工作。其价款按列入已标价工程量清单中的计日工计价子目及其单价进行计算。</w:t>
      </w:r>
    </w:p>
    <w:p w14:paraId="68B56A1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15.7.2采用计日工计价的任何一项变更工作，应从暂列金额中支付，承包人应在该项变更的实施过程中，每天提交以下报表和有关凭证报送监理人审批：</w:t>
      </w:r>
    </w:p>
    <w:p w14:paraId="5BE73C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（1）工作名称、内容和数量；</w:t>
      </w:r>
    </w:p>
    <w:p w14:paraId="6DEC98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（2）投入该工作所有人员的姓名、工种、级别和耗用工时；</w:t>
      </w:r>
    </w:p>
    <w:p w14:paraId="318F9FA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（3）投入该工作的材料类别和数量；</w:t>
      </w:r>
    </w:p>
    <w:p w14:paraId="55D58AB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（4）投入该工作的施工设备型号、台数和耗用台时；</w:t>
      </w:r>
    </w:p>
    <w:p w14:paraId="117DC9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（5）监理人要求提交的其他资料和凭证。</w:t>
      </w:r>
    </w:p>
    <w:p w14:paraId="4CFD27A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15.7.3计日工由承包人汇总后，按第17.3.2项的约定列入进度付款申请单，由监理人复核并经发包人同意后列入进度付款。</w:t>
      </w:r>
    </w:p>
    <w:p w14:paraId="3301512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37" w:name="_Toc13261"/>
      <w:bookmarkStart w:id="838" w:name="_Toc17561"/>
      <w:bookmarkStart w:id="839" w:name="_Toc7315"/>
      <w:bookmarkStart w:id="840" w:name="_Toc234833070"/>
      <w:r>
        <w:rPr>
          <w:rFonts w:hint="default" w:ascii="Times New Roman" w:hAnsi="Times New Roman" w:eastAsia="黑体" w:cs="Times New Roman"/>
          <w:b w:val="0"/>
          <w:color w:val="auto"/>
          <w:sz w:val="24"/>
          <w:szCs w:val="24"/>
          <w:highlight w:val="none"/>
        </w:rPr>
        <w:t>15.8暂估价</w:t>
      </w:r>
      <w:bookmarkEnd w:id="837"/>
      <w:bookmarkEnd w:id="838"/>
      <w:bookmarkEnd w:id="839"/>
      <w:bookmarkEnd w:id="840"/>
    </w:p>
    <w:p w14:paraId="45607CE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15.8.1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7A1D3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F46813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84FA4E4">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41" w:name="_Toc22564"/>
      <w:bookmarkStart w:id="842" w:name="_Toc10500"/>
      <w:bookmarkStart w:id="843" w:name="_Toc15345"/>
      <w:bookmarkStart w:id="844" w:name="_Toc234833071"/>
      <w:r>
        <w:rPr>
          <w:rFonts w:hint="default" w:ascii="Times New Roman" w:hAnsi="Times New Roman" w:eastAsia="黑体" w:cs="Times New Roman"/>
          <w:b w:val="0"/>
          <w:color w:val="auto"/>
          <w:sz w:val="28"/>
          <w:szCs w:val="28"/>
          <w:highlight w:val="none"/>
        </w:rPr>
        <w:t>16.价格调整</w:t>
      </w:r>
      <w:bookmarkEnd w:id="841"/>
      <w:bookmarkEnd w:id="842"/>
      <w:bookmarkEnd w:id="843"/>
      <w:bookmarkEnd w:id="844"/>
    </w:p>
    <w:p w14:paraId="396ECE3F">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lang w:val="en-US" w:eastAsia="zh-CN"/>
        </w:rPr>
        <w:t>合同期内不调价，因物价波动引起的价格调整本合同不予考虑。</w:t>
      </w:r>
    </w:p>
    <w:p w14:paraId="5543A74E">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45" w:name="_Toc234833074"/>
      <w:bookmarkStart w:id="846" w:name="_Toc32220"/>
      <w:bookmarkStart w:id="847" w:name="_Toc6207"/>
      <w:bookmarkStart w:id="848" w:name="_Toc2237"/>
      <w:r>
        <w:rPr>
          <w:rFonts w:hint="default" w:ascii="Times New Roman" w:hAnsi="Times New Roman" w:eastAsia="黑体" w:cs="Times New Roman"/>
          <w:b w:val="0"/>
          <w:color w:val="auto"/>
          <w:sz w:val="28"/>
          <w:szCs w:val="28"/>
          <w:highlight w:val="none"/>
        </w:rPr>
        <w:t>17.计量与支付</w:t>
      </w:r>
      <w:bookmarkEnd w:id="845"/>
      <w:bookmarkEnd w:id="846"/>
      <w:bookmarkEnd w:id="847"/>
      <w:bookmarkEnd w:id="848"/>
    </w:p>
    <w:p w14:paraId="0BC48782">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849" w:name="_Toc21036"/>
      <w:bookmarkStart w:id="850" w:name="_Toc234833075"/>
      <w:bookmarkStart w:id="851" w:name="_Toc12856"/>
      <w:bookmarkStart w:id="852" w:name="_Toc29292"/>
      <w:r>
        <w:rPr>
          <w:rFonts w:hint="default" w:ascii="Times New Roman" w:hAnsi="Times New Roman" w:eastAsia="黑体" w:cs="Times New Roman"/>
          <w:b w:val="0"/>
          <w:color w:val="auto"/>
          <w:sz w:val="24"/>
          <w:szCs w:val="24"/>
          <w:highlight w:val="none"/>
        </w:rPr>
        <w:t>17.1计量</w:t>
      </w:r>
      <w:bookmarkEnd w:id="849"/>
      <w:bookmarkEnd w:id="850"/>
      <w:bookmarkEnd w:id="851"/>
      <w:bookmarkEnd w:id="852"/>
    </w:p>
    <w:p w14:paraId="28ED7FC0">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17.1.1</w:t>
      </w:r>
      <w:r>
        <w:rPr>
          <w:rFonts w:hint="default" w:ascii="Times New Roman" w:hAnsi="Times New Roman" w:eastAsia="黑体" w:cs="Times New Roman"/>
          <w:color w:val="auto"/>
          <w:sz w:val="24"/>
          <w:highlight w:val="none"/>
        </w:rPr>
        <w:t>计量单位</w:t>
      </w:r>
    </w:p>
    <w:p w14:paraId="036D9B5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计量采用国家法定的计量单位。</w:t>
      </w:r>
    </w:p>
    <w:p w14:paraId="30472AFD">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17.1.2</w:t>
      </w:r>
      <w:r>
        <w:rPr>
          <w:rFonts w:hint="default" w:ascii="Times New Roman" w:hAnsi="Times New Roman" w:eastAsia="黑体" w:cs="Times New Roman"/>
          <w:color w:val="auto"/>
          <w:sz w:val="24"/>
          <w:highlight w:val="none"/>
        </w:rPr>
        <w:t>计量方法</w:t>
      </w:r>
    </w:p>
    <w:p w14:paraId="1ACAB7C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工程量清单中的工程量计算规则应按有关国家标准、行业标准的规定，并在合同中约定执行。</w:t>
      </w:r>
    </w:p>
    <w:p w14:paraId="6A290804">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17.1.3</w:t>
      </w:r>
      <w:r>
        <w:rPr>
          <w:rFonts w:hint="default" w:ascii="Times New Roman" w:hAnsi="Times New Roman" w:eastAsia="黑体" w:cs="Times New Roman"/>
          <w:color w:val="auto"/>
          <w:sz w:val="24"/>
          <w:highlight w:val="none"/>
        </w:rPr>
        <w:t>计量周期</w:t>
      </w:r>
    </w:p>
    <w:p w14:paraId="142C97B8">
      <w:pPr>
        <w:pageBreakBefore w:val="0"/>
        <w:kinsoku/>
        <w:wordWrap w:val="0"/>
        <w:bidi w:val="0"/>
        <w:spacing w:line="400" w:lineRule="atLeast"/>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除专用合同条款另有约定外，单价子目已完成工程量按月计量，总价子目的计量周期按批准的支付分解报告确定。</w:t>
      </w:r>
    </w:p>
    <w:p w14:paraId="612DD1EA">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17.1.4</w:t>
      </w:r>
      <w:r>
        <w:rPr>
          <w:rFonts w:hint="default" w:ascii="Times New Roman" w:hAnsi="Times New Roman" w:eastAsia="黑体" w:cs="Times New Roman"/>
          <w:color w:val="auto"/>
          <w:sz w:val="24"/>
          <w:highlight w:val="none"/>
        </w:rPr>
        <w:t>单价子目的计量</w:t>
      </w:r>
    </w:p>
    <w:p w14:paraId="2946069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（1）已标价工程量清单中的单价子目工程量为估算工程量。结算工程量是承包人实际完成的，并按合同约定的计量方法进行计量的工程量。</w:t>
      </w:r>
    </w:p>
    <w:p w14:paraId="458AF9F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（2）承包人对已完成的工程进行计量，向监理人提交进度付款申请单、已完成工程量报表和有关计量资料。</w:t>
      </w:r>
    </w:p>
    <w:p w14:paraId="3C2A4A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5794A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（4）监理人认为有必要时，可通知承包人共同进行联合测量、计量，承包人应遵照执行。</w:t>
      </w:r>
    </w:p>
    <w:p w14:paraId="512C0D7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7088D9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03907C61">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17.1.5</w:t>
      </w:r>
      <w:r>
        <w:rPr>
          <w:rFonts w:hint="default" w:ascii="Times New Roman" w:hAnsi="Times New Roman" w:eastAsia="黑体" w:cs="Times New Roman"/>
          <w:color w:val="auto"/>
          <w:sz w:val="24"/>
          <w:highlight w:val="none"/>
        </w:rPr>
        <w:t>总价子目的计量</w:t>
      </w:r>
    </w:p>
    <w:p w14:paraId="021A391C">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除专用合同条款另有约定外，总价子目的分解和计量按照下述约定进行。</w:t>
      </w:r>
    </w:p>
    <w:p w14:paraId="776D039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（1）总价子目的计量和支付应以总价为基础，不因第16.1款中的因素而进行调整。承包人实际完成的工程量，是进行工程目标管理和控制进度支付的依据。</w:t>
      </w:r>
    </w:p>
    <w:p w14:paraId="2937D51B">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66B069B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（3）监理人对承包人提交的上述资料进行复核，以确定分阶段实际完成的工程量和工程形象目标。对其有异议的，可要求承包人按第8.2款约定进行共同复核和抽样复测。</w:t>
      </w:r>
    </w:p>
    <w:p w14:paraId="20F2E71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（4）除按照第15条约定的变更外，总价子目的工程量是承包人用于结算的最终工程量。</w:t>
      </w:r>
    </w:p>
    <w:p w14:paraId="3A65B36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53" w:name="_Toc234833076"/>
      <w:bookmarkStart w:id="854" w:name="_Toc28845"/>
      <w:bookmarkStart w:id="855" w:name="_Toc28011"/>
      <w:bookmarkStart w:id="856" w:name="_Toc16552"/>
      <w:r>
        <w:rPr>
          <w:rFonts w:hint="default" w:ascii="Times New Roman" w:hAnsi="Times New Roman" w:eastAsia="黑体" w:cs="Times New Roman"/>
          <w:b w:val="0"/>
          <w:color w:val="auto"/>
          <w:sz w:val="24"/>
          <w:szCs w:val="24"/>
          <w:highlight w:val="none"/>
        </w:rPr>
        <w:t>17.2预付款</w:t>
      </w:r>
      <w:bookmarkEnd w:id="853"/>
      <w:bookmarkEnd w:id="854"/>
      <w:bookmarkEnd w:id="855"/>
      <w:bookmarkEnd w:id="856"/>
    </w:p>
    <w:p w14:paraId="7CC1BB2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17.2.1</w:t>
      </w:r>
      <w:r>
        <w:rPr>
          <w:rFonts w:hint="default" w:ascii="Times New Roman" w:hAnsi="Times New Roman" w:eastAsia="黑体" w:cs="Times New Roman"/>
          <w:color w:val="auto"/>
          <w:sz w:val="24"/>
          <w:highlight w:val="none"/>
        </w:rPr>
        <w:t>预付款</w:t>
      </w:r>
    </w:p>
    <w:p w14:paraId="25FA72C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50BF36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17.2.2</w:t>
      </w:r>
      <w:r>
        <w:rPr>
          <w:rFonts w:hint="default" w:ascii="Times New Roman" w:hAnsi="Times New Roman" w:eastAsia="黑体" w:cs="Times New Roman"/>
          <w:color w:val="auto"/>
          <w:sz w:val="24"/>
          <w:highlight w:val="none"/>
        </w:rPr>
        <w:t>预付款保函</w:t>
      </w:r>
    </w:p>
    <w:p w14:paraId="0A8ED59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51527674">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17.2.3</w:t>
      </w:r>
      <w:r>
        <w:rPr>
          <w:rFonts w:hint="default" w:ascii="Times New Roman" w:hAnsi="Times New Roman" w:eastAsia="黑体" w:cs="Times New Roman"/>
          <w:color w:val="auto"/>
          <w:sz w:val="24"/>
          <w:highlight w:val="none"/>
        </w:rPr>
        <w:t>预付款的扣回与还清</w:t>
      </w:r>
    </w:p>
    <w:p w14:paraId="6EC110C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5967F0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57" w:name="_Toc20532"/>
      <w:bookmarkStart w:id="858" w:name="_Toc7717"/>
      <w:bookmarkStart w:id="859" w:name="_Toc234833077"/>
      <w:bookmarkStart w:id="860" w:name="_Toc26397"/>
      <w:r>
        <w:rPr>
          <w:rFonts w:hint="default" w:ascii="Times New Roman" w:hAnsi="Times New Roman" w:eastAsia="黑体" w:cs="Times New Roman"/>
          <w:b w:val="0"/>
          <w:color w:val="auto"/>
          <w:sz w:val="24"/>
          <w:szCs w:val="24"/>
          <w:highlight w:val="none"/>
        </w:rPr>
        <w:t>17.3工程进度付款</w:t>
      </w:r>
      <w:bookmarkEnd w:id="857"/>
      <w:bookmarkEnd w:id="858"/>
      <w:bookmarkEnd w:id="859"/>
      <w:bookmarkEnd w:id="860"/>
    </w:p>
    <w:p w14:paraId="28B0B6C8">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17.3.1</w:t>
      </w:r>
      <w:r>
        <w:rPr>
          <w:rFonts w:hint="default" w:ascii="Times New Roman" w:hAnsi="Times New Roman" w:eastAsia="黑体" w:cs="Times New Roman"/>
          <w:color w:val="auto"/>
          <w:sz w:val="24"/>
          <w:highlight w:val="none"/>
        </w:rPr>
        <w:t>付款周期</w:t>
      </w:r>
    </w:p>
    <w:p w14:paraId="06070799">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付款周期同计量周期。</w:t>
      </w:r>
    </w:p>
    <w:p w14:paraId="5E091D94">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17.3.2</w:t>
      </w:r>
      <w:r>
        <w:rPr>
          <w:rFonts w:hint="default" w:ascii="Times New Roman" w:hAnsi="Times New Roman" w:eastAsia="黑体" w:cs="Times New Roman"/>
          <w:color w:val="auto"/>
          <w:sz w:val="24"/>
          <w:highlight w:val="none"/>
        </w:rPr>
        <w:t>进度付款申请单</w:t>
      </w:r>
    </w:p>
    <w:p w14:paraId="66F5E86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42B40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（1）截至本次付款周期末已实施工程的价款；</w:t>
      </w:r>
    </w:p>
    <w:p w14:paraId="78A0E3AD">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（2）根据第15条应增加和扣减的变更金额；</w:t>
      </w:r>
    </w:p>
    <w:p w14:paraId="08D648F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（3）根据第23条应增加和扣减的索赔金额；</w:t>
      </w:r>
    </w:p>
    <w:p w14:paraId="25E4C99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（4）根据第17.2款约定应支付的预付款和扣减的返还预付款；</w:t>
      </w:r>
    </w:p>
    <w:p w14:paraId="6622DAE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（5）根据第17.4.1项约定应扣减的质量保证金；</w:t>
      </w:r>
    </w:p>
    <w:p w14:paraId="25A0EC7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（6）根据合同应增加和扣减的其他金额。</w:t>
      </w:r>
    </w:p>
    <w:p w14:paraId="35BF3782">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17.3.3</w:t>
      </w:r>
      <w:r>
        <w:rPr>
          <w:rFonts w:hint="default" w:ascii="Times New Roman" w:hAnsi="Times New Roman" w:eastAsia="黑体" w:cs="Times New Roman"/>
          <w:color w:val="auto"/>
          <w:sz w:val="24"/>
          <w:highlight w:val="none"/>
        </w:rPr>
        <w:t>进度付款证书和支付时间</w:t>
      </w:r>
    </w:p>
    <w:p w14:paraId="7079192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BBF13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（2）发包人应在监理人收到进度付款申请单后的28天内，将进度应付款支付给承包人。发包人不按期支付的，按专用合同条款的约定支付逾期付款违约金。</w:t>
      </w:r>
    </w:p>
    <w:p w14:paraId="0BEEB9A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（3）监理人出具进度付款证书，不应视为监理人已同意、批准或接受了承包人完成的该部分工作。</w:t>
      </w:r>
    </w:p>
    <w:p w14:paraId="6FCFE99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（4）进度付款涉及政府投资资金的，按照国库集中支付等国家相关规定和专用合同条款的约定办理。</w:t>
      </w:r>
    </w:p>
    <w:p w14:paraId="741FFE1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17.3.4</w:t>
      </w:r>
      <w:r>
        <w:rPr>
          <w:rFonts w:hint="default" w:ascii="Times New Roman" w:hAnsi="Times New Roman" w:eastAsia="黑体" w:cs="Times New Roman"/>
          <w:color w:val="auto"/>
          <w:sz w:val="24"/>
          <w:highlight w:val="none"/>
        </w:rPr>
        <w:t>工程进度付款的修正</w:t>
      </w:r>
    </w:p>
    <w:p w14:paraId="481447A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FB6BAD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61" w:name="_Toc2545"/>
      <w:bookmarkStart w:id="862" w:name="_Toc234833078"/>
      <w:bookmarkStart w:id="863" w:name="_Toc30905"/>
      <w:bookmarkStart w:id="864" w:name="_Toc10469"/>
      <w:r>
        <w:rPr>
          <w:rFonts w:hint="default" w:ascii="Times New Roman" w:hAnsi="Times New Roman" w:eastAsia="黑体" w:cs="Times New Roman"/>
          <w:b w:val="0"/>
          <w:color w:val="auto"/>
          <w:sz w:val="24"/>
          <w:szCs w:val="24"/>
          <w:highlight w:val="none"/>
        </w:rPr>
        <w:t>17.4质量保证金</w:t>
      </w:r>
      <w:bookmarkEnd w:id="861"/>
      <w:bookmarkEnd w:id="862"/>
      <w:bookmarkEnd w:id="863"/>
      <w:bookmarkEnd w:id="864"/>
    </w:p>
    <w:p w14:paraId="6CCA1F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17.4.1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8955F8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17.4.2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178EFE4">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17.4.3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31345A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65" w:name="_Toc234833079"/>
      <w:bookmarkStart w:id="866" w:name="_Toc26619"/>
      <w:bookmarkStart w:id="867" w:name="_Toc23313"/>
      <w:bookmarkStart w:id="868" w:name="_Toc9754"/>
      <w:r>
        <w:rPr>
          <w:rFonts w:hint="default" w:ascii="Times New Roman" w:hAnsi="Times New Roman" w:eastAsia="黑体" w:cs="Times New Roman"/>
          <w:b w:val="0"/>
          <w:color w:val="auto"/>
          <w:sz w:val="24"/>
          <w:szCs w:val="24"/>
          <w:highlight w:val="none"/>
        </w:rPr>
        <w:t>17.5竣工结算</w:t>
      </w:r>
      <w:bookmarkEnd w:id="865"/>
      <w:bookmarkEnd w:id="866"/>
      <w:bookmarkEnd w:id="867"/>
      <w:bookmarkEnd w:id="868"/>
    </w:p>
    <w:p w14:paraId="31ECABC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17.5.1</w:t>
      </w:r>
      <w:r>
        <w:rPr>
          <w:rFonts w:hint="default" w:ascii="Times New Roman" w:hAnsi="Times New Roman" w:eastAsia="黑体" w:cs="Times New Roman"/>
          <w:color w:val="auto"/>
          <w:sz w:val="24"/>
          <w:highlight w:val="none"/>
        </w:rPr>
        <w:t>竣工付款申请单</w:t>
      </w:r>
    </w:p>
    <w:p w14:paraId="5D1F1A5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F6EA2E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（2）监理人对竣工付款申请单有异议的，有权要求承包人进行修正和提供补充资料。经监理人和承包人协商后，由承包人向监理人提交修正后的竣工付款申请单。</w:t>
      </w:r>
    </w:p>
    <w:p w14:paraId="55EAB5A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17.5.2</w:t>
      </w:r>
      <w:r>
        <w:rPr>
          <w:rFonts w:hint="default" w:ascii="Times New Roman" w:hAnsi="Times New Roman" w:eastAsia="黑体" w:cs="Times New Roman"/>
          <w:color w:val="auto"/>
          <w:sz w:val="24"/>
          <w:highlight w:val="none"/>
        </w:rPr>
        <w:t>竣工付款证书及支付时间</w:t>
      </w:r>
    </w:p>
    <w:p w14:paraId="4F9F6D74">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0D20CB2A">
      <w:pPr>
        <w:pageBreakBefore w:val="0"/>
        <w:kinsoku/>
        <w:wordWrap w:val="0"/>
        <w:bidi w:val="0"/>
        <w:spacing w:line="400" w:lineRule="atLeast"/>
        <w:ind w:firstLine="6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（2）发包人应在监理人出具竣工付款证书后的14天内，将应支付款支付给承包人。发包人不按期支付的，按第17.3.3（2）目的约定，将逾期付款违约金支付给承包人。</w:t>
      </w:r>
    </w:p>
    <w:p w14:paraId="5E38CC33">
      <w:pPr>
        <w:pageBreakBefore w:val="0"/>
        <w:kinsoku/>
        <w:wordWrap w:val="0"/>
        <w:bidi w:val="0"/>
        <w:spacing w:line="400" w:lineRule="atLeast"/>
        <w:ind w:firstLine="6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（3）承包人对发包人签认的竣工付款证书有异议的，发包人可出具竣工付款申请单中承包人已同意部分的临时付款证书。存在争议的部分，按第24条的约定办理。</w:t>
      </w:r>
    </w:p>
    <w:p w14:paraId="4A661219">
      <w:pPr>
        <w:pageBreakBefore w:val="0"/>
        <w:kinsoku/>
        <w:wordWrap w:val="0"/>
        <w:bidi w:val="0"/>
        <w:spacing w:line="400" w:lineRule="atLeast"/>
        <w:ind w:firstLine="6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（4）竣工付款涉及政府投资资金的，按第17.3.3（4）目的约定办理。</w:t>
      </w:r>
    </w:p>
    <w:p w14:paraId="67002C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69" w:name="_Toc1613"/>
      <w:bookmarkStart w:id="870" w:name="_Toc4427"/>
      <w:bookmarkStart w:id="871" w:name="_Toc3447"/>
      <w:bookmarkStart w:id="872" w:name="_Toc234833080"/>
      <w:r>
        <w:rPr>
          <w:rFonts w:hint="default" w:ascii="Times New Roman" w:hAnsi="Times New Roman" w:eastAsia="黑体" w:cs="Times New Roman"/>
          <w:b w:val="0"/>
          <w:color w:val="auto"/>
          <w:sz w:val="24"/>
          <w:szCs w:val="24"/>
          <w:highlight w:val="none"/>
        </w:rPr>
        <w:t>17.6最终结清</w:t>
      </w:r>
      <w:bookmarkEnd w:id="869"/>
      <w:bookmarkEnd w:id="870"/>
      <w:bookmarkEnd w:id="871"/>
      <w:bookmarkEnd w:id="872"/>
    </w:p>
    <w:p w14:paraId="4EE9008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17.6.1</w:t>
      </w:r>
      <w:r>
        <w:rPr>
          <w:rFonts w:hint="default" w:ascii="Times New Roman" w:hAnsi="Times New Roman" w:eastAsia="黑体" w:cs="Times New Roman"/>
          <w:color w:val="auto"/>
          <w:sz w:val="24"/>
          <w:highlight w:val="none"/>
        </w:rPr>
        <w:t>最终结清申请单</w:t>
      </w:r>
    </w:p>
    <w:p w14:paraId="36BE307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（1）缺陷责任期终止证书签发后，承包人可按专用合同条款约定的份数和期限向监理人提交最终结清申请单，并提供相关证明材料。</w:t>
      </w:r>
    </w:p>
    <w:p w14:paraId="612536B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（2）发包人对最终结清申请单内容有异议的，有权要求承包人进行修正和提供补充资料，由承包人向监理人提交修正后的最终结清申请单。</w:t>
      </w:r>
    </w:p>
    <w:p w14:paraId="11C6E37A">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17.6.2</w:t>
      </w:r>
      <w:r>
        <w:rPr>
          <w:rFonts w:hint="default" w:ascii="Times New Roman" w:hAnsi="Times New Roman" w:eastAsia="黑体" w:cs="Times New Roman"/>
          <w:color w:val="auto"/>
          <w:sz w:val="24"/>
          <w:highlight w:val="none"/>
        </w:rPr>
        <w:t>最终结清证书和支付时间</w:t>
      </w:r>
    </w:p>
    <w:p w14:paraId="086E4AD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13EAE51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（2）发包人应在监理人出具最终结清证书后的14天内，将应支付款支付给承包人。发包人不按期支付的，按第17.3.3（2）目的约定，将逾期付款违约金支付给承包人。</w:t>
      </w:r>
    </w:p>
    <w:p w14:paraId="04FBDE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（3）承包人对发包人签认的最终结清证书有异议的，按第24条的约定办理。</w:t>
      </w:r>
    </w:p>
    <w:p w14:paraId="2A096F7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（4）最终结清付款涉及政府投资资金的，按第17.3.3（4）目的约定办理。</w:t>
      </w:r>
    </w:p>
    <w:p w14:paraId="340F40B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873" w:name="_Toc13751"/>
      <w:bookmarkStart w:id="874" w:name="_Toc234833081"/>
      <w:bookmarkStart w:id="875" w:name="_Toc31279"/>
      <w:bookmarkStart w:id="876" w:name="_Toc1653"/>
      <w:r>
        <w:rPr>
          <w:rFonts w:hint="default" w:ascii="Times New Roman" w:hAnsi="Times New Roman" w:eastAsia="黑体" w:cs="Times New Roman"/>
          <w:b w:val="0"/>
          <w:color w:val="auto"/>
          <w:sz w:val="28"/>
          <w:szCs w:val="28"/>
          <w:highlight w:val="none"/>
        </w:rPr>
        <w:t>18.竣工验收</w:t>
      </w:r>
      <w:bookmarkEnd w:id="873"/>
      <w:bookmarkEnd w:id="874"/>
      <w:bookmarkEnd w:id="875"/>
      <w:bookmarkEnd w:id="876"/>
    </w:p>
    <w:p w14:paraId="639FDFB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77" w:name="_Toc11052"/>
      <w:bookmarkStart w:id="878" w:name="_Toc10071"/>
      <w:bookmarkStart w:id="879" w:name="_Toc14256"/>
      <w:bookmarkStart w:id="880" w:name="_Toc234833082"/>
      <w:r>
        <w:rPr>
          <w:rFonts w:hint="default" w:ascii="Times New Roman" w:hAnsi="Times New Roman" w:eastAsia="黑体" w:cs="Times New Roman"/>
          <w:b w:val="0"/>
          <w:color w:val="auto"/>
          <w:sz w:val="24"/>
          <w:szCs w:val="24"/>
          <w:highlight w:val="none"/>
        </w:rPr>
        <w:t>18.1竣工验收的含义</w:t>
      </w:r>
      <w:bookmarkEnd w:id="877"/>
      <w:bookmarkEnd w:id="878"/>
      <w:bookmarkEnd w:id="879"/>
      <w:bookmarkEnd w:id="880"/>
    </w:p>
    <w:p w14:paraId="61077F6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18.1.1竣工验收指承包人完成了全部合同工作后，发包人按合同要求进行的验收。</w:t>
      </w:r>
    </w:p>
    <w:p w14:paraId="7EFD7B5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18.1.2国家验收是政府有关部门根据法律、规范、规程和政策要求，针对发包人全面组织实施的整个工程正式交付投运前的验收。</w:t>
      </w:r>
    </w:p>
    <w:p w14:paraId="471C8EF9">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18.1.3需要进行国家验收的，竣工验收是国家验收的一部分。竣工验收所采用的各项验收和评定标准应符合国家验收标准。发包人和承包人为竣工验收提供的各项竣工验收资料应符合国家验收的要求。</w:t>
      </w:r>
    </w:p>
    <w:p w14:paraId="3EA8B6E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81" w:name="_Toc11221"/>
      <w:bookmarkStart w:id="882" w:name="_Toc9365"/>
      <w:bookmarkStart w:id="883" w:name="_Toc234833083"/>
      <w:bookmarkStart w:id="884" w:name="_Toc25249"/>
      <w:r>
        <w:rPr>
          <w:rFonts w:hint="default" w:ascii="Times New Roman" w:hAnsi="Times New Roman" w:eastAsia="黑体" w:cs="Times New Roman"/>
          <w:b w:val="0"/>
          <w:color w:val="auto"/>
          <w:sz w:val="24"/>
          <w:szCs w:val="24"/>
          <w:highlight w:val="none"/>
        </w:rPr>
        <w:t>18.2竣工验收申请报告</w:t>
      </w:r>
      <w:bookmarkEnd w:id="881"/>
      <w:bookmarkEnd w:id="882"/>
      <w:bookmarkEnd w:id="883"/>
      <w:bookmarkEnd w:id="884"/>
    </w:p>
    <w:p w14:paraId="1EBF23F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当工程具备以下条件时，承包人即可向监理人报送竣工验收申请报告：</w:t>
      </w:r>
    </w:p>
    <w:p w14:paraId="3D61D4F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2EADE62B">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（2）已按合同约定的内容和份数备齐了符合要求的竣工资料；</w:t>
      </w:r>
    </w:p>
    <w:p w14:paraId="0498FA5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（3）已按监理人的要求编制了在缺陷责任期内完成的尾工（甩项）工程和缺陷修补工作清单以及相应施工计划；</w:t>
      </w:r>
    </w:p>
    <w:p w14:paraId="4C187E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（4）监理人要求在竣工验收前应完成的其他工作；</w:t>
      </w:r>
    </w:p>
    <w:p w14:paraId="3781E67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（5）监理人要求提交的竣工验收资料清单。</w:t>
      </w:r>
    </w:p>
    <w:p w14:paraId="5ADE14F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85" w:name="_Toc25904"/>
      <w:bookmarkStart w:id="886" w:name="_Toc11295"/>
      <w:bookmarkStart w:id="887" w:name="_Toc234833084"/>
      <w:bookmarkStart w:id="888" w:name="_Toc18269"/>
      <w:r>
        <w:rPr>
          <w:rFonts w:hint="default" w:ascii="Times New Roman" w:hAnsi="Times New Roman" w:eastAsia="黑体" w:cs="Times New Roman"/>
          <w:b w:val="0"/>
          <w:color w:val="auto"/>
          <w:sz w:val="24"/>
          <w:szCs w:val="24"/>
          <w:highlight w:val="none"/>
        </w:rPr>
        <w:t>18.3验收</w:t>
      </w:r>
      <w:bookmarkEnd w:id="885"/>
      <w:bookmarkEnd w:id="886"/>
      <w:bookmarkEnd w:id="887"/>
      <w:bookmarkEnd w:id="888"/>
    </w:p>
    <w:p w14:paraId="46B2E25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监理人收到承包人按第18.2款约定提交的竣工验收申请报告后，应审查申请报告的各项内容，并按以下不同情况进行处理。</w:t>
      </w:r>
    </w:p>
    <w:p w14:paraId="24D04DD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18.3.1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8089AB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18.3.2监理人审查后认为已具备竣工验收条件的，应在收到竣工验收申请报告后的28天内提请发包人进行工程验收。</w:t>
      </w:r>
    </w:p>
    <w:p w14:paraId="573CDC6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1D89D0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18.3.4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801F57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18.3.5除专用合同条款另有约定外，经验收合格工程的实际竣工日期，以提交竣工验收申请报告的日期为准，并在工程接收证书中写明。</w:t>
      </w:r>
    </w:p>
    <w:p w14:paraId="4BF4C9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18.3.6发包人在收到承包人竣工验收申请报告56天后未进行验收的，视为验收合格，实际竣工日期以提交竣工验收申请报告的日期为准，但发包人由于不可抗力不能进行验收的除外。</w:t>
      </w:r>
    </w:p>
    <w:p w14:paraId="63F21DF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89" w:name="_Toc7791"/>
      <w:bookmarkStart w:id="890" w:name="_Toc11852"/>
      <w:bookmarkStart w:id="891" w:name="_Toc21157"/>
      <w:bookmarkStart w:id="892" w:name="_Toc234833085"/>
      <w:r>
        <w:rPr>
          <w:rFonts w:hint="default" w:ascii="Times New Roman" w:hAnsi="Times New Roman" w:eastAsia="黑体" w:cs="Times New Roman"/>
          <w:b w:val="0"/>
          <w:color w:val="auto"/>
          <w:sz w:val="24"/>
          <w:szCs w:val="24"/>
          <w:highlight w:val="none"/>
        </w:rPr>
        <w:t>18.4单位工程验收</w:t>
      </w:r>
      <w:bookmarkEnd w:id="889"/>
      <w:bookmarkEnd w:id="890"/>
      <w:bookmarkEnd w:id="891"/>
      <w:bookmarkEnd w:id="892"/>
    </w:p>
    <w:p w14:paraId="5FADC80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18.4.1</w:t>
      </w:r>
      <w:r>
        <w:rPr>
          <w:rFonts w:hint="default" w:ascii="Times New Roman" w:hAnsi="Times New Roman" w:cs="Times New Roman"/>
          <w:color w:val="auto"/>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7CC7E6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18.4.2发包人在全部工程竣工前，使用已接收的单位工程导致承包人费用增加的，发包人应承担由此增加的费用和（或）工期延误，并支付承包人合理利润。</w:t>
      </w:r>
    </w:p>
    <w:p w14:paraId="557EEE2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93" w:name="_Toc15835"/>
      <w:bookmarkStart w:id="894" w:name="_Toc28737"/>
      <w:bookmarkStart w:id="895" w:name="_Toc234833086"/>
      <w:bookmarkStart w:id="896" w:name="_Toc28198"/>
      <w:r>
        <w:rPr>
          <w:rFonts w:hint="default" w:ascii="Times New Roman" w:hAnsi="Times New Roman" w:eastAsia="黑体" w:cs="Times New Roman"/>
          <w:b w:val="0"/>
          <w:color w:val="auto"/>
          <w:sz w:val="24"/>
          <w:szCs w:val="24"/>
          <w:highlight w:val="none"/>
        </w:rPr>
        <w:t>18.5施工期运行</w:t>
      </w:r>
      <w:bookmarkEnd w:id="893"/>
      <w:bookmarkEnd w:id="894"/>
      <w:bookmarkEnd w:id="895"/>
      <w:bookmarkEnd w:id="896"/>
    </w:p>
    <w:p w14:paraId="319D309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18.5.1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78A0C3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18.5.2在施工期运行中发现工程或工程设备损坏或存在缺陷的，由承包人按第19.2款约定进行修复。</w:t>
      </w:r>
    </w:p>
    <w:p w14:paraId="3BEC3B7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897" w:name="_Toc27512"/>
      <w:bookmarkStart w:id="898" w:name="_Toc19050"/>
      <w:bookmarkStart w:id="899" w:name="_Toc21844"/>
      <w:bookmarkStart w:id="900" w:name="_Toc234833087"/>
      <w:r>
        <w:rPr>
          <w:rFonts w:hint="default" w:ascii="Times New Roman" w:hAnsi="Times New Roman" w:eastAsia="黑体" w:cs="Times New Roman"/>
          <w:b w:val="0"/>
          <w:color w:val="auto"/>
          <w:sz w:val="24"/>
          <w:szCs w:val="24"/>
          <w:highlight w:val="none"/>
        </w:rPr>
        <w:t>18.6试运行</w:t>
      </w:r>
      <w:bookmarkEnd w:id="897"/>
      <w:bookmarkEnd w:id="898"/>
      <w:bookmarkEnd w:id="899"/>
      <w:bookmarkEnd w:id="900"/>
    </w:p>
    <w:p w14:paraId="6A248B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18.6.1除专用合同条款另有约定外，承包人应按专用合同条款约定进行工程及工程设备试运行，负责提供试运行所需的人员、器材和必要的条件，并承担全部试运行费用。</w:t>
      </w:r>
    </w:p>
    <w:p w14:paraId="0F0084DB">
      <w:pPr>
        <w:pageBreakBefore w:val="0"/>
        <w:kinsoku/>
        <w:wordWrap w:val="0"/>
        <w:bidi w:val="0"/>
        <w:spacing w:line="400" w:lineRule="atLeast"/>
        <w:ind w:firstLine="480" w:firstLineChars="200"/>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11DF0F2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01" w:name="_Toc14071"/>
      <w:bookmarkStart w:id="902" w:name="_Toc13521"/>
      <w:bookmarkStart w:id="903" w:name="_Toc234833088"/>
      <w:bookmarkStart w:id="904" w:name="_Toc22550"/>
      <w:r>
        <w:rPr>
          <w:rFonts w:hint="default" w:ascii="Times New Roman" w:hAnsi="Times New Roman" w:eastAsia="黑体" w:cs="Times New Roman"/>
          <w:b w:val="0"/>
          <w:color w:val="auto"/>
          <w:sz w:val="24"/>
          <w:szCs w:val="24"/>
          <w:highlight w:val="none"/>
        </w:rPr>
        <w:t>18.7竣工清场</w:t>
      </w:r>
      <w:bookmarkEnd w:id="901"/>
      <w:bookmarkEnd w:id="902"/>
      <w:bookmarkEnd w:id="903"/>
      <w:bookmarkEnd w:id="904"/>
    </w:p>
    <w:p w14:paraId="623250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18.7.1除合同另有约定外，工程接收证书颁发后，承包人应按以下要求对施工场地进行清理，直至监理人检验合格为止。竣工清场费用由承包人承担。</w:t>
      </w:r>
    </w:p>
    <w:p w14:paraId="74ACF30C">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（1）施工场地内残留的垃圾已全部清除出场；</w:t>
      </w:r>
    </w:p>
    <w:p w14:paraId="2F3EDEA7">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（2）临时工程已拆除，场地已按合同要求进行清理、平整或复原；</w:t>
      </w:r>
    </w:p>
    <w:p w14:paraId="699CD41F">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（3）按合同约定应撤离的承包人设备和剩余的材料，包括废弃的施工设备和材料，已按计划撤离施工场地；</w:t>
      </w:r>
    </w:p>
    <w:p w14:paraId="1B2FC8B5">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（4）工程建筑物周边及其附近道路、河道的施工堆积物，已按监理人指示全部清理；</w:t>
      </w:r>
    </w:p>
    <w:p w14:paraId="3351419E">
      <w:pPr>
        <w:pageBreakBefore w:val="0"/>
        <w:kinsoku/>
        <w:wordWrap w:val="0"/>
        <w:bidi w:val="0"/>
        <w:spacing w:line="400" w:lineRule="atLeast"/>
        <w:ind w:firstLine="650" w:firstLineChars="271"/>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（5）监理人指示的其他场地清理工作已全部完成。</w:t>
      </w:r>
    </w:p>
    <w:p w14:paraId="3AEEACE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18.7.2承包人未按监理人的要求恢复临时占地，或者场地清理未达到合同约定的，发包人有权委托其他人恢复或清理，所发生的金额从拟支付给承包人的款项中扣除。</w:t>
      </w:r>
    </w:p>
    <w:p w14:paraId="5FE22C9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05" w:name="_Toc23526"/>
      <w:bookmarkStart w:id="906" w:name="_Toc14033"/>
      <w:bookmarkStart w:id="907" w:name="_Toc234833089"/>
      <w:bookmarkStart w:id="908" w:name="_Toc5042"/>
      <w:r>
        <w:rPr>
          <w:rFonts w:hint="default" w:ascii="Times New Roman" w:hAnsi="Times New Roman" w:eastAsia="黑体" w:cs="Times New Roman"/>
          <w:b w:val="0"/>
          <w:color w:val="auto"/>
          <w:sz w:val="24"/>
          <w:szCs w:val="24"/>
          <w:highlight w:val="none"/>
        </w:rPr>
        <w:t>18.8施工队伍的撤离</w:t>
      </w:r>
      <w:bookmarkEnd w:id="905"/>
      <w:bookmarkEnd w:id="906"/>
      <w:bookmarkEnd w:id="907"/>
      <w:bookmarkEnd w:id="908"/>
    </w:p>
    <w:p w14:paraId="3227E8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531121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09" w:name="_Toc234833090"/>
      <w:bookmarkStart w:id="910" w:name="_Toc11982"/>
      <w:bookmarkStart w:id="911" w:name="_Toc2434"/>
      <w:bookmarkStart w:id="912" w:name="_Toc2492"/>
      <w:r>
        <w:rPr>
          <w:rFonts w:hint="default" w:ascii="Times New Roman" w:hAnsi="Times New Roman" w:eastAsia="黑体" w:cs="Times New Roman"/>
          <w:b w:val="0"/>
          <w:color w:val="auto"/>
          <w:sz w:val="28"/>
          <w:szCs w:val="28"/>
          <w:highlight w:val="none"/>
        </w:rPr>
        <w:t>19.缺陷责任与保修责任</w:t>
      </w:r>
      <w:bookmarkEnd w:id="909"/>
      <w:bookmarkEnd w:id="910"/>
      <w:bookmarkEnd w:id="911"/>
      <w:bookmarkEnd w:id="912"/>
    </w:p>
    <w:p w14:paraId="54FE2C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13" w:name="_Toc234833091"/>
      <w:bookmarkStart w:id="914" w:name="_Toc21347"/>
      <w:bookmarkStart w:id="915" w:name="_Toc26824"/>
      <w:bookmarkStart w:id="916" w:name="_Toc28348"/>
      <w:r>
        <w:rPr>
          <w:rFonts w:hint="default" w:ascii="Times New Roman" w:hAnsi="Times New Roman" w:eastAsia="黑体" w:cs="Times New Roman"/>
          <w:b w:val="0"/>
          <w:color w:val="auto"/>
          <w:sz w:val="24"/>
          <w:szCs w:val="24"/>
          <w:highlight w:val="none"/>
        </w:rPr>
        <w:t>19.1缺陷责任期的起算时间</w:t>
      </w:r>
      <w:bookmarkEnd w:id="913"/>
      <w:bookmarkEnd w:id="914"/>
      <w:bookmarkEnd w:id="915"/>
      <w:bookmarkEnd w:id="916"/>
    </w:p>
    <w:p w14:paraId="1ED3CD6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缺陷责任期自实际竣工日期起计算。在全部工程竣工验收前，已经发包人提前验收的单位工程，其缺陷责任期的起算日期相应提前。</w:t>
      </w:r>
    </w:p>
    <w:p w14:paraId="4B8765E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17" w:name="_Toc23702"/>
      <w:bookmarkStart w:id="918" w:name="_Toc18931"/>
      <w:bookmarkStart w:id="919" w:name="_Toc17874"/>
      <w:bookmarkStart w:id="920" w:name="_Toc234833092"/>
      <w:r>
        <w:rPr>
          <w:rFonts w:hint="default" w:ascii="Times New Roman" w:hAnsi="Times New Roman" w:eastAsia="黑体" w:cs="Times New Roman"/>
          <w:b w:val="0"/>
          <w:color w:val="auto"/>
          <w:sz w:val="24"/>
          <w:szCs w:val="24"/>
          <w:highlight w:val="none"/>
        </w:rPr>
        <w:t>19.2缺陷责任</w:t>
      </w:r>
      <w:bookmarkEnd w:id="917"/>
      <w:bookmarkEnd w:id="918"/>
      <w:bookmarkEnd w:id="919"/>
      <w:bookmarkEnd w:id="920"/>
    </w:p>
    <w:p w14:paraId="1148CCB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19.2.1承包人应在缺陷责任期内对已交付使用的工程承担缺陷责任。</w:t>
      </w:r>
    </w:p>
    <w:p w14:paraId="37EB852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19.2.2缺陷责任期内，发包人对已接收使用的工程负责日常维护工作。发包人在使用过程中，发现已接收的工程存在新的缺陷或已修复的缺陷部位或部件又遭损坏的，承包人应负责修复，直至检验合格为止。</w:t>
      </w:r>
    </w:p>
    <w:p w14:paraId="3FF8DCB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19.2.3监理人和承包人应共同查清缺陷和（或）损坏的原因。经查明属承包人原因造成的，应由承包人承担修复和查验的费用。经查验属发包人原因造成的，发包人应承担修复和查验的费用，并支付承包人合理利润。</w:t>
      </w:r>
    </w:p>
    <w:p w14:paraId="6F5071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19.2.4承包人不能在合理时间内修复缺陷的，发包人可自行修复或委托其他人修复，所需费用和利润的承担，按第19.2.3项约定办理。</w:t>
      </w:r>
    </w:p>
    <w:p w14:paraId="4A9E44C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21" w:name="_Toc26044"/>
      <w:bookmarkStart w:id="922" w:name="_Toc28473"/>
      <w:bookmarkStart w:id="923" w:name="_Toc234833093"/>
      <w:bookmarkStart w:id="924" w:name="_Toc4363"/>
      <w:r>
        <w:rPr>
          <w:rFonts w:hint="default" w:ascii="Times New Roman" w:hAnsi="Times New Roman" w:eastAsia="黑体" w:cs="Times New Roman"/>
          <w:b w:val="0"/>
          <w:color w:val="auto"/>
          <w:sz w:val="24"/>
          <w:szCs w:val="24"/>
          <w:highlight w:val="none"/>
        </w:rPr>
        <w:t>19.3缺陷责任期的延长</w:t>
      </w:r>
      <w:bookmarkEnd w:id="921"/>
      <w:bookmarkEnd w:id="922"/>
      <w:bookmarkEnd w:id="923"/>
      <w:bookmarkEnd w:id="924"/>
    </w:p>
    <w:p w14:paraId="0DFFD4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5A5A2C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25" w:name="_Toc234833094"/>
      <w:bookmarkStart w:id="926" w:name="_Toc722"/>
      <w:bookmarkStart w:id="927" w:name="_Toc15365"/>
      <w:bookmarkStart w:id="928" w:name="_Toc10764"/>
      <w:r>
        <w:rPr>
          <w:rFonts w:hint="default" w:ascii="Times New Roman" w:hAnsi="Times New Roman" w:eastAsia="黑体" w:cs="Times New Roman"/>
          <w:b w:val="0"/>
          <w:color w:val="auto"/>
          <w:sz w:val="24"/>
          <w:szCs w:val="24"/>
          <w:highlight w:val="none"/>
        </w:rPr>
        <w:t>19.4进一步试验和试运行</w:t>
      </w:r>
      <w:bookmarkEnd w:id="925"/>
      <w:bookmarkEnd w:id="926"/>
      <w:bookmarkEnd w:id="927"/>
      <w:bookmarkEnd w:id="928"/>
    </w:p>
    <w:p w14:paraId="71505749">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任何一项缺陷或损坏修复后，经检查证明其影响了工程或工程设备的使用性能，承包人应重新进行合同约定的试验和试运行，试验和试运行的全部费用应由责任方承担。</w:t>
      </w:r>
    </w:p>
    <w:p w14:paraId="24D0675F">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929" w:name="_Toc5095"/>
      <w:bookmarkStart w:id="930" w:name="_Toc234833095"/>
      <w:bookmarkStart w:id="931" w:name="_Toc31117"/>
      <w:bookmarkStart w:id="932" w:name="_Toc1336"/>
      <w:r>
        <w:rPr>
          <w:rFonts w:hint="default" w:ascii="Times New Roman" w:hAnsi="Times New Roman" w:eastAsia="黑体" w:cs="Times New Roman"/>
          <w:b w:val="0"/>
          <w:color w:val="auto"/>
          <w:sz w:val="24"/>
          <w:szCs w:val="24"/>
          <w:highlight w:val="none"/>
        </w:rPr>
        <w:t>19.5承包人的进入权</w:t>
      </w:r>
      <w:bookmarkEnd w:id="929"/>
      <w:bookmarkEnd w:id="930"/>
      <w:bookmarkEnd w:id="931"/>
      <w:bookmarkEnd w:id="932"/>
    </w:p>
    <w:p w14:paraId="5A72FDEC">
      <w:pPr>
        <w:pageBreakBefore w:val="0"/>
        <w:kinsoku/>
        <w:wordWrap w:val="0"/>
        <w:bidi w:val="0"/>
        <w:spacing w:line="400" w:lineRule="atLeast"/>
        <w:ind w:firstLine="43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缺陷责任期内承包人为缺陷修复工作需要，有权进入工程现场，但应遵守发包人的保安和保密规定。</w:t>
      </w:r>
    </w:p>
    <w:p w14:paraId="4FA4872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33" w:name="_Toc12330"/>
      <w:bookmarkStart w:id="934" w:name="_Toc2337"/>
      <w:bookmarkStart w:id="935" w:name="_Toc234833096"/>
      <w:bookmarkStart w:id="936" w:name="_Toc10078"/>
      <w:r>
        <w:rPr>
          <w:rFonts w:hint="default" w:ascii="Times New Roman" w:hAnsi="Times New Roman" w:eastAsia="黑体" w:cs="Times New Roman"/>
          <w:b w:val="0"/>
          <w:color w:val="auto"/>
          <w:sz w:val="24"/>
          <w:szCs w:val="24"/>
          <w:highlight w:val="none"/>
        </w:rPr>
        <w:t>19.6缺陷责任期终止证书</w:t>
      </w:r>
      <w:bookmarkEnd w:id="933"/>
      <w:bookmarkEnd w:id="934"/>
      <w:bookmarkEnd w:id="935"/>
      <w:bookmarkEnd w:id="936"/>
    </w:p>
    <w:p w14:paraId="5EC578B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在第1.1.4.5目约定的缺陷责任期，包括根据第19.3款延长的期限终止后14天内，由监理人向承包人出具经发包人签认的缺陷责任期终止证书，并退还剩余的质量保证金。</w:t>
      </w:r>
    </w:p>
    <w:p w14:paraId="5079685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37" w:name="_Toc234833097"/>
      <w:bookmarkStart w:id="938" w:name="_Toc19867"/>
      <w:bookmarkStart w:id="939" w:name="_Toc19327"/>
      <w:bookmarkStart w:id="940" w:name="_Toc7127"/>
      <w:r>
        <w:rPr>
          <w:rFonts w:hint="default" w:ascii="Times New Roman" w:hAnsi="Times New Roman" w:eastAsia="黑体" w:cs="Times New Roman"/>
          <w:b w:val="0"/>
          <w:color w:val="auto"/>
          <w:sz w:val="24"/>
          <w:szCs w:val="24"/>
          <w:highlight w:val="none"/>
        </w:rPr>
        <w:t>19.7保修责任</w:t>
      </w:r>
      <w:bookmarkEnd w:id="937"/>
      <w:bookmarkEnd w:id="938"/>
      <w:bookmarkEnd w:id="939"/>
      <w:bookmarkEnd w:id="940"/>
    </w:p>
    <w:p w14:paraId="3DA2A22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BB78575">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41" w:name="_Toc234833098"/>
      <w:bookmarkStart w:id="942" w:name="_Toc19060"/>
      <w:bookmarkStart w:id="943" w:name="_Toc13061"/>
      <w:bookmarkStart w:id="944" w:name="_Toc12018"/>
      <w:r>
        <w:rPr>
          <w:rFonts w:hint="default" w:ascii="Times New Roman" w:hAnsi="Times New Roman" w:eastAsia="黑体" w:cs="Times New Roman"/>
          <w:b w:val="0"/>
          <w:color w:val="auto"/>
          <w:sz w:val="28"/>
          <w:szCs w:val="28"/>
          <w:highlight w:val="none"/>
        </w:rPr>
        <w:t>20.保险</w:t>
      </w:r>
      <w:bookmarkEnd w:id="941"/>
      <w:bookmarkEnd w:id="942"/>
      <w:bookmarkEnd w:id="943"/>
      <w:bookmarkEnd w:id="944"/>
    </w:p>
    <w:p w14:paraId="6BAAD57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45" w:name="_Toc234833099"/>
      <w:bookmarkStart w:id="946" w:name="_Toc1058"/>
      <w:bookmarkStart w:id="947" w:name="_Toc1238"/>
      <w:bookmarkStart w:id="948" w:name="_Toc4841"/>
      <w:r>
        <w:rPr>
          <w:rFonts w:hint="default" w:ascii="Times New Roman" w:hAnsi="Times New Roman" w:eastAsia="黑体" w:cs="Times New Roman"/>
          <w:b w:val="0"/>
          <w:color w:val="auto"/>
          <w:sz w:val="24"/>
          <w:szCs w:val="24"/>
          <w:highlight w:val="none"/>
        </w:rPr>
        <w:t>20.1工程保险</w:t>
      </w:r>
      <w:bookmarkEnd w:id="945"/>
      <w:bookmarkEnd w:id="946"/>
      <w:bookmarkEnd w:id="947"/>
      <w:bookmarkEnd w:id="948"/>
    </w:p>
    <w:p w14:paraId="708F206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ECFDBD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49" w:name="_Toc30523"/>
      <w:bookmarkStart w:id="950" w:name="_Toc10723"/>
      <w:bookmarkStart w:id="951" w:name="_Toc21060"/>
      <w:bookmarkStart w:id="952" w:name="_Toc234833100"/>
      <w:r>
        <w:rPr>
          <w:rFonts w:hint="default" w:ascii="Times New Roman" w:hAnsi="Times New Roman" w:eastAsia="黑体" w:cs="Times New Roman"/>
          <w:b w:val="0"/>
          <w:color w:val="auto"/>
          <w:sz w:val="24"/>
          <w:szCs w:val="24"/>
          <w:highlight w:val="none"/>
        </w:rPr>
        <w:t>20.2人员工伤事故的保险</w:t>
      </w:r>
      <w:bookmarkEnd w:id="949"/>
      <w:bookmarkEnd w:id="950"/>
      <w:bookmarkEnd w:id="951"/>
      <w:bookmarkEnd w:id="952"/>
    </w:p>
    <w:p w14:paraId="27F30AF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w:t>
      </w:r>
      <w:r>
        <w:rPr>
          <w:rFonts w:hint="default" w:ascii="Times New Roman" w:hAnsi="Times New Roman" w:eastAsia="黑体" w:cs="Times New Roman"/>
          <w:color w:val="auto"/>
          <w:sz w:val="24"/>
          <w:highlight w:val="none"/>
        </w:rPr>
        <w:t>承包人员工伤事故的保险</w:t>
      </w:r>
    </w:p>
    <w:p w14:paraId="43DB6F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承包人应依照有关法律规定参加工伤保险，为其履行合同所雇用的全部人员，缴纳工伤保险费，并要求其分包人也进行此项保险。</w:t>
      </w:r>
    </w:p>
    <w:p w14:paraId="1EE1E1E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w:t>
      </w:r>
      <w:r>
        <w:rPr>
          <w:rFonts w:hint="default" w:ascii="Times New Roman" w:hAnsi="Times New Roman" w:eastAsia="黑体" w:cs="Times New Roman"/>
          <w:color w:val="auto"/>
          <w:sz w:val="24"/>
          <w:highlight w:val="none"/>
        </w:rPr>
        <w:t>发包人员工伤事故的保险</w:t>
      </w:r>
    </w:p>
    <w:p w14:paraId="0949F37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发包人应依照有关法律规定参加工伤保险，为其现场机构雇用的全部人员，缴纳工伤保险费，并要求其监理人也进行此项保险。</w:t>
      </w:r>
    </w:p>
    <w:p w14:paraId="646DFC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53" w:name="_Toc11127"/>
      <w:bookmarkStart w:id="954" w:name="_Toc20449"/>
      <w:bookmarkStart w:id="955" w:name="_Toc18737"/>
      <w:bookmarkStart w:id="956" w:name="_Toc234833101"/>
      <w:r>
        <w:rPr>
          <w:rFonts w:hint="default" w:ascii="Times New Roman" w:hAnsi="Times New Roman" w:eastAsia="黑体" w:cs="Times New Roman"/>
          <w:b w:val="0"/>
          <w:color w:val="auto"/>
          <w:sz w:val="24"/>
          <w:szCs w:val="24"/>
          <w:highlight w:val="none"/>
        </w:rPr>
        <w:t>20.3人身意外伤害险</w:t>
      </w:r>
      <w:bookmarkEnd w:id="953"/>
      <w:bookmarkEnd w:id="954"/>
      <w:bookmarkEnd w:id="955"/>
      <w:bookmarkEnd w:id="956"/>
    </w:p>
    <w:p w14:paraId="3EE5F1F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20.3.1发包人应在整个施工期间为其现场机构雇用的全部人员，投保人身意外伤害险，缴纳保险费，并要求其监理人也进行此项保险。</w:t>
      </w:r>
    </w:p>
    <w:p w14:paraId="2A2E357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20.3.2承包人应在整个施工期间为其现场机构雇用的全部人员，投保人身意外伤害险，缴纳保险费，并要求其分包人也进行此项保险。</w:t>
      </w:r>
    </w:p>
    <w:p w14:paraId="58081B4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57" w:name="_Toc234833102"/>
      <w:bookmarkStart w:id="958" w:name="_Toc26139"/>
      <w:bookmarkStart w:id="959" w:name="_Toc23644"/>
      <w:bookmarkStart w:id="960" w:name="_Toc27566"/>
      <w:r>
        <w:rPr>
          <w:rFonts w:hint="default" w:ascii="Times New Roman" w:hAnsi="Times New Roman" w:eastAsia="黑体" w:cs="Times New Roman"/>
          <w:b w:val="0"/>
          <w:color w:val="auto"/>
          <w:sz w:val="24"/>
          <w:szCs w:val="24"/>
          <w:highlight w:val="none"/>
        </w:rPr>
        <w:t>20.4第三者责任险</w:t>
      </w:r>
      <w:bookmarkEnd w:id="957"/>
      <w:bookmarkEnd w:id="958"/>
      <w:bookmarkEnd w:id="959"/>
      <w:bookmarkEnd w:id="960"/>
    </w:p>
    <w:p w14:paraId="69569092">
      <w:pPr>
        <w:pageBreakBefore w:val="0"/>
        <w:kinsoku/>
        <w:wordWrap w:val="0"/>
        <w:bidi w:val="0"/>
        <w:spacing w:line="400" w:lineRule="atLeast"/>
        <w:ind w:firstLine="48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1E17C53">
      <w:pPr>
        <w:pageBreakBefore w:val="0"/>
        <w:kinsoku/>
        <w:wordWrap w:val="0"/>
        <w:bidi w:val="0"/>
        <w:spacing w:line="400" w:lineRule="atLeast"/>
        <w:ind w:firstLine="48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20.4.2在缺陷责任期终止证书颁发前，承包人应以承包人和发包人的共同名义，投保第20.4.1项约定的第三者责任险，其保险费率、保险金额等有关内容在专用合同条款中约定。</w:t>
      </w:r>
    </w:p>
    <w:p w14:paraId="51DB05F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61" w:name="_Toc27726"/>
      <w:bookmarkStart w:id="962" w:name="_Toc17223"/>
      <w:bookmarkStart w:id="963" w:name="_Toc234833103"/>
      <w:bookmarkStart w:id="964" w:name="_Toc15956"/>
      <w:r>
        <w:rPr>
          <w:rFonts w:hint="default" w:ascii="Times New Roman" w:hAnsi="Times New Roman" w:eastAsia="黑体" w:cs="Times New Roman"/>
          <w:b w:val="0"/>
          <w:color w:val="auto"/>
          <w:sz w:val="24"/>
          <w:szCs w:val="24"/>
          <w:highlight w:val="none"/>
        </w:rPr>
        <w:t>20.5其他保险</w:t>
      </w:r>
      <w:bookmarkEnd w:id="961"/>
      <w:bookmarkEnd w:id="962"/>
      <w:bookmarkEnd w:id="963"/>
      <w:bookmarkEnd w:id="964"/>
    </w:p>
    <w:p w14:paraId="3A6D00C2">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除专用合同条款另有约定外，承包人应为其施工设备、进场的材料和工程设备等办理保险。</w:t>
      </w:r>
    </w:p>
    <w:p w14:paraId="35715E0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65" w:name="_Toc25129"/>
      <w:bookmarkStart w:id="966" w:name="_Toc234833104"/>
      <w:bookmarkStart w:id="967" w:name="_Toc16557"/>
      <w:bookmarkStart w:id="968" w:name="_Toc6798"/>
      <w:r>
        <w:rPr>
          <w:rFonts w:hint="default" w:ascii="Times New Roman" w:hAnsi="Times New Roman" w:eastAsia="黑体" w:cs="Times New Roman"/>
          <w:b w:val="0"/>
          <w:color w:val="auto"/>
          <w:sz w:val="24"/>
          <w:szCs w:val="24"/>
          <w:highlight w:val="none"/>
        </w:rPr>
        <w:t>20.6对各项保险的一般要求</w:t>
      </w:r>
      <w:bookmarkEnd w:id="965"/>
      <w:bookmarkEnd w:id="966"/>
      <w:bookmarkEnd w:id="967"/>
      <w:bookmarkEnd w:id="968"/>
    </w:p>
    <w:p w14:paraId="62C0EAD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20.6.1</w:t>
      </w:r>
      <w:r>
        <w:rPr>
          <w:rFonts w:hint="default" w:ascii="Times New Roman" w:hAnsi="Times New Roman" w:eastAsia="黑体" w:cs="Times New Roman"/>
          <w:color w:val="auto"/>
          <w:sz w:val="24"/>
          <w:highlight w:val="none"/>
        </w:rPr>
        <w:t>保险凭证</w:t>
      </w:r>
    </w:p>
    <w:p w14:paraId="5675955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承包人应在专用合同条款约定的期限内向发包人提交各项保险生效的证据和保险单副本，保险单必须与专用合同条款约定的条件保持一致。</w:t>
      </w:r>
    </w:p>
    <w:p w14:paraId="1A4C371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20.6.2</w:t>
      </w:r>
      <w:r>
        <w:rPr>
          <w:rFonts w:hint="default" w:ascii="Times New Roman" w:hAnsi="Times New Roman" w:eastAsia="黑体" w:cs="Times New Roman"/>
          <w:color w:val="auto"/>
          <w:sz w:val="24"/>
          <w:highlight w:val="none"/>
        </w:rPr>
        <w:t>保险合同条款的变动</w:t>
      </w:r>
    </w:p>
    <w:p w14:paraId="1619027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承包人需要变动保险合同条款时，应事先征得发包人同意，并通知监理人。保险人作出变动的，承包人应在收到保险人通知后立即通知发包人和监理人。</w:t>
      </w:r>
    </w:p>
    <w:p w14:paraId="5761807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20.6.3</w:t>
      </w:r>
      <w:r>
        <w:rPr>
          <w:rFonts w:hint="default" w:ascii="Times New Roman" w:hAnsi="Times New Roman" w:eastAsia="黑体" w:cs="Times New Roman"/>
          <w:color w:val="auto"/>
          <w:sz w:val="24"/>
          <w:highlight w:val="none"/>
        </w:rPr>
        <w:t>持续保险</w:t>
      </w:r>
    </w:p>
    <w:p w14:paraId="6B58875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承包人应与保险人保持联系，使保险人能够随时了解工程实施中的变动，并确保按保险合同条款要求持续保险。</w:t>
      </w:r>
    </w:p>
    <w:p w14:paraId="2DBDC6E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20.6.4</w:t>
      </w:r>
      <w:r>
        <w:rPr>
          <w:rFonts w:hint="default" w:ascii="Times New Roman" w:hAnsi="Times New Roman" w:eastAsia="黑体" w:cs="Times New Roman"/>
          <w:color w:val="auto"/>
          <w:sz w:val="24"/>
          <w:highlight w:val="none"/>
        </w:rPr>
        <w:t>保险金不足的补偿</w:t>
      </w:r>
    </w:p>
    <w:p w14:paraId="2F04349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保险金不足以补偿损失的，应由承包人和（或）发包人按合同约定负责补偿。</w:t>
      </w:r>
    </w:p>
    <w:p w14:paraId="741977F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20.6.5</w:t>
      </w:r>
      <w:r>
        <w:rPr>
          <w:rFonts w:hint="default" w:ascii="Times New Roman" w:hAnsi="Times New Roman" w:eastAsia="黑体" w:cs="Times New Roman"/>
          <w:color w:val="auto"/>
          <w:sz w:val="24"/>
          <w:highlight w:val="none"/>
        </w:rPr>
        <w:t>未按约定投保的补救</w:t>
      </w:r>
    </w:p>
    <w:p w14:paraId="02B81D0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（1）由于负有投保义务的一方当事人未按合同约定办理保险，或未能使保险持续有效的，另一方当事人可代为办理，所需费用由对方当事人承担。</w:t>
      </w:r>
    </w:p>
    <w:p w14:paraId="24C153B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3A6F796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20.6.6</w:t>
      </w:r>
      <w:r>
        <w:rPr>
          <w:rFonts w:hint="default" w:ascii="Times New Roman" w:hAnsi="Times New Roman" w:eastAsia="黑体" w:cs="Times New Roman"/>
          <w:color w:val="auto"/>
          <w:sz w:val="24"/>
          <w:highlight w:val="none"/>
        </w:rPr>
        <w:t>报告义务</w:t>
      </w:r>
    </w:p>
    <w:p w14:paraId="331F9AFD">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当保险事故发生时，投保人应按照保险单规定的条件和期限及时向保险人报告。</w:t>
      </w:r>
    </w:p>
    <w:p w14:paraId="1ADE1BA8">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69" w:name="_Toc1585"/>
      <w:bookmarkStart w:id="970" w:name="_Toc27736"/>
      <w:bookmarkStart w:id="971" w:name="_Toc25184"/>
      <w:bookmarkStart w:id="972" w:name="_Toc234833105"/>
      <w:r>
        <w:rPr>
          <w:rFonts w:hint="default" w:ascii="Times New Roman" w:hAnsi="Times New Roman" w:eastAsia="黑体" w:cs="Times New Roman"/>
          <w:b w:val="0"/>
          <w:color w:val="auto"/>
          <w:sz w:val="28"/>
          <w:szCs w:val="28"/>
          <w:highlight w:val="none"/>
        </w:rPr>
        <w:t>21.不可抗力</w:t>
      </w:r>
      <w:bookmarkEnd w:id="969"/>
      <w:bookmarkEnd w:id="970"/>
      <w:bookmarkEnd w:id="971"/>
      <w:bookmarkEnd w:id="972"/>
    </w:p>
    <w:p w14:paraId="5BDA250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73" w:name="_Toc234833106"/>
      <w:bookmarkStart w:id="974" w:name="_Toc30030"/>
      <w:bookmarkStart w:id="975" w:name="_Toc11379"/>
      <w:bookmarkStart w:id="976" w:name="_Toc965"/>
      <w:r>
        <w:rPr>
          <w:rFonts w:hint="default" w:ascii="Times New Roman" w:hAnsi="Times New Roman" w:eastAsia="黑体" w:cs="Times New Roman"/>
          <w:b w:val="0"/>
          <w:color w:val="auto"/>
          <w:sz w:val="24"/>
          <w:szCs w:val="24"/>
          <w:highlight w:val="none"/>
        </w:rPr>
        <w:t>21.1不可抗力的确认</w:t>
      </w:r>
      <w:bookmarkEnd w:id="973"/>
      <w:bookmarkEnd w:id="974"/>
      <w:bookmarkEnd w:id="975"/>
      <w:bookmarkEnd w:id="976"/>
    </w:p>
    <w:p w14:paraId="692C3B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不可抗力是指承包人和发包人在订立合同时不可预见，在工程施工过程中不可避免发生并不能克服的自然灾害和社会性突发事件，如地震、海啸、瘟疫、水灾、骚乱、暴动、战争和专用合同条款约定的其他情形。</w:t>
      </w:r>
    </w:p>
    <w:p w14:paraId="45EF8C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8D5928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77" w:name="_Toc234833107"/>
      <w:bookmarkStart w:id="978" w:name="_Toc18922"/>
      <w:bookmarkStart w:id="979" w:name="_Toc4694"/>
      <w:bookmarkStart w:id="980" w:name="_Toc22207"/>
      <w:r>
        <w:rPr>
          <w:rFonts w:hint="default" w:ascii="Times New Roman" w:hAnsi="Times New Roman" w:eastAsia="黑体" w:cs="Times New Roman"/>
          <w:b w:val="0"/>
          <w:color w:val="auto"/>
          <w:sz w:val="24"/>
          <w:szCs w:val="24"/>
          <w:highlight w:val="none"/>
        </w:rPr>
        <w:t>21.2不可抗力的通知</w:t>
      </w:r>
      <w:bookmarkEnd w:id="977"/>
      <w:bookmarkEnd w:id="978"/>
      <w:bookmarkEnd w:id="979"/>
      <w:bookmarkEnd w:id="980"/>
    </w:p>
    <w:p w14:paraId="72FC1A6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21.2.1合同一方当事人遇到不可抗力事件，使其履行合同义务受到阻碍时，应立即通知合同另一方当事人和监理人，书面说明不可抗力和受阻碍的详细情况，并提供必要的证明。</w:t>
      </w:r>
    </w:p>
    <w:p w14:paraId="78059E5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21.2.2如不可抗力持续发生，合同一方当事人应及时向合同另一方当事人和监理人提交中间报告，说明不可抗力和履行合同受阻的情况，并于不可抗力事件结束后28天内提交最终报告及有关资料。</w:t>
      </w:r>
    </w:p>
    <w:p w14:paraId="6A90F45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81" w:name="_Toc234833108"/>
      <w:bookmarkStart w:id="982" w:name="_Toc15417"/>
      <w:bookmarkStart w:id="983" w:name="_Toc15055"/>
      <w:bookmarkStart w:id="984" w:name="_Toc1838"/>
      <w:r>
        <w:rPr>
          <w:rFonts w:hint="default" w:ascii="Times New Roman" w:hAnsi="Times New Roman" w:eastAsia="黑体" w:cs="Times New Roman"/>
          <w:b w:val="0"/>
          <w:color w:val="auto"/>
          <w:sz w:val="24"/>
          <w:szCs w:val="24"/>
          <w:highlight w:val="none"/>
        </w:rPr>
        <w:t>21.3不可抗力后果及其处理</w:t>
      </w:r>
      <w:bookmarkEnd w:id="981"/>
      <w:bookmarkEnd w:id="982"/>
      <w:bookmarkEnd w:id="983"/>
      <w:bookmarkEnd w:id="984"/>
    </w:p>
    <w:p w14:paraId="176BD428">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w:t>
      </w:r>
      <w:r>
        <w:rPr>
          <w:rFonts w:hint="default" w:ascii="Times New Roman" w:hAnsi="Times New Roman" w:eastAsia="黑体" w:cs="Times New Roman"/>
          <w:color w:val="auto"/>
          <w:sz w:val="24"/>
          <w:highlight w:val="none"/>
        </w:rPr>
        <w:t>不可抗力造成损害的责任</w:t>
      </w:r>
    </w:p>
    <w:p w14:paraId="01F1C1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除专用合同条款另有约定外，不可抗力导致的人员伤亡、财产损失、费用增加和（或）工期延误等后果，由合同双方按以下原则承担：</w:t>
      </w:r>
    </w:p>
    <w:p w14:paraId="1BA0A61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（1）永久工程，包括已运至施工场地的材料和工程设备的损害，以及因工程损害造成的第三者人员伤亡和财产损失由发包人承担；</w:t>
      </w:r>
    </w:p>
    <w:p w14:paraId="4FC2FB65">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（2）承包人设备的损坏由承包人承担；</w:t>
      </w:r>
    </w:p>
    <w:p w14:paraId="30D30B0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（3）发包人和承包人各自承担其人员伤亡和其他财产损失及其相关费用；</w:t>
      </w:r>
    </w:p>
    <w:p w14:paraId="28C915B1">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（4）承包人的停工损失由承包人承担，但停工期间应监理人要求照管工程和清理、修复工程的金额由发包人承担；</w:t>
      </w:r>
    </w:p>
    <w:p w14:paraId="2D412E04">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（5）不能按期竣工的，应合理延长工期，承包人不需支付逾期竣工违约金。发包人要求赶工的，承包人应采取赶工措施，赶工费用由发包人承担。</w:t>
      </w:r>
    </w:p>
    <w:p w14:paraId="70A5EBD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w:t>
      </w:r>
      <w:r>
        <w:rPr>
          <w:rFonts w:hint="default" w:ascii="Times New Roman" w:hAnsi="Times New Roman" w:eastAsia="黑体" w:cs="Times New Roman"/>
          <w:color w:val="auto"/>
          <w:sz w:val="24"/>
          <w:highlight w:val="none"/>
        </w:rPr>
        <w:t>延迟履行期间发生的不可抗力</w:t>
      </w:r>
    </w:p>
    <w:p w14:paraId="4C46035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合同一方当事人延迟履行，在延迟履行期间发生不可抗力的，不免除其责任。</w:t>
      </w:r>
    </w:p>
    <w:p w14:paraId="1E3D96E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21.3.3</w:t>
      </w:r>
      <w:r>
        <w:rPr>
          <w:rFonts w:hint="default" w:ascii="Times New Roman" w:hAnsi="Times New Roman" w:eastAsia="黑体" w:cs="Times New Roman"/>
          <w:color w:val="auto"/>
          <w:sz w:val="24"/>
          <w:highlight w:val="none"/>
        </w:rPr>
        <w:t>避免和减少不可抗力损失</w:t>
      </w:r>
    </w:p>
    <w:p w14:paraId="220A111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不可抗力发生后，发包人和承包人均应采取措施尽量避免和减少损失的扩大，任何一方没有采取有效措施导致损失扩大的，应对扩大的损失承担责任。</w:t>
      </w:r>
    </w:p>
    <w:p w14:paraId="1B6934D4">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w:t>
      </w:r>
      <w:r>
        <w:rPr>
          <w:rFonts w:hint="default" w:ascii="Times New Roman" w:hAnsi="Times New Roman" w:eastAsia="黑体" w:cs="Times New Roman"/>
          <w:color w:val="auto"/>
          <w:sz w:val="24"/>
          <w:highlight w:val="none"/>
        </w:rPr>
        <w:t>因不可抗力解除合同</w:t>
      </w:r>
    </w:p>
    <w:p w14:paraId="2033A31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559A1BF">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985" w:name="_Toc234833109"/>
      <w:bookmarkStart w:id="986" w:name="_Toc12831"/>
      <w:bookmarkStart w:id="987" w:name="_Toc18084"/>
      <w:bookmarkStart w:id="988" w:name="_Toc13366"/>
      <w:r>
        <w:rPr>
          <w:rFonts w:hint="default" w:ascii="Times New Roman" w:hAnsi="Times New Roman" w:eastAsia="黑体" w:cs="Times New Roman"/>
          <w:b w:val="0"/>
          <w:color w:val="auto"/>
          <w:sz w:val="28"/>
          <w:szCs w:val="28"/>
          <w:highlight w:val="none"/>
        </w:rPr>
        <w:t>22.违约</w:t>
      </w:r>
      <w:bookmarkEnd w:id="985"/>
      <w:bookmarkEnd w:id="986"/>
      <w:bookmarkEnd w:id="987"/>
      <w:bookmarkEnd w:id="988"/>
    </w:p>
    <w:p w14:paraId="6C49D2A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89" w:name="_Toc723"/>
      <w:bookmarkStart w:id="990" w:name="_Toc234833110"/>
      <w:bookmarkStart w:id="991" w:name="_Toc18327"/>
      <w:bookmarkStart w:id="992" w:name="_Toc8987"/>
      <w:r>
        <w:rPr>
          <w:rFonts w:hint="default" w:ascii="Times New Roman" w:hAnsi="Times New Roman" w:eastAsia="黑体" w:cs="Times New Roman"/>
          <w:b w:val="0"/>
          <w:color w:val="auto"/>
          <w:sz w:val="24"/>
          <w:szCs w:val="24"/>
          <w:highlight w:val="none"/>
        </w:rPr>
        <w:t>22.1承包人违约</w:t>
      </w:r>
      <w:bookmarkEnd w:id="989"/>
      <w:bookmarkEnd w:id="990"/>
      <w:bookmarkEnd w:id="991"/>
      <w:bookmarkEnd w:id="992"/>
    </w:p>
    <w:p w14:paraId="1A19A8E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22.1.1</w:t>
      </w:r>
      <w:r>
        <w:rPr>
          <w:rFonts w:hint="default" w:ascii="Times New Roman" w:hAnsi="Times New Roman" w:eastAsia="黑体" w:cs="Times New Roman"/>
          <w:color w:val="auto"/>
          <w:sz w:val="24"/>
          <w:highlight w:val="none"/>
        </w:rPr>
        <w:t>承包人违约的情形</w:t>
      </w:r>
    </w:p>
    <w:p w14:paraId="78ACFCC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在履行合同过程中发生的下列情况属承包人违约：</w:t>
      </w:r>
    </w:p>
    <w:p w14:paraId="222013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（1）承包人违反第1.8款或第4.3款的约定，私自将合同的全部或部分权利转让给其他人，或私自将合同的全部或部分义务转移给其他人；</w:t>
      </w:r>
    </w:p>
    <w:p w14:paraId="6A0D160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（2）承包人违反第5.3款或第6.4款的约定，未经监理人批准，私自将已按合同约定进入施工场地的施工设备、临时设施或材料撤离施工场地；</w:t>
      </w:r>
    </w:p>
    <w:p w14:paraId="111D8AD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（3）承包人违反第5.4款的约定使用了不合格材料或工程设备，工程质量达不到标准要求，又拒绝清除不合格工程；</w:t>
      </w:r>
    </w:p>
    <w:p w14:paraId="126D78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（4）承包人未能按合同进度计划及时完成合同约定的工作，已造成或预期造成工期延误；</w:t>
      </w:r>
    </w:p>
    <w:p w14:paraId="5E2D84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（5）承包人在缺陷责任期内，未能对工程接收证书所列的缺陷清单的内容或缺陷责任期内发生的缺陷进行修复，而又拒绝按监理人指示再进行修补；</w:t>
      </w:r>
    </w:p>
    <w:p w14:paraId="5B6EA3E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（6）承包人无法继续履行或明确表示不履行或实质上已停止履行合同；</w:t>
      </w:r>
    </w:p>
    <w:p w14:paraId="5D1F2F9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（7）承包人不按合同约定履行义务的其他情况。</w:t>
      </w:r>
    </w:p>
    <w:p w14:paraId="4B37314E">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22.1.2</w:t>
      </w:r>
      <w:r>
        <w:rPr>
          <w:rFonts w:hint="default" w:ascii="Times New Roman" w:hAnsi="Times New Roman" w:eastAsia="黑体" w:cs="Times New Roman"/>
          <w:color w:val="auto"/>
          <w:sz w:val="24"/>
          <w:highlight w:val="none"/>
        </w:rPr>
        <w:t>对承包人违约的处理</w:t>
      </w:r>
    </w:p>
    <w:p w14:paraId="0B326D5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（1）承包人发生第22.1.1（6）目约定的违约情况时，发包人可通知承包人立即解除合同，并按有关法律处理。</w:t>
      </w:r>
    </w:p>
    <w:p w14:paraId="04D5ED2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（2）承包人发生除第22.1.1（6）</w:t>
      </w:r>
      <w:r>
        <w:rPr>
          <w:rFonts w:hint="eastAsia" w:cs="Times New Roman"/>
          <w:color w:val="auto"/>
          <w:sz w:val="24"/>
          <w:highlight w:val="none"/>
          <w:lang w:val="en-US" w:eastAsia="zh-CN"/>
        </w:rPr>
        <w:t>项</w:t>
      </w:r>
      <w:r>
        <w:rPr>
          <w:rFonts w:hint="default" w:ascii="Times New Roman" w:hAnsi="Times New Roman" w:cs="Times New Roman"/>
          <w:color w:val="auto"/>
          <w:sz w:val="24"/>
          <w:highlight w:val="none"/>
        </w:rPr>
        <w:t>目约定以外的其他违约情况时，监理人可向承包人发出整改通知，要求其在指定的期限内改正。承包人应承担其违约所引起的费用增加和（或）工期延误。</w:t>
      </w:r>
    </w:p>
    <w:p w14:paraId="281327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（3）经检查证明承包人已采取了有效措施纠正违约行为，具备复工条件的，可由监理人签发复工通知复工。</w:t>
      </w:r>
    </w:p>
    <w:p w14:paraId="01E78C77">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22.1.3</w:t>
      </w:r>
      <w:r>
        <w:rPr>
          <w:rFonts w:hint="default" w:ascii="Times New Roman" w:hAnsi="Times New Roman" w:eastAsia="黑体" w:cs="Times New Roman"/>
          <w:color w:val="auto"/>
          <w:sz w:val="24"/>
          <w:highlight w:val="none"/>
        </w:rPr>
        <w:t>承包人违约解除合同</w:t>
      </w:r>
    </w:p>
    <w:p w14:paraId="4506816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15C10D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22.1.4</w:t>
      </w:r>
      <w:r>
        <w:rPr>
          <w:rFonts w:hint="default" w:ascii="Times New Roman" w:hAnsi="Times New Roman" w:eastAsia="黑体" w:cs="Times New Roman"/>
          <w:color w:val="auto"/>
          <w:sz w:val="24"/>
          <w:highlight w:val="none"/>
        </w:rPr>
        <w:t>合同解除后的估价、付款和结清</w:t>
      </w:r>
    </w:p>
    <w:p w14:paraId="47F8FC31">
      <w:pPr>
        <w:pageBreakBefore w:val="0"/>
        <w:tabs>
          <w:tab w:val="left" w:pos="540"/>
        </w:tabs>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（1）合同解除后，监理人按第3.5款商定或确定承包人实际完成工作的价值，以及承包人已提供的材料、施工设备、工程设备和临时工程等的价值。</w:t>
      </w:r>
    </w:p>
    <w:p w14:paraId="64FDBA09">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（2）合同解除后，发包人应暂停对承包人的一切付款，查清各项付款和已扣款金额，包括承包人应支付的违约金。</w:t>
      </w:r>
    </w:p>
    <w:p w14:paraId="33CE5AB1">
      <w:pPr>
        <w:pageBreakBefore w:val="0"/>
        <w:tabs>
          <w:tab w:val="left" w:pos="72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（3）合同解除后，发包人应按第23.4款的约定向承包人索赔由于解除合同给发包人造成的损失。</w:t>
      </w:r>
    </w:p>
    <w:p w14:paraId="441D554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（4）合同双方确认上述往来款项后，出具最终结清付款证书，结清全部合同款项。</w:t>
      </w:r>
    </w:p>
    <w:p w14:paraId="1C5E6F26">
      <w:pPr>
        <w:pageBreakBefore w:val="0"/>
        <w:kinsoku/>
        <w:wordWrap w:val="0"/>
        <w:bidi w:val="0"/>
        <w:spacing w:line="400" w:lineRule="atLeast"/>
        <w:ind w:right="25" w:rightChars="12"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（5）发包人和承包人未能就解除合同后的结清达成一致而形成争议的，按第24条的约定办理。</w:t>
      </w:r>
    </w:p>
    <w:p w14:paraId="22100714">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22.1.5</w:t>
      </w:r>
      <w:r>
        <w:rPr>
          <w:rFonts w:hint="default" w:ascii="Times New Roman" w:hAnsi="Times New Roman" w:eastAsia="黑体" w:cs="Times New Roman"/>
          <w:color w:val="auto"/>
          <w:sz w:val="24"/>
          <w:highlight w:val="none"/>
        </w:rPr>
        <w:t>协议利益的转让</w:t>
      </w:r>
    </w:p>
    <w:p w14:paraId="29CEA38E">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因承包人违约解除合同的，发包人有权要求承包人将其为实施合同而签订的材料和设备的订货协议或任何服务协议利益转让给发包人，并在解除合同后的14天内，依法办理转让手续。</w:t>
      </w:r>
    </w:p>
    <w:p w14:paraId="3E913DE6">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22.1.6</w:t>
      </w:r>
      <w:r>
        <w:rPr>
          <w:rFonts w:hint="default" w:ascii="Times New Roman" w:hAnsi="Times New Roman" w:eastAsia="黑体" w:cs="Times New Roman"/>
          <w:color w:val="auto"/>
          <w:sz w:val="24"/>
          <w:highlight w:val="none"/>
        </w:rPr>
        <w:t>紧急情况下无能力或不愿进行抢救</w:t>
      </w:r>
    </w:p>
    <w:p w14:paraId="34F3241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797CA8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93" w:name="_Toc18762"/>
      <w:bookmarkStart w:id="994" w:name="_Toc31447"/>
      <w:bookmarkStart w:id="995" w:name="_Toc18188"/>
      <w:bookmarkStart w:id="996" w:name="_Toc234833111"/>
      <w:r>
        <w:rPr>
          <w:rFonts w:hint="default" w:ascii="Times New Roman" w:hAnsi="Times New Roman" w:eastAsia="黑体" w:cs="Times New Roman"/>
          <w:b w:val="0"/>
          <w:color w:val="auto"/>
          <w:sz w:val="24"/>
          <w:szCs w:val="24"/>
          <w:highlight w:val="none"/>
        </w:rPr>
        <w:t>22.2发包人违约</w:t>
      </w:r>
      <w:bookmarkEnd w:id="993"/>
      <w:bookmarkEnd w:id="994"/>
      <w:bookmarkEnd w:id="995"/>
      <w:bookmarkEnd w:id="996"/>
    </w:p>
    <w:p w14:paraId="4C6C25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22.2.1</w:t>
      </w:r>
      <w:r>
        <w:rPr>
          <w:rFonts w:hint="default" w:ascii="Times New Roman" w:hAnsi="Times New Roman" w:eastAsia="黑体" w:cs="Times New Roman"/>
          <w:color w:val="auto"/>
          <w:sz w:val="24"/>
          <w:highlight w:val="none"/>
        </w:rPr>
        <w:t>发包人违约的情形</w:t>
      </w:r>
    </w:p>
    <w:p w14:paraId="4F9AB2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在履行合同过程中发生的下列情形，属发包人违约：</w:t>
      </w:r>
    </w:p>
    <w:p w14:paraId="3BF9185F">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（1）发包人未能按合同约定支付预付款或合同价款，或拖延、拒绝批准付款申请和支付凭证，导致付款延误的；</w:t>
      </w:r>
    </w:p>
    <w:p w14:paraId="493214C1">
      <w:pPr>
        <w:pageBreakBefore w:val="0"/>
        <w:tabs>
          <w:tab w:val="left" w:pos="72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（2）发包人原因造成停工的；</w:t>
      </w:r>
    </w:p>
    <w:p w14:paraId="5ADEB54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（3）监理人无正当理由没有在约定期限内发出复工指示，导致承包人无法复工的；</w:t>
      </w:r>
    </w:p>
    <w:p w14:paraId="50AE79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（4）发包人无法继续履行或明确表示不履行或实质上已停止履行合同的；</w:t>
      </w:r>
    </w:p>
    <w:p w14:paraId="11D36228">
      <w:pPr>
        <w:pageBreakBefore w:val="0"/>
        <w:tabs>
          <w:tab w:val="left" w:pos="72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（5）发包人不履行合同约定其他义务的。</w:t>
      </w:r>
    </w:p>
    <w:p w14:paraId="311872E2">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22.2.2</w:t>
      </w:r>
      <w:r>
        <w:rPr>
          <w:rFonts w:hint="default" w:ascii="Times New Roman" w:hAnsi="Times New Roman" w:eastAsia="黑体" w:cs="Times New Roman"/>
          <w:color w:val="auto"/>
          <w:sz w:val="24"/>
          <w:highlight w:val="none"/>
        </w:rPr>
        <w:t>承包人有权暂停施工</w:t>
      </w:r>
    </w:p>
    <w:p w14:paraId="17A7765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99B691E">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22.2.3</w:t>
      </w:r>
      <w:r>
        <w:rPr>
          <w:rFonts w:hint="default" w:ascii="Times New Roman" w:hAnsi="Times New Roman" w:eastAsia="黑体" w:cs="Times New Roman"/>
          <w:color w:val="auto"/>
          <w:sz w:val="24"/>
          <w:highlight w:val="none"/>
        </w:rPr>
        <w:t>发包人违约解除合同</w:t>
      </w:r>
    </w:p>
    <w:p w14:paraId="433D34F1">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（1）发生第22.2.1（4）目的违约情况时，承包人可书面通知发包人解除合同。</w:t>
      </w:r>
    </w:p>
    <w:p w14:paraId="7412D3BB">
      <w:pPr>
        <w:pageBreakBefore w:val="0"/>
        <w:tabs>
          <w:tab w:val="left" w:pos="720"/>
          <w:tab w:val="left" w:pos="900"/>
        </w:tabs>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049F2F96">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22.2.4</w:t>
      </w:r>
      <w:r>
        <w:rPr>
          <w:rFonts w:hint="default" w:ascii="Times New Roman" w:hAnsi="Times New Roman" w:eastAsia="黑体" w:cs="Times New Roman"/>
          <w:color w:val="auto"/>
          <w:sz w:val="24"/>
          <w:highlight w:val="none"/>
        </w:rPr>
        <w:t>解除合同后的付款</w:t>
      </w:r>
    </w:p>
    <w:p w14:paraId="389C04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因发包人违约解除合同的，发包人应在解除合同后28天内向承包人支付下列金额，承包人应在此期限内及时向发包人提交要求支付下列金额的有关资料和凭证：</w:t>
      </w:r>
    </w:p>
    <w:p w14:paraId="5239691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（1）合同解除日以前所完成工作的价款；</w:t>
      </w:r>
    </w:p>
    <w:p w14:paraId="3758A15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（2）承包人为该工程施工订购并已付款的材料、工程设备和其他物品的金额。发包人付还后，该材料、工程设备和其他物品归发包人所有；</w:t>
      </w:r>
    </w:p>
    <w:p w14:paraId="3FD3B0F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（3）承包人为完成工程所发生的，而发包人未支付的金额；</w:t>
      </w:r>
    </w:p>
    <w:p w14:paraId="5C530F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（4）承包人撤离施工场地以及遣散承包人人员的金额；</w:t>
      </w:r>
    </w:p>
    <w:p w14:paraId="068F4AD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（5）由于解除合同应赔偿的承包人损失；</w:t>
      </w:r>
    </w:p>
    <w:p w14:paraId="5099B52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（6）按合同约定在合同解除日前应支付给承包人的其他金额。</w:t>
      </w:r>
    </w:p>
    <w:p w14:paraId="6380BF7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发包人应按本项约定支付上述金额并退还质量保证金和履约担保，但有权要求承包人支付应偿还给发包人的各项金额。</w:t>
      </w:r>
    </w:p>
    <w:p w14:paraId="12E786EE">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22.2.5解除合同后的承包人撤离</w:t>
      </w:r>
    </w:p>
    <w:p w14:paraId="5B2C19D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17E6D5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997" w:name="_Toc27072"/>
      <w:bookmarkStart w:id="998" w:name="_Toc234833112"/>
      <w:bookmarkStart w:id="999" w:name="_Toc5244"/>
      <w:bookmarkStart w:id="1000" w:name="_Toc1197"/>
      <w:r>
        <w:rPr>
          <w:rFonts w:hint="default" w:ascii="Times New Roman" w:hAnsi="Times New Roman" w:eastAsia="黑体" w:cs="Times New Roman"/>
          <w:b w:val="0"/>
          <w:color w:val="auto"/>
          <w:sz w:val="24"/>
          <w:szCs w:val="24"/>
          <w:highlight w:val="none"/>
        </w:rPr>
        <w:t>22.3第三人造成的违约</w:t>
      </w:r>
      <w:bookmarkEnd w:id="997"/>
      <w:bookmarkEnd w:id="998"/>
      <w:bookmarkEnd w:id="999"/>
      <w:bookmarkEnd w:id="1000"/>
    </w:p>
    <w:p w14:paraId="50294D0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在履行合同过程中，一方当事人因第三人的原因造成违约的，应当向对方当事人承担违约责任。一方当事人和第三人之间的纠纷，依照法律规定或者按照约定解决。</w:t>
      </w:r>
    </w:p>
    <w:p w14:paraId="54D6570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01" w:name="_Toc234833113"/>
      <w:bookmarkStart w:id="1002" w:name="_Toc27731"/>
      <w:bookmarkStart w:id="1003" w:name="_Toc29983"/>
      <w:bookmarkStart w:id="1004" w:name="_Toc15487"/>
      <w:r>
        <w:rPr>
          <w:rFonts w:hint="default" w:ascii="Times New Roman" w:hAnsi="Times New Roman" w:eastAsia="黑体" w:cs="Times New Roman"/>
          <w:b w:val="0"/>
          <w:color w:val="auto"/>
          <w:sz w:val="28"/>
          <w:szCs w:val="28"/>
          <w:highlight w:val="none"/>
        </w:rPr>
        <w:t>23.索赔</w:t>
      </w:r>
      <w:bookmarkEnd w:id="1001"/>
      <w:bookmarkEnd w:id="1002"/>
      <w:bookmarkEnd w:id="1003"/>
      <w:bookmarkEnd w:id="1004"/>
    </w:p>
    <w:p w14:paraId="1CD2BF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05" w:name="_Toc8289"/>
      <w:bookmarkStart w:id="1006" w:name="_Toc31146"/>
      <w:bookmarkStart w:id="1007" w:name="_Toc234833114"/>
      <w:bookmarkStart w:id="1008" w:name="_Toc3879"/>
      <w:r>
        <w:rPr>
          <w:rFonts w:hint="default" w:ascii="Times New Roman" w:hAnsi="Times New Roman" w:eastAsia="黑体" w:cs="Times New Roman"/>
          <w:b w:val="0"/>
          <w:color w:val="auto"/>
          <w:sz w:val="24"/>
          <w:szCs w:val="24"/>
          <w:highlight w:val="none"/>
        </w:rPr>
        <w:t>23.1承包人索赔的提出</w:t>
      </w:r>
      <w:bookmarkEnd w:id="1005"/>
      <w:bookmarkEnd w:id="1006"/>
      <w:bookmarkEnd w:id="1007"/>
      <w:bookmarkEnd w:id="1008"/>
    </w:p>
    <w:p w14:paraId="1CD97D2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根据合同约定，承包人认为有权得到追加付款和（或）延长工期的，应按以下程序向发包人提出索赔：</w:t>
      </w:r>
    </w:p>
    <w:p w14:paraId="438933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11E537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262D63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（3）索赔事件具有连续影响的，承包人应按合理时间间隔继续递交延续索赔通知，说明连续影响的实际情况和记录，列出累计的追加付款金额和（或）工期延长天数；</w:t>
      </w:r>
    </w:p>
    <w:p w14:paraId="37DFE51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（4）在索赔事件影响结束后的28天内，承包人应向监理人递交最终索赔通知书，说明最终要求索赔的追加付款金额和延长的工期，并附必要的记录和证明材料。</w:t>
      </w:r>
    </w:p>
    <w:p w14:paraId="7140E69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09" w:name="_Toc31313"/>
      <w:bookmarkStart w:id="1010" w:name="_Toc18819"/>
      <w:bookmarkStart w:id="1011" w:name="_Toc234833115"/>
      <w:bookmarkStart w:id="1012" w:name="_Toc17762"/>
      <w:r>
        <w:rPr>
          <w:rFonts w:hint="default" w:ascii="Times New Roman" w:hAnsi="Times New Roman" w:eastAsia="黑体" w:cs="Times New Roman"/>
          <w:b w:val="0"/>
          <w:color w:val="auto"/>
          <w:sz w:val="24"/>
          <w:szCs w:val="24"/>
          <w:highlight w:val="none"/>
        </w:rPr>
        <w:t>23.2承包人索赔处理程序</w:t>
      </w:r>
      <w:bookmarkEnd w:id="1009"/>
      <w:bookmarkEnd w:id="1010"/>
      <w:bookmarkEnd w:id="1011"/>
      <w:bookmarkEnd w:id="1012"/>
    </w:p>
    <w:p w14:paraId="151833B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（1）监理人收到承包人提交的索赔通知书后，应及时审查索赔通知书的内容、查验承包人的记录和证明材料，必要时监理人可要求承包人提交全部原始记录副本。</w:t>
      </w:r>
    </w:p>
    <w:p w14:paraId="76BBEC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（2）监理人应按第3.5款商定或确定追加的付款和（或）延长的工期，并在收到上述索赔通知书或有关索赔的进一步证明材料后的42天内，将索赔处理结果答复承包人。</w:t>
      </w:r>
    </w:p>
    <w:p w14:paraId="3B1191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（3）承包人接受索赔处理结果的，发包人应在作出索赔处理结果答复后28天内完成赔付。承包人不接受索赔处理结果的，按第24条的约定办理。</w:t>
      </w:r>
    </w:p>
    <w:p w14:paraId="57C0AE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13" w:name="_Toc616"/>
      <w:bookmarkStart w:id="1014" w:name="_Toc3852"/>
      <w:bookmarkStart w:id="1015" w:name="_Toc234833116"/>
      <w:bookmarkStart w:id="1016" w:name="_Toc19947"/>
      <w:r>
        <w:rPr>
          <w:rFonts w:hint="default" w:ascii="Times New Roman" w:hAnsi="Times New Roman" w:eastAsia="黑体" w:cs="Times New Roman"/>
          <w:b w:val="0"/>
          <w:color w:val="auto"/>
          <w:sz w:val="24"/>
          <w:szCs w:val="24"/>
          <w:highlight w:val="none"/>
        </w:rPr>
        <w:t>23.3承包人提出索赔的期限</w:t>
      </w:r>
      <w:bookmarkEnd w:id="1013"/>
      <w:bookmarkEnd w:id="1014"/>
      <w:bookmarkEnd w:id="1015"/>
      <w:bookmarkEnd w:id="1016"/>
    </w:p>
    <w:p w14:paraId="6F294CC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23.3.1承包人按第17.5款的约定接受了竣工付款证书后，应被认为已无权再提出在合同工程接收证书颁发前所发生的任何索赔。</w:t>
      </w:r>
    </w:p>
    <w:p w14:paraId="7B09561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23.3.2承包人按第17.6款的约定提交的最终结清申请单中，只限于提出工程接收证书颁发后发生的索赔。提出索赔的期限自接受最终结清证书时终止。</w:t>
      </w:r>
    </w:p>
    <w:p w14:paraId="166D009F">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017" w:name="_Toc234833117"/>
      <w:bookmarkStart w:id="1018" w:name="_Toc6220"/>
      <w:bookmarkStart w:id="1019" w:name="_Toc2347"/>
      <w:bookmarkStart w:id="1020" w:name="_Toc9765"/>
      <w:r>
        <w:rPr>
          <w:rFonts w:hint="default" w:ascii="Times New Roman" w:hAnsi="Times New Roman" w:eastAsia="黑体" w:cs="Times New Roman"/>
          <w:b w:val="0"/>
          <w:color w:val="auto"/>
          <w:sz w:val="24"/>
          <w:szCs w:val="24"/>
          <w:highlight w:val="none"/>
        </w:rPr>
        <w:t>23.4发包人的索赔</w:t>
      </w:r>
      <w:bookmarkEnd w:id="1017"/>
      <w:bookmarkEnd w:id="1018"/>
      <w:bookmarkEnd w:id="1019"/>
      <w:bookmarkEnd w:id="1020"/>
    </w:p>
    <w:p w14:paraId="44E8783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23.4.1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29DC6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23.4.2监理人按第3.5款商定或确定发包人从承包人处得到赔付的金额和（或）缺陷责任期的延长期。承包人应付给发包人的金额可从拟支付给承包人的合同价款中扣除，或由承包人以其他方式支付给发包人。</w:t>
      </w:r>
    </w:p>
    <w:p w14:paraId="025692FE">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21" w:name="_Toc31922"/>
      <w:bookmarkStart w:id="1022" w:name="_Toc234833118"/>
      <w:bookmarkStart w:id="1023" w:name="_Toc27984"/>
      <w:bookmarkStart w:id="1024" w:name="_Toc15563"/>
      <w:r>
        <w:rPr>
          <w:rFonts w:hint="default" w:ascii="Times New Roman" w:hAnsi="Times New Roman" w:eastAsia="黑体" w:cs="Times New Roman"/>
          <w:b w:val="0"/>
          <w:color w:val="auto"/>
          <w:sz w:val="28"/>
          <w:szCs w:val="28"/>
          <w:highlight w:val="none"/>
        </w:rPr>
        <w:t>24.争议的解决</w:t>
      </w:r>
      <w:bookmarkEnd w:id="1021"/>
      <w:bookmarkEnd w:id="1022"/>
      <w:bookmarkEnd w:id="1023"/>
      <w:bookmarkEnd w:id="1024"/>
    </w:p>
    <w:p w14:paraId="5B5FD5C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25" w:name="_Toc1723"/>
      <w:bookmarkStart w:id="1026" w:name="_Toc234833119"/>
      <w:bookmarkStart w:id="1027" w:name="_Toc32049"/>
      <w:bookmarkStart w:id="1028" w:name="_Toc30045"/>
      <w:r>
        <w:rPr>
          <w:rFonts w:hint="default" w:ascii="Times New Roman" w:hAnsi="Times New Roman" w:eastAsia="黑体" w:cs="Times New Roman"/>
          <w:b w:val="0"/>
          <w:color w:val="auto"/>
          <w:sz w:val="24"/>
          <w:szCs w:val="24"/>
          <w:highlight w:val="none"/>
        </w:rPr>
        <w:t>24.1争议的解决方式</w:t>
      </w:r>
      <w:bookmarkEnd w:id="1025"/>
      <w:bookmarkEnd w:id="1026"/>
      <w:bookmarkEnd w:id="1027"/>
      <w:bookmarkEnd w:id="1028"/>
    </w:p>
    <w:p w14:paraId="5BBD31A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65BEA2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（1）向约定的仲裁委员会申请仲裁；</w:t>
      </w:r>
    </w:p>
    <w:p w14:paraId="1ECB48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（2）向有管辖权的人民法院提起诉讼。</w:t>
      </w:r>
    </w:p>
    <w:p w14:paraId="1B0D809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29" w:name="_Toc25861"/>
      <w:bookmarkStart w:id="1030" w:name="_Toc4677"/>
      <w:bookmarkStart w:id="1031" w:name="_Toc21235"/>
      <w:bookmarkStart w:id="1032" w:name="_Toc234833120"/>
      <w:r>
        <w:rPr>
          <w:rFonts w:hint="default" w:ascii="Times New Roman" w:hAnsi="Times New Roman" w:eastAsia="黑体" w:cs="Times New Roman"/>
          <w:b w:val="0"/>
          <w:color w:val="auto"/>
          <w:sz w:val="24"/>
          <w:szCs w:val="24"/>
          <w:highlight w:val="none"/>
        </w:rPr>
        <w:t>24.2友好解决</w:t>
      </w:r>
      <w:bookmarkEnd w:id="1029"/>
      <w:bookmarkEnd w:id="1030"/>
      <w:bookmarkEnd w:id="1031"/>
      <w:bookmarkEnd w:id="1032"/>
    </w:p>
    <w:p w14:paraId="0D0E8DA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在提请争议评审、仲裁或者诉讼前，以及在争议评审、仲裁或诉讼过程中，发包人和承包人均可共同努力友好协商解决争议。</w:t>
      </w:r>
    </w:p>
    <w:p w14:paraId="591008C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33" w:name="_Toc20198"/>
      <w:bookmarkStart w:id="1034" w:name="_Toc17586"/>
      <w:bookmarkStart w:id="1035" w:name="_Toc234833121"/>
      <w:bookmarkStart w:id="1036" w:name="_Toc24796"/>
      <w:r>
        <w:rPr>
          <w:rFonts w:hint="default" w:ascii="Times New Roman" w:hAnsi="Times New Roman" w:eastAsia="黑体" w:cs="Times New Roman"/>
          <w:b w:val="0"/>
          <w:color w:val="auto"/>
          <w:sz w:val="24"/>
          <w:szCs w:val="24"/>
          <w:highlight w:val="none"/>
        </w:rPr>
        <w:t>24.3争议评审</w:t>
      </w:r>
      <w:bookmarkEnd w:id="1033"/>
      <w:bookmarkEnd w:id="1034"/>
      <w:bookmarkEnd w:id="1035"/>
      <w:bookmarkEnd w:id="1036"/>
    </w:p>
    <w:p w14:paraId="1AA6F29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24.3.1采用争议评审的，发包人和承包人应在开工日后的28天内或在争议发生后，协商成立争议评审组。争议评审组由有合同管理和工程实践经验的专家组成。</w:t>
      </w:r>
    </w:p>
    <w:p w14:paraId="2B3F37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24.3.2合同双方的争议，应首先由申请人向争议评审组提交一份详细的评审申请报告，并附必要的文件、图纸和证明材料，申请人还应将上述报告的副本同时提交给被申请人和监理人。</w:t>
      </w:r>
    </w:p>
    <w:p w14:paraId="572979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24.3.3被申请人在收到申请人评审申请报告副本后的28天内，向争议评审组提交一份答辩报告，并附证明材料。被申请人应将答辩报告的副本同时提交给申请人和监理人。</w:t>
      </w:r>
    </w:p>
    <w:p w14:paraId="72F78D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24.3.4除专用合同条款另有约定外，争议评审组在收到合同双方报告后的14天内，邀请双方代表和有关人员举行调查会，向双方调查争议细节；必要时争议评审组可要求双方进一步提供补充材料。</w:t>
      </w:r>
    </w:p>
    <w:p w14:paraId="365495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770CCF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24.3.6发包人和承包人接受评审意见的，由监理人根据评审意见拟定执行协议，经争议双方签字后作为合同的补充文件，并遵照执行。</w:t>
      </w:r>
    </w:p>
    <w:p w14:paraId="69F4ED33">
      <w:pPr>
        <w:pageBreakBefore w:val="0"/>
        <w:kinsoku/>
        <w:wordWrap w:val="0"/>
        <w:bidi w:val="0"/>
        <w:spacing w:line="400" w:lineRule="atLeast"/>
        <w:ind w:firstLine="480" w:firstLineChars="200"/>
        <w:outlineLvl w:val="9"/>
        <w:rPr>
          <w:rFonts w:hint="default" w:ascii="Times New Roman" w:hAnsi="Times New Roman" w:cs="Times New Roman"/>
          <w:color w:val="auto"/>
          <w:sz w:val="20"/>
          <w:szCs w:val="20"/>
          <w:highlight w:val="none"/>
        </w:rPr>
      </w:pPr>
      <w:r>
        <w:rPr>
          <w:rFonts w:hint="default" w:ascii="Times New Roman" w:hAnsi="Times New Roman" w:cs="Times New Roman"/>
          <w:color w:val="auto"/>
          <w:sz w:val="24"/>
          <w:highlight w:val="none"/>
        </w:rPr>
        <w:t>24.3.7发包人或承包人不接受评审意见，并要求提交仲裁或提起诉讼的，应在收到评审意见后的14天内将仲裁或起诉意向书面通知另一方，并抄送监理人，但在仲裁或诉讼结束前应暂按总监理工程师的确定执行。</w:t>
      </w:r>
    </w:p>
    <w:p w14:paraId="071177B3">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32"/>
          <w:szCs w:val="32"/>
          <w:highlight w:val="none"/>
        </w:rPr>
        <w:br w:type="page"/>
      </w:r>
      <w:bookmarkStart w:id="1037" w:name="_Toc234833122"/>
    </w:p>
    <w:p w14:paraId="5E9D8D46">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A93E74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631676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18FF6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D67E71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F1C577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94F942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410FFF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98F7E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48647E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E281D14">
      <w:pPr>
        <w:pStyle w:val="5"/>
        <w:pageBreakBefore w:val="0"/>
        <w:kinsoku/>
        <w:wordWrap w:val="0"/>
        <w:bidi w:val="0"/>
        <w:spacing w:before="240" w:after="240" w:line="380" w:lineRule="atLeast"/>
        <w:jc w:val="center"/>
        <w:outlineLvl w:val="2"/>
        <w:rPr>
          <w:rFonts w:hint="default" w:ascii="Times New Roman" w:hAnsi="Times New Roman" w:eastAsia="黑体" w:cs="Times New Roman"/>
          <w:b w:val="0"/>
          <w:color w:val="auto"/>
          <w:sz w:val="42"/>
          <w:szCs w:val="42"/>
          <w:highlight w:val="none"/>
        </w:rPr>
      </w:pPr>
      <w:bookmarkStart w:id="1038" w:name="_Toc11299"/>
      <w:bookmarkStart w:id="1039" w:name="_Toc22779"/>
      <w:bookmarkStart w:id="1040" w:name="_Toc22963"/>
      <w:bookmarkStart w:id="1041" w:name="_Toc21883"/>
      <w:r>
        <w:rPr>
          <w:rFonts w:hint="default" w:ascii="Times New Roman" w:hAnsi="Times New Roman" w:eastAsia="黑体" w:cs="Times New Roman"/>
          <w:b w:val="0"/>
          <w:color w:val="auto"/>
          <w:sz w:val="42"/>
          <w:szCs w:val="42"/>
          <w:highlight w:val="none"/>
        </w:rPr>
        <w:t>第二节</w:t>
      </w:r>
      <w:r>
        <w:rPr>
          <w:rFonts w:hint="eastAsia" w:cs="Times New Roman"/>
          <w:b w:val="0"/>
          <w:color w:val="auto"/>
          <w:sz w:val="42"/>
          <w:szCs w:val="42"/>
          <w:highlight w:val="none"/>
          <w:lang w:val="en-US" w:eastAsia="zh-CN"/>
        </w:rPr>
        <w:t xml:space="preserve"> </w:t>
      </w:r>
      <w:r>
        <w:rPr>
          <w:rFonts w:hint="default" w:ascii="Times New Roman" w:hAnsi="Times New Roman" w:eastAsia="黑体" w:cs="Times New Roman"/>
          <w:b w:val="0"/>
          <w:color w:val="auto"/>
          <w:sz w:val="42"/>
          <w:szCs w:val="42"/>
          <w:highlight w:val="none"/>
        </w:rPr>
        <w:t>专用合同条款</w:t>
      </w:r>
      <w:bookmarkEnd w:id="1037"/>
      <w:bookmarkEnd w:id="1038"/>
      <w:bookmarkEnd w:id="1039"/>
      <w:bookmarkEnd w:id="1040"/>
      <w:bookmarkEnd w:id="1041"/>
    </w:p>
    <w:p w14:paraId="5090C205">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sz w:val="32"/>
          <w:szCs w:val="32"/>
          <w:highlight w:val="none"/>
        </w:rPr>
        <w:br w:type="page"/>
      </w:r>
      <w:bookmarkStart w:id="1042" w:name="_Toc234833123"/>
      <w:bookmarkStart w:id="1043" w:name="_Toc22882"/>
      <w:bookmarkStart w:id="1044" w:name="_Toc3511"/>
      <w:r>
        <w:rPr>
          <w:rFonts w:hint="default" w:ascii="Times New Roman" w:hAnsi="Times New Roman" w:eastAsia="黑体" w:cs="Times New Roman"/>
          <w:b w:val="0"/>
          <w:color w:val="auto"/>
          <w:sz w:val="32"/>
          <w:szCs w:val="32"/>
          <w:highlight w:val="none"/>
        </w:rPr>
        <w:t>A.公路工程专用合同条款</w:t>
      </w:r>
      <w:bookmarkEnd w:id="1042"/>
      <w:bookmarkEnd w:id="1043"/>
      <w:bookmarkEnd w:id="1044"/>
    </w:p>
    <w:p w14:paraId="1F84FF3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p>
    <w:p w14:paraId="19F8749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8"/>
          <w:szCs w:val="28"/>
          <w:highlight w:val="none"/>
        </w:rPr>
      </w:pPr>
      <w:bookmarkStart w:id="1045" w:name="_Toc18793"/>
      <w:bookmarkStart w:id="1046" w:name="_Toc8680"/>
      <w:bookmarkStart w:id="1047" w:name="_Toc234833124"/>
      <w:bookmarkStart w:id="1048" w:name="_Toc8341"/>
      <w:r>
        <w:rPr>
          <w:rFonts w:hint="default" w:ascii="Times New Roman" w:hAnsi="Times New Roman" w:eastAsia="黑体" w:cs="Times New Roman"/>
          <w:b w:val="0"/>
          <w:color w:val="auto"/>
          <w:sz w:val="28"/>
          <w:szCs w:val="28"/>
          <w:highlight w:val="none"/>
        </w:rPr>
        <w:t>1.一般约定</w:t>
      </w:r>
      <w:bookmarkEnd w:id="1045"/>
      <w:bookmarkEnd w:id="1046"/>
      <w:bookmarkEnd w:id="1047"/>
      <w:bookmarkEnd w:id="1048"/>
      <w:r>
        <w:rPr>
          <w:rFonts w:hint="default" w:ascii="Times New Roman" w:hAnsi="Times New Roman" w:eastAsia="黑体" w:cs="Times New Roman"/>
          <w:b w:val="0"/>
          <w:color w:val="auto"/>
          <w:sz w:val="28"/>
          <w:szCs w:val="28"/>
          <w:highlight w:val="none"/>
        </w:rPr>
        <w:tab/>
      </w:r>
    </w:p>
    <w:p w14:paraId="0E91527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49" w:name="_Toc9796"/>
      <w:bookmarkStart w:id="1050" w:name="_Toc12594"/>
      <w:bookmarkStart w:id="1051" w:name="_Toc234833125"/>
      <w:bookmarkStart w:id="1052" w:name="_Toc16083"/>
      <w:r>
        <w:rPr>
          <w:rFonts w:hint="default" w:ascii="Times New Roman" w:hAnsi="Times New Roman" w:eastAsia="黑体" w:cs="Times New Roman"/>
          <w:b w:val="0"/>
          <w:color w:val="auto"/>
          <w:sz w:val="24"/>
          <w:szCs w:val="24"/>
          <w:highlight w:val="none"/>
        </w:rPr>
        <w:t>1.1</w:t>
      </w:r>
      <w:r>
        <w:rPr>
          <w:rFonts w:hint="default" w:ascii="Times New Roman" w:hAnsi="Times New Roman" w:eastAsia="黑体" w:cs="Times New Roman"/>
          <w:b w:val="0"/>
          <w:color w:val="auto"/>
          <w:sz w:val="24"/>
          <w:szCs w:val="24"/>
          <w:highlight w:val="none"/>
        </w:rPr>
        <w:tab/>
      </w:r>
      <w:r>
        <w:rPr>
          <w:rFonts w:hint="default" w:ascii="Times New Roman" w:hAnsi="Times New Roman" w:eastAsia="黑体" w:cs="Times New Roman"/>
          <w:b w:val="0"/>
          <w:color w:val="auto"/>
          <w:sz w:val="24"/>
          <w:szCs w:val="24"/>
          <w:highlight w:val="none"/>
        </w:rPr>
        <w:t>词语定义</w:t>
      </w:r>
      <w:bookmarkEnd w:id="1049"/>
      <w:bookmarkEnd w:id="1050"/>
      <w:bookmarkEnd w:id="1051"/>
      <w:bookmarkEnd w:id="1052"/>
    </w:p>
    <w:p w14:paraId="2CA364F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w:t>
      </w:r>
      <w:r>
        <w:rPr>
          <w:rFonts w:hint="default" w:ascii="Times New Roman" w:hAnsi="Times New Roman" w:eastAsia="黑体" w:cs="Times New Roman"/>
          <w:color w:val="auto"/>
          <w:sz w:val="24"/>
          <w:highlight w:val="none"/>
        </w:rPr>
        <w:t>合同</w:t>
      </w:r>
    </w:p>
    <w:p w14:paraId="5260CE9E">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第1.1.1.6目细化为：</w:t>
      </w:r>
    </w:p>
    <w:p w14:paraId="1E64C68B">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技术规范：指本合同所约定的技术标准和要求，是合同文件的组成部分。通用合同条款中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技术标准和要求</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4A29E844">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第1.1.1.8目细化为：</w:t>
      </w:r>
    </w:p>
    <w:p w14:paraId="6BF0EEA7">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56E7C672">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本项补充第1.1.1.10目：</w:t>
      </w:r>
    </w:p>
    <w:p w14:paraId="6BA22CE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1.1.1.10补遗书：指发出招标文件之后由招标人向已取得招标文件的投标人发出的、编号的对招标文件所作的澄清、修改书。</w:t>
      </w:r>
    </w:p>
    <w:p w14:paraId="78F9821C">
      <w:pPr>
        <w:pageBreakBefore w:val="0"/>
        <w:kinsoku/>
        <w:wordWrap w:val="0"/>
        <w:bidi w:val="0"/>
        <w:spacing w:line="400" w:lineRule="atLeast"/>
        <w:ind w:firstLine="480" w:firstLineChars="200"/>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1.1.2</w:t>
      </w:r>
      <w:r>
        <w:rPr>
          <w:rFonts w:hint="default" w:ascii="Times New Roman" w:hAnsi="Times New Roman" w:eastAsia="黑体" w:cs="Times New Roman"/>
          <w:color w:val="auto"/>
          <w:sz w:val="24"/>
          <w:highlight w:val="none"/>
        </w:rPr>
        <w:t>合同当事人和人员</w:t>
      </w:r>
    </w:p>
    <w:p w14:paraId="25C69E9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本项补充第1.1.2.8</w:t>
      </w:r>
      <w:r>
        <w:rPr>
          <w:rFonts w:hint="eastAsia" w:cs="Times New Roman"/>
          <w:color w:val="auto"/>
          <w:sz w:val="24"/>
          <w:highlight w:val="none"/>
          <w:lang w:val="en-US" w:eastAsia="zh-CN"/>
        </w:rPr>
        <w:t>项</w:t>
      </w:r>
      <w:r>
        <w:rPr>
          <w:rFonts w:hint="default" w:ascii="Times New Roman" w:hAnsi="Times New Roman" w:cs="Times New Roman"/>
          <w:color w:val="auto"/>
          <w:sz w:val="24"/>
          <w:highlight w:val="none"/>
        </w:rPr>
        <w:t>目：</w:t>
      </w:r>
    </w:p>
    <w:p w14:paraId="238C0666">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1.1.2.8承包人项目总工：指由承包人书面委派常驻现场负责管理本合同工程的总工程师或技术总负责人。</w:t>
      </w:r>
    </w:p>
    <w:p w14:paraId="61D9BC5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w:t>
      </w:r>
      <w:r>
        <w:rPr>
          <w:rFonts w:hint="default" w:ascii="Times New Roman" w:hAnsi="Times New Roman" w:eastAsia="黑体" w:cs="Times New Roman"/>
          <w:color w:val="auto"/>
          <w:sz w:val="24"/>
          <w:highlight w:val="none"/>
        </w:rPr>
        <w:t>工程和设备</w:t>
      </w:r>
    </w:p>
    <w:p w14:paraId="3C85E721">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第1.1.3.4目细化为：</w:t>
      </w:r>
    </w:p>
    <w:p w14:paraId="4C2AFE7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单位工程：指在建设项目中，根据签订的合同，具有独立施工条件的工程。</w:t>
      </w:r>
    </w:p>
    <w:p w14:paraId="3EFE6503">
      <w:pPr>
        <w:pageBreakBefore w:val="0"/>
        <w:kinsoku/>
        <w:wordWrap w:val="0"/>
        <w:bidi w:val="0"/>
        <w:spacing w:line="400" w:lineRule="atLeast"/>
        <w:ind w:firstLine="720" w:firstLineChars="3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第1.1.3.10目细化为：</w:t>
      </w:r>
    </w:p>
    <w:p w14:paraId="28AE3D0C">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永久占地：指为实施本合同工程而需要的一切永久占用的土地，包括公路两侧路权范围内的用地。</w:t>
      </w:r>
    </w:p>
    <w:p w14:paraId="237C633A">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第1.1.3.11目细化为：</w:t>
      </w:r>
    </w:p>
    <w:p w14:paraId="0459C0F1">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临时占地：指为实施本合同工程而需要的一切临时占用的土地，包括施工所用的临时支线、便道、便桥和现场的临时出入通道，以及生产（办公）、生活等临时设施用地等。</w:t>
      </w:r>
    </w:p>
    <w:p w14:paraId="73FC46DD">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本项补充第1.1.3.12目、第1.1.3.13目：</w:t>
      </w:r>
    </w:p>
    <w:p w14:paraId="7C166EC7">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1.1.3.12分部工程：指在单位工程中，按结构部位、路段长度及施工特点或施工任务划分的若干个工程。</w:t>
      </w:r>
    </w:p>
    <w:p w14:paraId="3FB59BD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1.1.3.13分项工程：指在分部工程中，按不同的施工方法、材料、工序及路段长度等划分的若干个工程。</w:t>
      </w:r>
    </w:p>
    <w:p w14:paraId="39DC88E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bookmarkStart w:id="1053" w:name="OLE_LINK18"/>
      <w:r>
        <w:rPr>
          <w:rFonts w:hint="default" w:ascii="Times New Roman" w:hAnsi="Times New Roman" w:cs="Times New Roman"/>
          <w:color w:val="auto"/>
          <w:sz w:val="24"/>
          <w:highlight w:val="none"/>
        </w:rPr>
        <w:t>1.1.6</w:t>
      </w:r>
      <w:r>
        <w:rPr>
          <w:rFonts w:hint="default" w:ascii="Times New Roman" w:hAnsi="Times New Roman" w:eastAsia="黑体" w:cs="Times New Roman"/>
          <w:color w:val="auto"/>
          <w:sz w:val="24"/>
          <w:highlight w:val="none"/>
        </w:rPr>
        <w:t>其他</w:t>
      </w:r>
    </w:p>
    <w:p w14:paraId="2B28E945">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本项补充第1.1.6.2目～第1.1.6.9目：</w:t>
      </w:r>
    </w:p>
    <w:p w14:paraId="4DE41128">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1.1.6.2竣工验收：指《公路工程竣（交）工验收办法》中的竣工验收。通用合同条款中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国家验收</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66A70B3D">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1.1.6.3交工：指《公路工程竣（交）工验收办法》中的交工。通用合同条款中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竣工</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186B67B0">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1.1.6.4交工验收：指《公路工程竣（交）工验收办法》中的交工验收。通用合同条款中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竣工验收</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p w14:paraId="422EE9B5">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1.1.6.5交工验收证书：指《公路工程竣（交）工验收办法》中的交工验收证书。通用合同条款中</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工程接收证书</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一词具有相同含义。</w:t>
      </w:r>
    </w:p>
    <w:bookmarkEnd w:id="1053"/>
    <w:p w14:paraId="4CB16334">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1.1.6.6转包：指承包人违反法律和不履行合同规定的责任和义务，将中标工程全部委托或以专业分包的名义将中标工程肢解后全部委托给其他施工企业施工的行为。</w:t>
      </w:r>
    </w:p>
    <w:p w14:paraId="0E322DD1">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3E5AE8DB">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0F09B3BF">
      <w:pPr>
        <w:pageBreakBefore w:val="0"/>
        <w:kinsoku/>
        <w:wordWrap w:val="0"/>
        <w:bidi w:val="0"/>
        <w:spacing w:line="400" w:lineRule="atLeast"/>
        <w:ind w:firstLine="720" w:firstLineChars="3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1.1.6.9雇用民工：指承包人与具有相应劳动能力的自然人签订劳动合同，由承包人统一组织管理，从事分项工程施工或配套工程施工的行为。</w:t>
      </w:r>
    </w:p>
    <w:p w14:paraId="23A9D1E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54" w:name="_Toc27402"/>
      <w:bookmarkStart w:id="1055" w:name="_Toc1907"/>
      <w:bookmarkStart w:id="1056" w:name="_Toc234833126"/>
      <w:bookmarkStart w:id="1057" w:name="_Toc20079"/>
      <w:r>
        <w:rPr>
          <w:rFonts w:hint="default" w:ascii="Times New Roman" w:hAnsi="Times New Roman" w:eastAsia="黑体" w:cs="Times New Roman"/>
          <w:b w:val="0"/>
          <w:color w:val="auto"/>
          <w:sz w:val="24"/>
          <w:szCs w:val="24"/>
          <w:highlight w:val="none"/>
        </w:rPr>
        <w:t>1.4合同文件的优先顺序</w:t>
      </w:r>
      <w:bookmarkEnd w:id="1054"/>
      <w:bookmarkEnd w:id="1055"/>
      <w:bookmarkEnd w:id="1056"/>
      <w:bookmarkEnd w:id="1057"/>
    </w:p>
    <w:p w14:paraId="3A15F9C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64997DD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组成合同的各项文件应互相解释，互为说明。除项目专用合同条款另有约定外，解释合同文件的优先顺序如下：</w:t>
      </w:r>
    </w:p>
    <w:p w14:paraId="7CBF1087">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（1）合同协议书及各种合同附件（含评标期间和合同谈判过程中的澄清文件和补充资料）；</w:t>
      </w:r>
    </w:p>
    <w:p w14:paraId="687114F2">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（2）中标通知书；</w:t>
      </w:r>
    </w:p>
    <w:p w14:paraId="76C26DA0">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（3）投标函及投标函附录；</w:t>
      </w:r>
    </w:p>
    <w:p w14:paraId="7F44181D">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（4）项目专用合同条款；</w:t>
      </w:r>
    </w:p>
    <w:p w14:paraId="439857F1">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（5）公路工程专用合同条款；</w:t>
      </w:r>
    </w:p>
    <w:p w14:paraId="7CC5E060">
      <w:pPr>
        <w:pageBreakBefore w:val="0"/>
        <w:kinsoku/>
        <w:wordWrap w:val="0"/>
        <w:bidi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（6）通用合同条款；</w:t>
      </w:r>
    </w:p>
    <w:p w14:paraId="42C33B5B">
      <w:pPr>
        <w:pageBreakBefore w:val="0"/>
        <w:kinsoku/>
        <w:wordWrap w:val="0"/>
        <w:bidi w:val="0"/>
        <w:spacing w:line="400" w:lineRule="atLeast"/>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（7）工程量清单计量规则；</w:t>
      </w:r>
    </w:p>
    <w:p w14:paraId="5F95B512">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（8）技术规范；</w:t>
      </w:r>
    </w:p>
    <w:p w14:paraId="1CF61A1C">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（9）图纸；</w:t>
      </w:r>
    </w:p>
    <w:p w14:paraId="2123060B">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（10）已标价工程量清单；</w:t>
      </w:r>
    </w:p>
    <w:p w14:paraId="126681ED">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（11）承包人有关人员、设备投入的承诺及投标文件中的施工组织设计；</w:t>
      </w:r>
    </w:p>
    <w:p w14:paraId="502FF963">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（12）其他合同文件。</w:t>
      </w:r>
    </w:p>
    <w:p w14:paraId="3D1ED98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58" w:name="_Toc17521"/>
      <w:bookmarkStart w:id="1059" w:name="_Toc234833127"/>
      <w:bookmarkStart w:id="1060" w:name="_Toc28459"/>
      <w:bookmarkStart w:id="1061" w:name="_Toc7187"/>
      <w:r>
        <w:rPr>
          <w:rFonts w:hint="default" w:ascii="Times New Roman" w:hAnsi="Times New Roman" w:eastAsia="黑体" w:cs="Times New Roman"/>
          <w:b w:val="0"/>
          <w:color w:val="auto"/>
          <w:sz w:val="24"/>
          <w:szCs w:val="24"/>
          <w:highlight w:val="none"/>
        </w:rPr>
        <w:t>1.5合同协议书</w:t>
      </w:r>
      <w:bookmarkEnd w:id="1058"/>
      <w:bookmarkEnd w:id="1059"/>
      <w:bookmarkEnd w:id="1060"/>
      <w:bookmarkEnd w:id="1061"/>
    </w:p>
    <w:p w14:paraId="0994986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563F818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制备本合同文件的费用由发包人承担。在合同协议书签订并生效之前，投标函和中标通知书将对双方具有约束力。</w:t>
      </w:r>
    </w:p>
    <w:p w14:paraId="6035694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62" w:name="_Toc5981"/>
      <w:bookmarkStart w:id="1063" w:name="_Toc234833128"/>
      <w:bookmarkStart w:id="1064" w:name="_Toc2156"/>
      <w:bookmarkStart w:id="1065" w:name="_Toc21351"/>
      <w:r>
        <w:rPr>
          <w:rFonts w:hint="default" w:ascii="Times New Roman" w:hAnsi="Times New Roman" w:eastAsia="黑体" w:cs="Times New Roman"/>
          <w:b w:val="0"/>
          <w:color w:val="auto"/>
          <w:sz w:val="24"/>
          <w:szCs w:val="24"/>
          <w:highlight w:val="none"/>
        </w:rPr>
        <w:t>1.6图纸和承包人文件</w:t>
      </w:r>
      <w:bookmarkEnd w:id="1062"/>
      <w:bookmarkEnd w:id="1063"/>
      <w:bookmarkEnd w:id="1064"/>
      <w:bookmarkEnd w:id="1065"/>
    </w:p>
    <w:p w14:paraId="66E71F9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w:t>
      </w:r>
      <w:r>
        <w:rPr>
          <w:rFonts w:hint="default" w:ascii="Times New Roman" w:hAnsi="Times New Roman" w:eastAsia="黑体" w:cs="Times New Roman"/>
          <w:color w:val="auto"/>
          <w:sz w:val="24"/>
          <w:highlight w:val="none"/>
        </w:rPr>
        <w:t>图纸的提供</w:t>
      </w:r>
    </w:p>
    <w:p w14:paraId="7905021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624BCAC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F37D6F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1.6.2</w:t>
      </w:r>
      <w:r>
        <w:rPr>
          <w:rFonts w:hint="default" w:ascii="Times New Roman" w:hAnsi="Times New Roman" w:eastAsia="黑体" w:cs="Times New Roman"/>
          <w:color w:val="auto"/>
          <w:sz w:val="24"/>
          <w:highlight w:val="none"/>
        </w:rPr>
        <w:t>承包人提供的文件</w:t>
      </w:r>
    </w:p>
    <w:p w14:paraId="6384071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7E88A91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6114C80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（1）为使第1.6.1项所述的施工图纸适合于经施工测量后的纵、横断面；</w:t>
      </w:r>
    </w:p>
    <w:p w14:paraId="0414A832">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（2）为使第1.6.1项所述的施工图纸适合于现场具体地形；</w:t>
      </w:r>
    </w:p>
    <w:p w14:paraId="05751DF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（3）为使第1.6.1项所述的施工图纸适合于因尺寸与位置变化而引起局部变更；</w:t>
      </w:r>
    </w:p>
    <w:p w14:paraId="241268A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（4）由于合同要求与施工需要。</w:t>
      </w:r>
    </w:p>
    <w:p w14:paraId="0323715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0D8EFAE1">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w:t>
      </w:r>
      <w:r>
        <w:rPr>
          <w:rFonts w:hint="default" w:ascii="Times New Roman" w:hAnsi="Times New Roman" w:eastAsia="黑体" w:cs="Times New Roman"/>
          <w:color w:val="auto"/>
          <w:sz w:val="24"/>
          <w:highlight w:val="none"/>
        </w:rPr>
        <w:t>图纸的错误</w:t>
      </w:r>
    </w:p>
    <w:p w14:paraId="7C61956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5FF5814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3B65B53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66" w:name="_Toc23783"/>
      <w:bookmarkStart w:id="1067" w:name="_Toc29704"/>
      <w:bookmarkStart w:id="1068" w:name="_Toc5360"/>
      <w:bookmarkStart w:id="1069" w:name="_Toc234833129"/>
      <w:r>
        <w:rPr>
          <w:rFonts w:hint="default" w:ascii="Times New Roman" w:hAnsi="Times New Roman" w:eastAsia="黑体" w:cs="Times New Roman"/>
          <w:b w:val="0"/>
          <w:color w:val="auto"/>
          <w:sz w:val="24"/>
          <w:szCs w:val="24"/>
          <w:highlight w:val="none"/>
        </w:rPr>
        <w:t>1.9严禁贿赂</w:t>
      </w:r>
      <w:bookmarkEnd w:id="1066"/>
      <w:bookmarkEnd w:id="1067"/>
      <w:bookmarkEnd w:id="1068"/>
      <w:bookmarkEnd w:id="1069"/>
    </w:p>
    <w:p w14:paraId="30750DC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34C0485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0A4A18A">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70" w:name="_Toc234833130"/>
      <w:bookmarkStart w:id="1071" w:name="_Toc1766"/>
      <w:bookmarkStart w:id="1072" w:name="_Toc15632"/>
      <w:bookmarkStart w:id="1073" w:name="_Toc3220"/>
      <w:r>
        <w:rPr>
          <w:rFonts w:hint="default" w:ascii="Times New Roman" w:hAnsi="Times New Roman" w:eastAsia="黑体" w:cs="Times New Roman"/>
          <w:b w:val="0"/>
          <w:color w:val="auto"/>
          <w:sz w:val="28"/>
          <w:szCs w:val="28"/>
          <w:highlight w:val="none"/>
        </w:rPr>
        <w:t>2.发包人义务</w:t>
      </w:r>
      <w:bookmarkEnd w:id="1070"/>
      <w:bookmarkEnd w:id="1071"/>
      <w:bookmarkEnd w:id="1072"/>
      <w:bookmarkEnd w:id="1073"/>
    </w:p>
    <w:p w14:paraId="3B5F0B2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74" w:name="_Toc234833131"/>
      <w:bookmarkStart w:id="1075" w:name="_Toc14471"/>
      <w:bookmarkStart w:id="1076" w:name="_Toc27735"/>
      <w:bookmarkStart w:id="1077" w:name="_Toc21651"/>
      <w:r>
        <w:rPr>
          <w:rFonts w:hint="default" w:ascii="Times New Roman" w:hAnsi="Times New Roman" w:eastAsia="黑体" w:cs="Times New Roman"/>
          <w:b w:val="0"/>
          <w:color w:val="auto"/>
          <w:sz w:val="24"/>
          <w:szCs w:val="24"/>
          <w:highlight w:val="none"/>
        </w:rPr>
        <w:t>2.3提供施工场地</w:t>
      </w:r>
      <w:bookmarkEnd w:id="1074"/>
      <w:bookmarkEnd w:id="1075"/>
      <w:bookmarkEnd w:id="1076"/>
      <w:bookmarkEnd w:id="1077"/>
    </w:p>
    <w:p w14:paraId="0A908C8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6296E89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5EBDCC54">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4F8458C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78" w:name="_Toc18127"/>
      <w:bookmarkStart w:id="1079" w:name="_Toc18195"/>
      <w:bookmarkStart w:id="1080" w:name="_Toc25338"/>
      <w:bookmarkStart w:id="1081" w:name="_Toc234833132"/>
      <w:r>
        <w:rPr>
          <w:rFonts w:hint="default" w:ascii="Times New Roman" w:hAnsi="Times New Roman" w:eastAsia="黑体" w:cs="Times New Roman"/>
          <w:b w:val="0"/>
          <w:color w:val="auto"/>
          <w:sz w:val="28"/>
          <w:szCs w:val="28"/>
          <w:highlight w:val="none"/>
        </w:rPr>
        <w:t>3.监理人</w:t>
      </w:r>
      <w:bookmarkEnd w:id="1078"/>
      <w:bookmarkEnd w:id="1079"/>
      <w:bookmarkEnd w:id="1080"/>
      <w:bookmarkEnd w:id="1081"/>
    </w:p>
    <w:p w14:paraId="38745D38">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082" w:name="_Toc10320"/>
      <w:bookmarkStart w:id="1083" w:name="_Toc31502"/>
      <w:bookmarkStart w:id="1084" w:name="_Toc19048"/>
      <w:bookmarkStart w:id="1085" w:name="_Toc234833133"/>
      <w:r>
        <w:rPr>
          <w:rFonts w:hint="default" w:ascii="Times New Roman" w:hAnsi="Times New Roman" w:eastAsia="黑体" w:cs="Times New Roman"/>
          <w:b w:val="0"/>
          <w:color w:val="auto"/>
          <w:sz w:val="24"/>
          <w:szCs w:val="24"/>
          <w:highlight w:val="none"/>
        </w:rPr>
        <w:t>3.1监理人的职责和权力</w:t>
      </w:r>
      <w:bookmarkEnd w:id="1082"/>
      <w:bookmarkEnd w:id="1083"/>
      <w:bookmarkEnd w:id="1084"/>
      <w:bookmarkEnd w:id="1085"/>
    </w:p>
    <w:p w14:paraId="2E455F4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第3.1.1项补充：</w:t>
      </w:r>
    </w:p>
    <w:p w14:paraId="63745B4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监理人在行使下列权力前需要经发包人事先批准：</w:t>
      </w:r>
    </w:p>
    <w:p w14:paraId="291CCEB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（1）根据第4.3款，同意分包本工程的某些非关键性工作或者适合专业化队伍施工的专项工程；</w:t>
      </w:r>
    </w:p>
    <w:p w14:paraId="013B25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（2）确定第4.11款下产生的费用增加额；</w:t>
      </w:r>
    </w:p>
    <w:p w14:paraId="603F9B1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（3）根据第11.1款、第12.3款、第12.4款发布开工通知、暂停施工指示或复工通知；</w:t>
      </w:r>
    </w:p>
    <w:p w14:paraId="66654D4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（4）决定第11.3款、第11.4款下的工期延长；</w:t>
      </w:r>
    </w:p>
    <w:p w14:paraId="307534C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（5）审查批准技术方案或设计的变更；</w:t>
      </w:r>
    </w:p>
    <w:p w14:paraId="5AFA0BC5">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（6）根据第15.3款发出的变更指示，其单项工程变更或累计变更涉及的金额超过了项目专用合同条款数据表中规定的金额；</w:t>
      </w:r>
    </w:p>
    <w:p w14:paraId="4AA14D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（7）确定第15.4款下变更工作的单价；</w:t>
      </w:r>
    </w:p>
    <w:p w14:paraId="09BF96D1">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（8）按照第15.6款决定有关暂列金额的使用；</w:t>
      </w:r>
    </w:p>
    <w:p w14:paraId="5EAFB2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（9）确定第15.8款下的暂估价金额；</w:t>
      </w:r>
    </w:p>
    <w:p w14:paraId="1896FF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（10）确定第23.1款下的索赔额。</w:t>
      </w:r>
    </w:p>
    <w:p w14:paraId="02606340">
      <w:pPr>
        <w:pageBreakBefore w:val="0"/>
        <w:kinsoku/>
        <w:wordWrap w:val="0"/>
        <w:bidi w:val="0"/>
        <w:spacing w:line="440" w:lineRule="exac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534396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86" w:name="_Toc11325"/>
      <w:bookmarkStart w:id="1087" w:name="_Toc24088"/>
      <w:bookmarkStart w:id="1088" w:name="_Toc234833134"/>
      <w:bookmarkStart w:id="1089" w:name="_Toc22142"/>
      <w:r>
        <w:rPr>
          <w:rFonts w:hint="default" w:ascii="Times New Roman" w:hAnsi="Times New Roman" w:eastAsia="黑体" w:cs="Times New Roman"/>
          <w:b w:val="0"/>
          <w:color w:val="auto"/>
          <w:sz w:val="24"/>
          <w:szCs w:val="24"/>
          <w:highlight w:val="none"/>
        </w:rPr>
        <w:t>3.5商定或确定</w:t>
      </w:r>
      <w:bookmarkEnd w:id="1086"/>
      <w:bookmarkEnd w:id="1087"/>
      <w:bookmarkEnd w:id="1088"/>
      <w:bookmarkEnd w:id="1089"/>
    </w:p>
    <w:p w14:paraId="4F4322F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第3.5.1项补充：</w:t>
      </w:r>
    </w:p>
    <w:p w14:paraId="0D7EB21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如果这项商定或确定导致费用增加和（或）工期延长，或者涉及确定变更工程的价格，则总监理工程师在发出通知前，应征得发包人的同意。</w:t>
      </w:r>
    </w:p>
    <w:p w14:paraId="3E144ABC">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090" w:name="_Toc11613"/>
      <w:bookmarkStart w:id="1091" w:name="_Toc9107"/>
      <w:bookmarkStart w:id="1092" w:name="_Toc32621"/>
      <w:bookmarkStart w:id="1093" w:name="_Toc234833135"/>
      <w:r>
        <w:rPr>
          <w:rFonts w:hint="default" w:ascii="Times New Roman" w:hAnsi="Times New Roman" w:eastAsia="黑体" w:cs="Times New Roman"/>
          <w:b w:val="0"/>
          <w:color w:val="auto"/>
          <w:sz w:val="28"/>
          <w:szCs w:val="28"/>
          <w:highlight w:val="none"/>
        </w:rPr>
        <w:t>4.承包人</w:t>
      </w:r>
      <w:bookmarkEnd w:id="1090"/>
      <w:bookmarkEnd w:id="1091"/>
      <w:bookmarkEnd w:id="1092"/>
      <w:bookmarkEnd w:id="1093"/>
    </w:p>
    <w:p w14:paraId="16C0CD8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94" w:name="_Toc9712"/>
      <w:bookmarkStart w:id="1095" w:name="_Toc10533"/>
      <w:bookmarkStart w:id="1096" w:name="_Toc1637"/>
      <w:bookmarkStart w:id="1097" w:name="_Toc234833136"/>
      <w:r>
        <w:rPr>
          <w:rFonts w:hint="default" w:ascii="Times New Roman" w:hAnsi="Times New Roman" w:eastAsia="黑体" w:cs="Times New Roman"/>
          <w:b w:val="0"/>
          <w:color w:val="auto"/>
          <w:sz w:val="24"/>
          <w:szCs w:val="24"/>
          <w:highlight w:val="none"/>
        </w:rPr>
        <w:t>4.1承包人的一般义务</w:t>
      </w:r>
      <w:bookmarkEnd w:id="1094"/>
      <w:bookmarkEnd w:id="1095"/>
      <w:bookmarkEnd w:id="1096"/>
      <w:bookmarkEnd w:id="1097"/>
    </w:p>
    <w:p w14:paraId="53532D38">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4.1.9</w:t>
      </w:r>
      <w:r>
        <w:rPr>
          <w:rFonts w:hint="default" w:ascii="Times New Roman" w:hAnsi="Times New Roman" w:eastAsia="黑体" w:cs="Times New Roman"/>
          <w:color w:val="auto"/>
          <w:sz w:val="24"/>
          <w:highlight w:val="none"/>
        </w:rPr>
        <w:t>工程的维护和照管</w:t>
      </w:r>
    </w:p>
    <w:p w14:paraId="634FABD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2DDEBDA0">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A17A23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3436AE54">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4.1.10</w:t>
      </w:r>
      <w:r>
        <w:rPr>
          <w:rFonts w:hint="default" w:ascii="Times New Roman" w:hAnsi="Times New Roman" w:eastAsia="黑体" w:cs="Times New Roman"/>
          <w:color w:val="auto"/>
          <w:sz w:val="24"/>
          <w:highlight w:val="none"/>
        </w:rPr>
        <w:t>其他义务</w:t>
      </w:r>
    </w:p>
    <w:p w14:paraId="07D2EE27">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13886BF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（1）临时占地由承包人向当地政府土地管理部门申请，并办理租用手续，承包人按有关规定直接支付其费用，发包人对此将予以协调。</w:t>
      </w:r>
    </w:p>
    <w:p w14:paraId="4297340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临时占地计划表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6AADAEA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115FDB1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C3D606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25EE3BD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包工头</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或其他不具备用工主体资格的组织和个人。</w:t>
      </w:r>
    </w:p>
    <w:p w14:paraId="6F297F3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工资支付表应如实记录支付单位、支付时间、支付对象、支付数额、支付对象的身份证号和签字等信息。民工花名册和工资支付表应报监理人备查。</w:t>
      </w:r>
    </w:p>
    <w:p w14:paraId="6E918268">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（4）承包人应分解工程价款中的人工费用，在工程项目所在地银行开设</w:t>
      </w:r>
      <w:r>
        <w:rPr>
          <w:rFonts w:hint="eastAsia" w:cs="Times New Roman"/>
          <w:color w:val="auto"/>
          <w:sz w:val="24"/>
          <w:highlight w:val="none"/>
          <w:lang w:val="en-US" w:eastAsia="zh-CN"/>
        </w:rPr>
        <w:t>农</w:t>
      </w:r>
      <w:r>
        <w:rPr>
          <w:rFonts w:hint="default" w:ascii="Times New Roman" w:hAnsi="Times New Roman" w:cs="Times New Roman"/>
          <w:color w:val="auto"/>
          <w:sz w:val="24"/>
          <w:highlight w:val="none"/>
        </w:rPr>
        <w:t>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04E29FA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10BCA0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（6）承包人应履行项目专用合同条款约定的其他义务。</w:t>
      </w:r>
    </w:p>
    <w:p w14:paraId="5C89618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098" w:name="_Toc19692"/>
      <w:bookmarkStart w:id="1099" w:name="_Toc16581"/>
      <w:bookmarkStart w:id="1100" w:name="_Toc29645"/>
      <w:bookmarkStart w:id="1101" w:name="_Toc234833137"/>
      <w:r>
        <w:rPr>
          <w:rFonts w:hint="default" w:ascii="Times New Roman" w:hAnsi="Times New Roman" w:eastAsia="黑体" w:cs="Times New Roman"/>
          <w:b w:val="0"/>
          <w:color w:val="auto"/>
          <w:sz w:val="24"/>
          <w:szCs w:val="24"/>
          <w:highlight w:val="none"/>
        </w:rPr>
        <w:t>4.2履约保证金</w:t>
      </w:r>
      <w:bookmarkEnd w:id="1098"/>
      <w:bookmarkEnd w:id="1099"/>
      <w:bookmarkEnd w:id="1100"/>
    </w:p>
    <w:p w14:paraId="217B572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54B27E9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7C65B92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2FC7C5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02" w:name="_Toc1237"/>
      <w:bookmarkStart w:id="1103" w:name="_Toc25400"/>
      <w:bookmarkStart w:id="1104" w:name="_Toc32680"/>
      <w:r>
        <w:rPr>
          <w:rFonts w:hint="default" w:ascii="Times New Roman" w:hAnsi="Times New Roman" w:eastAsia="黑体" w:cs="Times New Roman"/>
          <w:b w:val="0"/>
          <w:color w:val="auto"/>
          <w:sz w:val="24"/>
          <w:szCs w:val="24"/>
          <w:highlight w:val="none"/>
        </w:rPr>
        <w:t>4.3分包</w:t>
      </w:r>
      <w:bookmarkEnd w:id="1101"/>
      <w:bookmarkEnd w:id="1102"/>
      <w:bookmarkEnd w:id="1103"/>
      <w:bookmarkEnd w:id="1104"/>
    </w:p>
    <w:p w14:paraId="1379EFF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第4.3.2项～第4.3.4项细化为：</w:t>
      </w:r>
    </w:p>
    <w:p w14:paraId="0E6EC7D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4.3.2承包人不得将《辽宁省公路工程施工分包管理实施细则》（辽交公路规〔2025〕1号）规定的负面清单所列主体和关键性工作分包给第三人。经发包人同意，承包人可将工程的其他部分或工作分包给第三人。分包包括专业分包和劳务分包。</w:t>
      </w:r>
    </w:p>
    <w:p w14:paraId="2790C63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4.3.3专业分包</w:t>
      </w:r>
    </w:p>
    <w:p w14:paraId="64E31CB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在工程施工过程中，承包人进行专业分包必须遵守以下规定：</w:t>
      </w:r>
    </w:p>
    <w:p w14:paraId="4A218A6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（1）允许专业分包的工程范围仅限于《辽宁省公路工程施工分包管理实施细则》（辽交公路规〔2025〕1号）</w:t>
      </w:r>
      <w:r>
        <w:rPr>
          <w:rFonts w:hint="eastAsia" w:cs="Times New Roman"/>
          <w:color w:val="auto"/>
          <w:sz w:val="24"/>
          <w:highlight w:val="none"/>
          <w:lang w:val="en-US" w:eastAsia="zh-CN"/>
        </w:rPr>
        <w:t>规定的负面清单以外的部分单位工程、分部工程或者分项工程</w:t>
      </w:r>
      <w:r>
        <w:rPr>
          <w:rFonts w:hint="default" w:ascii="Times New Roman" w:hAnsi="Times New Roman" w:cs="Times New Roman"/>
          <w:color w:val="auto"/>
          <w:sz w:val="24"/>
          <w:highlight w:val="none"/>
        </w:rPr>
        <w:t>。</w:t>
      </w:r>
    </w:p>
    <w:p w14:paraId="175ADE6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（2）专业分包人的资格能力（含安全生产能力）应与其分包工程的标准和规模相适应，且应当具备如下条件：</w:t>
      </w:r>
    </w:p>
    <w:p w14:paraId="5D7E83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a.具有经依法登记的法人资格；</w:t>
      </w:r>
    </w:p>
    <w:p w14:paraId="5F6707E2">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b.具有从事类似工程经验的管理与技术人员；</w:t>
      </w:r>
    </w:p>
    <w:p w14:paraId="2130C8BD">
      <w:pPr>
        <w:pageBreakBefore w:val="0"/>
        <w:kinsoku/>
        <w:wordWrap w:val="0"/>
        <w:bidi w:val="0"/>
        <w:spacing w:line="400" w:lineRule="atLeast"/>
        <w:ind w:firstLine="480" w:firstLineChars="200"/>
        <w:outlineLvl w:val="9"/>
        <w:rPr>
          <w:rFonts w:hint="eastAsia" w:cs="Times New Roman"/>
          <w:color w:val="auto"/>
          <w:sz w:val="24"/>
          <w:highlight w:val="none"/>
          <w:lang w:eastAsia="zh-CN"/>
        </w:rPr>
      </w:pPr>
      <w:r>
        <w:rPr>
          <w:rFonts w:hint="default" w:ascii="Times New Roman" w:hAnsi="Times New Roman" w:cs="Times New Roman"/>
          <w:color w:val="auto"/>
          <w:sz w:val="24"/>
          <w:highlight w:val="none"/>
        </w:rPr>
        <w:t>c.具有（自有或者租赁）分包工程所需的施工设备和辅助设施</w:t>
      </w:r>
      <w:r>
        <w:rPr>
          <w:rFonts w:hint="eastAsia" w:cs="Times New Roman"/>
          <w:color w:val="auto"/>
          <w:sz w:val="24"/>
          <w:highlight w:val="none"/>
          <w:lang w:eastAsia="zh-CN"/>
        </w:rPr>
        <w:t>；</w:t>
      </w:r>
    </w:p>
    <w:p w14:paraId="2370EE7B">
      <w:pPr>
        <w:pageBreakBefore w:val="0"/>
        <w:kinsoku/>
        <w:wordWrap w:val="0"/>
        <w:bidi w:val="0"/>
        <w:spacing w:line="400" w:lineRule="atLeast"/>
        <w:ind w:firstLine="480" w:firstLineChars="200"/>
        <w:outlineLvl w:val="9"/>
        <w:rPr>
          <w:rFonts w:hint="eastAsia" w:cs="Times New Roman"/>
          <w:color w:val="auto"/>
          <w:sz w:val="24"/>
          <w:highlight w:val="none"/>
          <w:lang w:val="en-US" w:eastAsia="zh-CN"/>
        </w:rPr>
      </w:pPr>
      <w:r>
        <w:rPr>
          <w:rFonts w:hint="eastAsia" w:cs="Times New Roman"/>
          <w:color w:val="auto"/>
          <w:sz w:val="24"/>
          <w:highlight w:val="none"/>
          <w:lang w:val="en-US" w:eastAsia="zh-CN"/>
        </w:rPr>
        <w:t>d.单位工程设有资质要求的，单位工程及所含分部工程、分项工程的分包人，应当具备国家规定的相应专业承包资质条件;</w:t>
      </w:r>
    </w:p>
    <w:p w14:paraId="6F1160A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eastAsia" w:cs="Times New Roman"/>
          <w:color w:val="auto"/>
          <w:sz w:val="24"/>
          <w:highlight w:val="none"/>
          <w:lang w:val="en-US" w:eastAsia="zh-CN"/>
        </w:rPr>
        <w:t>e.其他单位工程及所含分部工程、分项工程的分包人，应当具备发包人确定的资格条件，但不得违反法律法规等相关规定</w:t>
      </w:r>
      <w:r>
        <w:rPr>
          <w:rFonts w:hint="default" w:ascii="Times New Roman" w:hAnsi="Times New Roman" w:cs="Times New Roman"/>
          <w:color w:val="auto"/>
          <w:sz w:val="24"/>
          <w:highlight w:val="none"/>
        </w:rPr>
        <w:t>。</w:t>
      </w:r>
    </w:p>
    <w:p w14:paraId="1AB153E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承包人应向监理人提交专业分包人的资格能力证明材料，经监理人审查并报发包人批准后，可以将相应专业工程分包给该专业分包人。</w:t>
      </w:r>
    </w:p>
    <w:p w14:paraId="233343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（3）专业分包工程不得再次分包。</w:t>
      </w:r>
    </w:p>
    <w:p w14:paraId="3B3D629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431D2E9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7BE1190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3CF9355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644C43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7EEC813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违反上述规定之一者属违规分包。</w:t>
      </w:r>
    </w:p>
    <w:p w14:paraId="3FCF6E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4.3.4劳务分包</w:t>
      </w:r>
    </w:p>
    <w:p w14:paraId="6FB7D8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在工程施工过程中，承包人进行劳务分包必须遵守以下规定：</w:t>
      </w:r>
    </w:p>
    <w:p w14:paraId="76593CB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（1）劳务分包人应具有施工劳务资质。</w:t>
      </w:r>
    </w:p>
    <w:p w14:paraId="20B06BC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4D6641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DB13F1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（4）承包人应当对劳务分包人员进行安全培训和管理，劳务分包人不得将其分包的劳务作业再次分包。</w:t>
      </w:r>
    </w:p>
    <w:p w14:paraId="232CA5A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违反上述规定之一者属违规分包。</w:t>
      </w:r>
    </w:p>
    <w:p w14:paraId="750F43B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本款补充第4.3.6项、第4.3.7项：</w:t>
      </w:r>
    </w:p>
    <w:p w14:paraId="45CC17A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4.3.6发包人对承包人与分包人之间的法律与经济纠纷不承担任何责任和义务。</w:t>
      </w:r>
    </w:p>
    <w:p w14:paraId="52F18E4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4.3.7本项目的各项分包工作均应遵守《公路工程施工分包管理办法》的有关规定。</w:t>
      </w:r>
    </w:p>
    <w:p w14:paraId="4542A2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05" w:name="_Toc29289"/>
      <w:bookmarkStart w:id="1106" w:name="_Toc29009"/>
      <w:bookmarkStart w:id="1107" w:name="_Toc234833138"/>
      <w:bookmarkStart w:id="1108" w:name="_Toc32168"/>
      <w:r>
        <w:rPr>
          <w:rFonts w:hint="default" w:ascii="Times New Roman" w:hAnsi="Times New Roman" w:eastAsia="黑体" w:cs="Times New Roman"/>
          <w:b w:val="0"/>
          <w:color w:val="auto"/>
          <w:sz w:val="24"/>
          <w:szCs w:val="24"/>
          <w:highlight w:val="none"/>
        </w:rPr>
        <w:t>4.4联合体</w:t>
      </w:r>
      <w:bookmarkEnd w:id="1105"/>
      <w:bookmarkEnd w:id="1106"/>
      <w:bookmarkEnd w:id="1107"/>
      <w:bookmarkEnd w:id="1108"/>
    </w:p>
    <w:p w14:paraId="35BDA53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本款补充第4.4.4项：</w:t>
      </w:r>
    </w:p>
    <w:p w14:paraId="40E504B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4.4.4未经发包人事先同意，联合体的组成与结构不得变动。</w:t>
      </w:r>
    </w:p>
    <w:p w14:paraId="7D0534E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09" w:name="_Toc12253"/>
      <w:bookmarkStart w:id="1110" w:name="_Toc13104"/>
      <w:bookmarkStart w:id="1111" w:name="_Toc2858"/>
      <w:bookmarkStart w:id="1112" w:name="_Toc234833139"/>
      <w:r>
        <w:rPr>
          <w:rFonts w:hint="default" w:ascii="Times New Roman" w:hAnsi="Times New Roman" w:eastAsia="黑体" w:cs="Times New Roman"/>
          <w:b w:val="0"/>
          <w:color w:val="auto"/>
          <w:sz w:val="24"/>
          <w:szCs w:val="24"/>
          <w:highlight w:val="none"/>
        </w:rPr>
        <w:t>4.6承包人人员的管理</w:t>
      </w:r>
      <w:bookmarkEnd w:id="1109"/>
      <w:bookmarkEnd w:id="1110"/>
      <w:bookmarkEnd w:id="1111"/>
      <w:bookmarkEnd w:id="1112"/>
    </w:p>
    <w:p w14:paraId="192634E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第4.6.3项细化为：</w:t>
      </w:r>
    </w:p>
    <w:p w14:paraId="750FB50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3B2FBD1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本款补充第4.6.5项：</w:t>
      </w:r>
    </w:p>
    <w:p w14:paraId="0FBA0A6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75714CE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13" w:name="_Toc234833140"/>
      <w:bookmarkStart w:id="1114" w:name="_Toc3046"/>
      <w:bookmarkStart w:id="1115" w:name="_Toc16403"/>
      <w:bookmarkStart w:id="1116" w:name="_Toc20923"/>
      <w:r>
        <w:rPr>
          <w:rFonts w:hint="default" w:ascii="Times New Roman" w:hAnsi="Times New Roman" w:eastAsia="黑体" w:cs="Times New Roman"/>
          <w:b w:val="0"/>
          <w:color w:val="auto"/>
          <w:sz w:val="24"/>
          <w:szCs w:val="24"/>
          <w:highlight w:val="none"/>
        </w:rPr>
        <w:t>4.7撤换承包人项目经理和其他人员</w:t>
      </w:r>
      <w:bookmarkEnd w:id="1113"/>
      <w:bookmarkEnd w:id="1114"/>
      <w:bookmarkEnd w:id="1115"/>
      <w:bookmarkEnd w:id="1116"/>
    </w:p>
    <w:p w14:paraId="77ED67A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583D1B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354A34F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17" w:name="_Toc234833141"/>
      <w:bookmarkStart w:id="1118" w:name="_Toc4005"/>
      <w:bookmarkStart w:id="1119" w:name="_Toc6730"/>
      <w:bookmarkStart w:id="1120" w:name="_Toc22693"/>
      <w:r>
        <w:rPr>
          <w:rFonts w:hint="default" w:ascii="Times New Roman" w:hAnsi="Times New Roman" w:eastAsia="黑体" w:cs="Times New Roman"/>
          <w:b w:val="0"/>
          <w:color w:val="auto"/>
          <w:sz w:val="24"/>
          <w:szCs w:val="24"/>
          <w:highlight w:val="none"/>
        </w:rPr>
        <w:t>4.9工程价款应专款专用</w:t>
      </w:r>
      <w:bookmarkEnd w:id="1117"/>
      <w:bookmarkEnd w:id="1118"/>
      <w:bookmarkEnd w:id="1119"/>
      <w:bookmarkEnd w:id="1120"/>
    </w:p>
    <w:p w14:paraId="3997FC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53625A4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w:t>
      </w:r>
      <w:r>
        <w:rPr>
          <w:rFonts w:hint="eastAsia" w:cs="Times New Roman"/>
          <w:color w:val="auto"/>
          <w:sz w:val="24"/>
          <w:highlight w:val="none"/>
          <w:lang w:val="en-US" w:eastAsia="zh-CN"/>
        </w:rPr>
        <w:t>当</w:t>
      </w:r>
      <w:r>
        <w:rPr>
          <w:rFonts w:hint="default" w:ascii="Times New Roman" w:hAnsi="Times New Roman" w:cs="Times New Roman"/>
          <w:color w:val="auto"/>
          <w:sz w:val="24"/>
          <w:highlight w:val="none"/>
        </w:rPr>
        <w:t>月支付，直至承包人改正为止。</w:t>
      </w:r>
    </w:p>
    <w:p w14:paraId="326FAFB6">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121" w:name="_Toc14913"/>
      <w:bookmarkStart w:id="1122" w:name="_Toc234833142"/>
      <w:bookmarkStart w:id="1123" w:name="_Toc2824"/>
      <w:bookmarkStart w:id="1124" w:name="_Toc5299"/>
      <w:r>
        <w:rPr>
          <w:rFonts w:hint="default" w:ascii="Times New Roman" w:hAnsi="Times New Roman" w:eastAsia="黑体" w:cs="Times New Roman"/>
          <w:b w:val="0"/>
          <w:color w:val="auto"/>
          <w:sz w:val="24"/>
          <w:szCs w:val="24"/>
          <w:highlight w:val="none"/>
        </w:rPr>
        <w:t>4.10承包人现场查勘</w:t>
      </w:r>
      <w:bookmarkEnd w:id="1121"/>
      <w:bookmarkEnd w:id="1122"/>
      <w:bookmarkEnd w:id="1123"/>
      <w:bookmarkEnd w:id="1124"/>
    </w:p>
    <w:p w14:paraId="526D299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第4.10.1项细化为：</w:t>
      </w:r>
      <w:r>
        <w:rPr>
          <w:rStyle w:val="48"/>
          <w:rFonts w:hint="default" w:ascii="Times New Roman" w:hAnsi="Times New Roman" w:cs="Times New Roman"/>
          <w:color w:val="auto"/>
          <w:sz w:val="24"/>
          <w:highlight w:val="none"/>
        </w:rPr>
        <w:footnoteReference w:id="32"/>
      </w:r>
    </w:p>
    <w:p w14:paraId="06CFEB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E249F1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25" w:name="_Toc29737"/>
      <w:bookmarkStart w:id="1126" w:name="_Toc234833143"/>
      <w:bookmarkStart w:id="1127" w:name="_Toc26327"/>
      <w:bookmarkStart w:id="1128" w:name="_Toc15362"/>
      <w:r>
        <w:rPr>
          <w:rFonts w:hint="default" w:ascii="Times New Roman" w:hAnsi="Times New Roman" w:eastAsia="黑体" w:cs="Times New Roman"/>
          <w:b w:val="0"/>
          <w:color w:val="auto"/>
          <w:sz w:val="24"/>
          <w:szCs w:val="24"/>
          <w:highlight w:val="none"/>
        </w:rPr>
        <w:t>4.11不利物质条件</w:t>
      </w:r>
      <w:bookmarkEnd w:id="1125"/>
      <w:bookmarkEnd w:id="1126"/>
      <w:bookmarkEnd w:id="1127"/>
      <w:bookmarkEnd w:id="1128"/>
    </w:p>
    <w:p w14:paraId="059164E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第4.11.2项细化为：</w:t>
      </w:r>
    </w:p>
    <w:p w14:paraId="26D980F7">
      <w:pPr>
        <w:pageBreakBefore w:val="0"/>
        <w:kinsoku/>
        <w:wordWrap w:val="0"/>
        <w:bidi w:val="0"/>
        <w:spacing w:line="400" w:lineRule="atLeast"/>
        <w:ind w:firstLine="420"/>
        <w:outlineLvl w:val="9"/>
        <w:rPr>
          <w:rFonts w:hint="default" w:ascii="Times New Roman" w:hAnsi="Times New Roman" w:cs="Times New Roman"/>
          <w:iCs/>
          <w:color w:val="auto"/>
          <w:sz w:val="24"/>
          <w:highlight w:val="none"/>
        </w:rPr>
      </w:pPr>
      <w:r>
        <w:rPr>
          <w:rFonts w:hint="default" w:ascii="Times New Roman" w:hAnsi="Times New Roman" w:cs="Times New Roman"/>
          <w:iCs/>
          <w:color w:val="auto"/>
          <w:sz w:val="24"/>
          <w:highlight w:val="none"/>
        </w:rPr>
        <w:t>4.11.2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258EA714">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本款补充第4.11.3项：</w:t>
      </w:r>
    </w:p>
    <w:p w14:paraId="7C298A0C">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4.11.3可预见的不利物质条件</w:t>
      </w:r>
    </w:p>
    <w:p w14:paraId="4E283EED">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20158CB0">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0EA4AD0E">
      <w:pPr>
        <w:pageBreakBefore w:val="0"/>
        <w:kinsoku/>
        <w:wordWrap w:val="0"/>
        <w:bidi w:val="0"/>
        <w:spacing w:line="400" w:lineRule="atLeast"/>
        <w:outlineLvl w:val="9"/>
        <w:rPr>
          <w:rFonts w:hint="default" w:ascii="Times New Roman" w:hAnsi="Times New Roman" w:cs="Times New Roman"/>
          <w:color w:val="auto"/>
          <w:sz w:val="24"/>
          <w:highlight w:val="none"/>
        </w:rPr>
      </w:pPr>
    </w:p>
    <w:p w14:paraId="79D7F8F6">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补充第4.12款、第4.13款：</w:t>
      </w:r>
    </w:p>
    <w:p w14:paraId="6E2FF07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29" w:name="_Toc30842"/>
      <w:bookmarkStart w:id="1130" w:name="_Toc13171"/>
      <w:bookmarkStart w:id="1131" w:name="_Toc4142"/>
      <w:bookmarkStart w:id="1132" w:name="_Toc234833144"/>
      <w:r>
        <w:rPr>
          <w:rFonts w:hint="default" w:ascii="Times New Roman" w:hAnsi="Times New Roman" w:eastAsia="黑体" w:cs="Times New Roman"/>
          <w:b w:val="0"/>
          <w:color w:val="auto"/>
          <w:sz w:val="24"/>
          <w:szCs w:val="24"/>
          <w:highlight w:val="none"/>
        </w:rPr>
        <w:t>4.12投标文件的完备性</w:t>
      </w:r>
      <w:bookmarkEnd w:id="1129"/>
      <w:bookmarkEnd w:id="1130"/>
      <w:bookmarkEnd w:id="1131"/>
      <w:bookmarkEnd w:id="1132"/>
    </w:p>
    <w:p w14:paraId="5520C2B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C70584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33" w:name="_Toc18033"/>
      <w:bookmarkStart w:id="1134" w:name="_Toc4019"/>
      <w:bookmarkStart w:id="1135" w:name="_Toc14467"/>
      <w:r>
        <w:rPr>
          <w:rFonts w:hint="default" w:ascii="Times New Roman" w:hAnsi="Times New Roman" w:eastAsia="黑体" w:cs="Times New Roman"/>
          <w:b w:val="0"/>
          <w:color w:val="auto"/>
          <w:sz w:val="24"/>
          <w:szCs w:val="24"/>
          <w:highlight w:val="none"/>
        </w:rPr>
        <w:t>4.13开展党建工作要求</w:t>
      </w:r>
      <w:bookmarkEnd w:id="1133"/>
      <w:bookmarkEnd w:id="1134"/>
      <w:bookmarkEnd w:id="1135"/>
    </w:p>
    <w:p w14:paraId="3CA3D3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11CBFD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7D0DB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36" w:name="_Toc21286"/>
      <w:bookmarkStart w:id="1137" w:name="_Toc29830"/>
      <w:bookmarkStart w:id="1138" w:name="_Toc26645"/>
      <w:bookmarkStart w:id="1139" w:name="_Toc234833145"/>
      <w:r>
        <w:rPr>
          <w:rFonts w:hint="default" w:ascii="Times New Roman" w:hAnsi="Times New Roman" w:eastAsia="黑体" w:cs="Times New Roman"/>
          <w:b w:val="0"/>
          <w:color w:val="auto"/>
          <w:sz w:val="28"/>
          <w:szCs w:val="28"/>
          <w:highlight w:val="none"/>
        </w:rPr>
        <w:t>5.材料和工程设备</w:t>
      </w:r>
      <w:bookmarkEnd w:id="1136"/>
      <w:bookmarkEnd w:id="1137"/>
      <w:bookmarkEnd w:id="1138"/>
      <w:bookmarkEnd w:id="1139"/>
    </w:p>
    <w:p w14:paraId="4CE40D9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40" w:name="_Toc25319"/>
      <w:bookmarkStart w:id="1141" w:name="_Toc234833146"/>
      <w:bookmarkStart w:id="1142" w:name="_Toc6846"/>
      <w:bookmarkStart w:id="1143" w:name="_Toc25834"/>
      <w:r>
        <w:rPr>
          <w:rFonts w:hint="default" w:ascii="Times New Roman" w:hAnsi="Times New Roman" w:eastAsia="黑体" w:cs="Times New Roman"/>
          <w:b w:val="0"/>
          <w:color w:val="auto"/>
          <w:sz w:val="24"/>
          <w:szCs w:val="24"/>
          <w:highlight w:val="none"/>
        </w:rPr>
        <w:t>5.2发包人提供的材料和工程设备</w:t>
      </w:r>
      <w:bookmarkEnd w:id="1140"/>
      <w:bookmarkEnd w:id="1141"/>
      <w:bookmarkEnd w:id="1142"/>
      <w:bookmarkEnd w:id="1143"/>
    </w:p>
    <w:p w14:paraId="5385FBD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第5.2.3项补充：</w:t>
      </w:r>
    </w:p>
    <w:p w14:paraId="40DA5B0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70A5F974">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1144" w:name="_Toc19827"/>
      <w:bookmarkStart w:id="1145" w:name="_Toc11578"/>
      <w:bookmarkStart w:id="1146" w:name="_Toc11315"/>
      <w:bookmarkStart w:id="1147" w:name="_Toc234833147"/>
      <w:r>
        <w:rPr>
          <w:rFonts w:hint="default" w:ascii="Times New Roman" w:hAnsi="Times New Roman" w:eastAsia="黑体" w:cs="Times New Roman"/>
          <w:b w:val="0"/>
          <w:color w:val="auto"/>
          <w:sz w:val="28"/>
          <w:szCs w:val="28"/>
          <w:highlight w:val="none"/>
        </w:rPr>
        <w:t>6.施工设备和临时设施</w:t>
      </w:r>
      <w:bookmarkEnd w:id="1144"/>
      <w:bookmarkEnd w:id="1145"/>
      <w:bookmarkEnd w:id="1146"/>
      <w:bookmarkEnd w:id="1147"/>
    </w:p>
    <w:p w14:paraId="25C31B7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48" w:name="_Toc24822"/>
      <w:bookmarkStart w:id="1149" w:name="_Toc26020"/>
      <w:bookmarkStart w:id="1150" w:name="_Toc234833148"/>
      <w:bookmarkStart w:id="1151" w:name="_Toc24564"/>
      <w:r>
        <w:rPr>
          <w:rFonts w:hint="default" w:ascii="Times New Roman" w:hAnsi="Times New Roman" w:eastAsia="黑体" w:cs="Times New Roman"/>
          <w:b w:val="0"/>
          <w:color w:val="auto"/>
          <w:sz w:val="24"/>
          <w:szCs w:val="24"/>
          <w:highlight w:val="none"/>
        </w:rPr>
        <w:t>6.1承包人提供的施工设备和临时设施</w:t>
      </w:r>
      <w:bookmarkEnd w:id="1148"/>
      <w:bookmarkEnd w:id="1149"/>
      <w:bookmarkEnd w:id="1150"/>
      <w:bookmarkEnd w:id="1151"/>
    </w:p>
    <w:p w14:paraId="4E8C389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第6.1.2项约定为：</w:t>
      </w:r>
    </w:p>
    <w:p w14:paraId="635552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承包人应自行承担修建临时设施的费用，需要临时占地的，应由承包人按第4.1.10项（1）目的规定办理。</w:t>
      </w:r>
    </w:p>
    <w:p w14:paraId="054E82A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52" w:name="_Toc15629"/>
      <w:bookmarkStart w:id="1153" w:name="_Toc234833149"/>
      <w:bookmarkStart w:id="1154" w:name="_Toc10697"/>
      <w:bookmarkStart w:id="1155" w:name="_Toc28402"/>
      <w:r>
        <w:rPr>
          <w:rFonts w:hint="default" w:ascii="Times New Roman" w:hAnsi="Times New Roman" w:eastAsia="黑体" w:cs="Times New Roman"/>
          <w:b w:val="0"/>
          <w:color w:val="auto"/>
          <w:sz w:val="24"/>
          <w:szCs w:val="24"/>
          <w:highlight w:val="none"/>
        </w:rPr>
        <w:t>6.3要求承包人增加或更换施工设备</w:t>
      </w:r>
      <w:bookmarkEnd w:id="1152"/>
      <w:bookmarkEnd w:id="1153"/>
      <w:bookmarkEnd w:id="1154"/>
      <w:bookmarkEnd w:id="1155"/>
    </w:p>
    <w:p w14:paraId="3B4ED6B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19B23A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承诺的施工设备必须按时到达现场，不得拖延、短缺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1C28FFE7">
      <w:pPr>
        <w:pageBreakBefore w:val="0"/>
        <w:kinsoku/>
        <w:wordWrap w:val="0"/>
        <w:bidi w:val="0"/>
        <w:spacing w:before="480" w:after="240" w:line="380" w:lineRule="atLeast"/>
        <w:outlineLvl w:val="9"/>
        <w:rPr>
          <w:rFonts w:hint="eastAsia" w:ascii="Times New Roman" w:hAnsi="Times New Roman" w:eastAsia="黑体" w:cs="Times New Roman"/>
          <w:b w:val="0"/>
          <w:color w:val="auto"/>
          <w:sz w:val="28"/>
          <w:szCs w:val="28"/>
          <w:highlight w:val="none"/>
          <w:lang w:eastAsia="zh-CN"/>
        </w:rPr>
      </w:pPr>
      <w:bookmarkStart w:id="1156" w:name="_Toc30626"/>
      <w:bookmarkStart w:id="1157" w:name="_Toc234833150"/>
      <w:bookmarkStart w:id="1158" w:name="_Toc31348"/>
      <w:bookmarkStart w:id="1159" w:name="_Toc28894"/>
      <w:r>
        <w:rPr>
          <w:rFonts w:hint="default" w:ascii="Times New Roman" w:hAnsi="Times New Roman" w:eastAsia="黑体" w:cs="Times New Roman"/>
          <w:b w:val="0"/>
          <w:color w:val="auto"/>
          <w:sz w:val="28"/>
          <w:szCs w:val="28"/>
          <w:highlight w:val="none"/>
        </w:rPr>
        <w:t>7.交通运输</w:t>
      </w:r>
      <w:bookmarkEnd w:id="1156"/>
      <w:bookmarkEnd w:id="1157"/>
      <w:bookmarkEnd w:id="1158"/>
      <w:bookmarkEnd w:id="1159"/>
    </w:p>
    <w:p w14:paraId="7C65AE7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60" w:name="_Toc23400"/>
      <w:bookmarkStart w:id="1161" w:name="_Toc3580"/>
      <w:bookmarkStart w:id="1162" w:name="_Toc24391"/>
      <w:bookmarkStart w:id="1163" w:name="_Toc234833151"/>
      <w:r>
        <w:rPr>
          <w:rFonts w:hint="default" w:ascii="Times New Roman" w:hAnsi="Times New Roman" w:eastAsia="黑体" w:cs="Times New Roman"/>
          <w:b w:val="0"/>
          <w:color w:val="auto"/>
          <w:sz w:val="24"/>
          <w:szCs w:val="24"/>
          <w:highlight w:val="none"/>
        </w:rPr>
        <w:t>7.1道路通行权和场外设施</w:t>
      </w:r>
      <w:bookmarkEnd w:id="1160"/>
      <w:bookmarkEnd w:id="1161"/>
      <w:bookmarkEnd w:id="1162"/>
      <w:bookmarkEnd w:id="1163"/>
    </w:p>
    <w:p w14:paraId="29690338">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0F1B45F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C72E8F8">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64" w:name="_Toc6333"/>
      <w:bookmarkStart w:id="1165" w:name="_Toc31528"/>
      <w:bookmarkStart w:id="1166" w:name="_Toc5379"/>
      <w:bookmarkStart w:id="1167" w:name="_Toc234833152"/>
      <w:r>
        <w:rPr>
          <w:rFonts w:hint="default" w:ascii="Times New Roman" w:hAnsi="Times New Roman" w:eastAsia="黑体" w:cs="Times New Roman"/>
          <w:b w:val="0"/>
          <w:color w:val="auto"/>
          <w:sz w:val="28"/>
          <w:szCs w:val="28"/>
          <w:highlight w:val="none"/>
        </w:rPr>
        <w:t>8.测量放线</w:t>
      </w:r>
      <w:bookmarkEnd w:id="1164"/>
      <w:bookmarkEnd w:id="1165"/>
      <w:bookmarkEnd w:id="1166"/>
      <w:bookmarkEnd w:id="1167"/>
    </w:p>
    <w:p w14:paraId="1CCE5AA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68" w:name="_Toc234833153"/>
      <w:bookmarkStart w:id="1169" w:name="_Toc26266"/>
      <w:bookmarkStart w:id="1170" w:name="_Toc6917"/>
      <w:bookmarkStart w:id="1171" w:name="_Toc26436"/>
      <w:r>
        <w:rPr>
          <w:rFonts w:hint="default" w:ascii="Times New Roman" w:hAnsi="Times New Roman" w:eastAsia="黑体" w:cs="Times New Roman"/>
          <w:b w:val="0"/>
          <w:color w:val="auto"/>
          <w:sz w:val="24"/>
          <w:szCs w:val="24"/>
          <w:highlight w:val="none"/>
        </w:rPr>
        <w:t>8.4监理人使用施工控制网</w:t>
      </w:r>
      <w:bookmarkEnd w:id="1168"/>
      <w:bookmarkEnd w:id="1169"/>
      <w:bookmarkEnd w:id="1170"/>
      <w:bookmarkEnd w:id="1171"/>
    </w:p>
    <w:p w14:paraId="63C6A07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r>
        <w:rPr>
          <w:rFonts w:hint="eastAsia" w:cs="Times New Roman"/>
          <w:color w:val="auto"/>
          <w:sz w:val="24"/>
          <w:highlight w:val="none"/>
          <w:lang w:val="en-US" w:eastAsia="zh-CN"/>
        </w:rPr>
        <w:t>如下</w:t>
      </w:r>
      <w:r>
        <w:rPr>
          <w:rFonts w:hint="default" w:ascii="Times New Roman" w:hAnsi="Times New Roman" w:cs="Times New Roman"/>
          <w:color w:val="auto"/>
          <w:sz w:val="24"/>
          <w:highlight w:val="none"/>
        </w:rPr>
        <w:t>：</w:t>
      </w:r>
    </w:p>
    <w:p w14:paraId="604C9D9B">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经监理人批准，其他相关承包人也可免费使用施工控制网。</w:t>
      </w:r>
    </w:p>
    <w:p w14:paraId="1C25E4D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72" w:name="_Toc22517"/>
      <w:bookmarkStart w:id="1173" w:name="_Toc13649"/>
      <w:bookmarkStart w:id="1174" w:name="_Toc234833154"/>
      <w:bookmarkStart w:id="1175" w:name="_Toc31525"/>
      <w:r>
        <w:rPr>
          <w:rFonts w:hint="default" w:ascii="Times New Roman" w:hAnsi="Times New Roman" w:eastAsia="黑体" w:cs="Times New Roman"/>
          <w:b w:val="0"/>
          <w:color w:val="auto"/>
          <w:sz w:val="28"/>
          <w:szCs w:val="28"/>
          <w:highlight w:val="none"/>
        </w:rPr>
        <w:t>9.施工安全、治安保卫和环境保护</w:t>
      </w:r>
      <w:bookmarkEnd w:id="1172"/>
      <w:bookmarkEnd w:id="1173"/>
      <w:bookmarkEnd w:id="1174"/>
      <w:bookmarkEnd w:id="1175"/>
    </w:p>
    <w:p w14:paraId="005BC02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76" w:name="_Toc15856"/>
      <w:bookmarkStart w:id="1177" w:name="_Toc22581"/>
      <w:bookmarkStart w:id="1178" w:name="_Toc12442"/>
      <w:bookmarkStart w:id="1179" w:name="_Toc234833155"/>
      <w:r>
        <w:rPr>
          <w:rFonts w:hint="default" w:ascii="Times New Roman" w:hAnsi="Times New Roman" w:eastAsia="黑体" w:cs="Times New Roman"/>
          <w:b w:val="0"/>
          <w:color w:val="auto"/>
          <w:sz w:val="24"/>
          <w:szCs w:val="24"/>
          <w:highlight w:val="none"/>
        </w:rPr>
        <w:t>9.2承包人的施工安全责任</w:t>
      </w:r>
      <w:bookmarkEnd w:id="1176"/>
      <w:bookmarkEnd w:id="1177"/>
      <w:bookmarkEnd w:id="1178"/>
      <w:bookmarkEnd w:id="1179"/>
    </w:p>
    <w:p w14:paraId="7FBBB31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第9.2.1项细化为：</w:t>
      </w:r>
    </w:p>
    <w:p w14:paraId="6D4AD93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10ABF1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96CFA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本项目需要编制专项施工方案的工程包括但不限于以下内容：</w:t>
      </w:r>
    </w:p>
    <w:p w14:paraId="04CD995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（1）不良地质条件下有潜在危险性的土方、石方开挖；</w:t>
      </w:r>
    </w:p>
    <w:p w14:paraId="42B713E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（2）滑坡和高边坡处理；</w:t>
      </w:r>
    </w:p>
    <w:p w14:paraId="7AFF59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（3）桩基础、挡墙基础、深水基础及围堰工程；</w:t>
      </w:r>
    </w:p>
    <w:p w14:paraId="619AD86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（4）桥梁工程中的梁、拱、柱等构件施工等；</w:t>
      </w:r>
    </w:p>
    <w:p w14:paraId="6202A7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（5）隧道工程中的不良地质隧道、高瓦斯隧道等；</w:t>
      </w:r>
    </w:p>
    <w:p w14:paraId="7A3842E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（6）水上工程中的打桩船作业、施工船作业、外海孤岛作业、边通航边施工作业等；</w:t>
      </w:r>
    </w:p>
    <w:p w14:paraId="48F5BB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（7）水下工程中的水下焊接、混凝土浇筑、爆破工程等；</w:t>
      </w:r>
    </w:p>
    <w:p w14:paraId="7B2C7A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（8）爆破工程；</w:t>
      </w:r>
    </w:p>
    <w:p w14:paraId="5581C21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（9）大型临时工程中的大型支架、模板、便桥的架设与拆除；桥梁、码头的加固与拆除；</w:t>
      </w:r>
    </w:p>
    <w:p w14:paraId="5BE9BEF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（10）其他危险性较大的工程。</w:t>
      </w:r>
    </w:p>
    <w:p w14:paraId="16E614F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监理人和发包人在检查中发现有安全问题或有违反安全管理规章制度的情况时，可视为承包人违约，应按第22.1款的规定办理。</w:t>
      </w:r>
    </w:p>
    <w:p w14:paraId="14E17145">
      <w:pPr>
        <w:pageBreakBefore w:val="0"/>
        <w:kinsoku/>
        <w:wordWrap w:val="0"/>
        <w:bidi w:val="0"/>
        <w:spacing w:line="440" w:lineRule="exac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第9.2.5项细化为：</w:t>
      </w:r>
    </w:p>
    <w:p w14:paraId="1BE5A0BF">
      <w:pPr>
        <w:pageBreakBefore w:val="0"/>
        <w:kinsoku/>
        <w:wordWrap w:val="0"/>
        <w:bidi w:val="0"/>
        <w:spacing w:line="440" w:lineRule="exac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5A1F34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本款补充第9.2.8项~第9.2.11项：</w:t>
      </w:r>
    </w:p>
    <w:p w14:paraId="527370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9.2.8承包人应充分关注和保障所有在现场工作的人员的安全，采取以下有效措施，使现场和本合同工程的实施保持有条不紊，以免使上述人员的安全受到威胁。</w:t>
      </w:r>
    </w:p>
    <w:p w14:paraId="766708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（1）按《公路水运工程安全生产监督管理办法》规定的最低数量和资质条件配备专职安全生产管理人员；</w:t>
      </w:r>
    </w:p>
    <w:p w14:paraId="0DE2FB5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C71087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（3）所有施工机具设备和高空作业设备均应定期检查，并有安全员的签字记录；</w:t>
      </w:r>
    </w:p>
    <w:p w14:paraId="213C027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（4）根据本合同各单位工程的施工特点，严格执行《公路水运工程安全生产监督管理办法》《公路工程施工安全技术规范》等有关规定。</w:t>
      </w:r>
    </w:p>
    <w:p w14:paraId="7EA6B04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06A2175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9.2.10在通航水域施工时，承包人应与当地主管部门取得联系，设置必要的导航标志，及时发布航行通告，确保施工水域安全。</w:t>
      </w:r>
    </w:p>
    <w:p w14:paraId="1A7EC8F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C50A89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80" w:name="_Toc4067"/>
      <w:bookmarkStart w:id="1181" w:name="_Toc22668"/>
      <w:bookmarkStart w:id="1182" w:name="_Toc23200"/>
      <w:bookmarkStart w:id="1183" w:name="_Toc234833156"/>
      <w:r>
        <w:rPr>
          <w:rFonts w:hint="default" w:ascii="Times New Roman" w:hAnsi="Times New Roman" w:eastAsia="黑体" w:cs="Times New Roman"/>
          <w:b w:val="0"/>
          <w:color w:val="auto"/>
          <w:sz w:val="24"/>
          <w:szCs w:val="24"/>
          <w:highlight w:val="none"/>
        </w:rPr>
        <w:t>9.4环境保护</w:t>
      </w:r>
      <w:bookmarkEnd w:id="1180"/>
      <w:bookmarkEnd w:id="1181"/>
      <w:bookmarkEnd w:id="1182"/>
      <w:bookmarkEnd w:id="1183"/>
    </w:p>
    <w:p w14:paraId="4A0C0D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本款补充第9.4.7项~第9.4.11项：</w:t>
      </w:r>
    </w:p>
    <w:p w14:paraId="69ED43E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9.4.7承包人应切实执行技术规范中有关环境保护方面的条款和规定。</w:t>
      </w:r>
    </w:p>
    <w:p w14:paraId="01C571B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01F0687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（2）对于公路施工中粉尘污染的主要污染源――灰土拌和、施工车辆和筑路机械运行及运输产生的扬尘，应采取有效措施减轻其对施工现场的大气污染，保护人民健康，如：</w:t>
      </w:r>
    </w:p>
    <w:p w14:paraId="34A0D8F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a.拌和设备应有较好的密封，或有防尘设备。</w:t>
      </w:r>
    </w:p>
    <w:p w14:paraId="6A16421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b.施工通道、沥青混凝土拌和站及灰土拌和站应经常进行洒水降尘。</w:t>
      </w:r>
    </w:p>
    <w:p w14:paraId="2AB75B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c.路面施工应注意保持水分，以免扬尘。</w:t>
      </w:r>
    </w:p>
    <w:p w14:paraId="1E2241D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d.隧道出渣和桥梁钻孔灌注桩施工时排出的泥浆要进行妥善处理，严禁向河流或农田排放。</w:t>
      </w:r>
    </w:p>
    <w:p w14:paraId="3CB61A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（3）采取可靠措施保证原有交通的正常通行，维持沿线村镇的居民饮水、农田灌溉、生产生活用电及通信等管线的正常使用。</w:t>
      </w:r>
    </w:p>
    <w:p w14:paraId="251D52A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AC259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9.4.9在施工期间，承包人应随时保持现场整洁，施工设备和材料、工程设备应整齐妥善存放和储存，废料与垃圾及不再需要的临时设施应及时从现场清除、拆除并运走。</w:t>
      </w:r>
    </w:p>
    <w:p w14:paraId="3F79933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28CA5B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06FFA644">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184" w:name="_Toc31300"/>
      <w:bookmarkStart w:id="1185" w:name="_Toc2443"/>
      <w:bookmarkStart w:id="1186" w:name="_Toc14910"/>
      <w:bookmarkStart w:id="1187" w:name="_Toc234833157"/>
      <w:r>
        <w:rPr>
          <w:rFonts w:hint="default" w:ascii="Times New Roman" w:hAnsi="Times New Roman" w:eastAsia="黑体" w:cs="Times New Roman"/>
          <w:b w:val="0"/>
          <w:color w:val="auto"/>
          <w:sz w:val="28"/>
          <w:szCs w:val="28"/>
          <w:highlight w:val="none"/>
        </w:rPr>
        <w:t>10.进度计划</w:t>
      </w:r>
      <w:bookmarkEnd w:id="1184"/>
      <w:bookmarkEnd w:id="1185"/>
      <w:bookmarkEnd w:id="1186"/>
      <w:bookmarkEnd w:id="1187"/>
    </w:p>
    <w:p w14:paraId="7773AB7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88" w:name="_Toc13304"/>
      <w:bookmarkStart w:id="1189" w:name="_Toc31463"/>
      <w:bookmarkStart w:id="1190" w:name="_Toc19701"/>
      <w:bookmarkStart w:id="1191" w:name="_Toc234833158"/>
      <w:r>
        <w:rPr>
          <w:rFonts w:hint="default" w:ascii="Times New Roman" w:hAnsi="Times New Roman" w:eastAsia="黑体" w:cs="Times New Roman"/>
          <w:b w:val="0"/>
          <w:color w:val="auto"/>
          <w:sz w:val="24"/>
          <w:szCs w:val="24"/>
          <w:highlight w:val="none"/>
        </w:rPr>
        <w:t>10.1合同进度计划</w:t>
      </w:r>
      <w:bookmarkEnd w:id="1188"/>
      <w:bookmarkEnd w:id="1189"/>
      <w:bookmarkEnd w:id="1190"/>
      <w:bookmarkEnd w:id="1191"/>
    </w:p>
    <w:p w14:paraId="50CDF20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r>
        <w:rPr>
          <w:rFonts w:hint="eastAsia" w:cs="Times New Roman"/>
          <w:color w:val="auto"/>
          <w:sz w:val="24"/>
          <w:highlight w:val="none"/>
          <w:lang w:val="en-US" w:eastAsia="zh-CN"/>
        </w:rPr>
        <w:t>如下</w:t>
      </w:r>
      <w:r>
        <w:rPr>
          <w:rFonts w:hint="default" w:ascii="Times New Roman" w:hAnsi="Times New Roman" w:cs="Times New Roman"/>
          <w:color w:val="auto"/>
          <w:sz w:val="24"/>
          <w:highlight w:val="none"/>
        </w:rPr>
        <w:t>：</w:t>
      </w:r>
    </w:p>
    <w:p w14:paraId="79AAAA3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承包人编制施工方案说明的内容见项目专用合同条款。</w:t>
      </w:r>
    </w:p>
    <w:p w14:paraId="4F7886E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承包人向监理人报送施工进度计划和施工方案说明的期限：签订合同协议书后28天之内。</w:t>
      </w:r>
    </w:p>
    <w:p w14:paraId="4FDD6BD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监理人应在14天内对承包人施工进度计划和施工方案说明予以批复或提出修改意见。</w:t>
      </w:r>
    </w:p>
    <w:p w14:paraId="2670B03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合同进度计划应按照关键线路网络图和主要工作横道图两种形式分别编绘，并应包括每月预计完成的工作量和形象进度。</w:t>
      </w:r>
    </w:p>
    <w:p w14:paraId="66C16ED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92" w:name="_Toc234833159"/>
      <w:bookmarkStart w:id="1193" w:name="_Toc22600"/>
      <w:bookmarkStart w:id="1194" w:name="_Toc16914"/>
      <w:bookmarkStart w:id="1195" w:name="_Toc24615"/>
      <w:r>
        <w:rPr>
          <w:rFonts w:hint="default" w:ascii="Times New Roman" w:hAnsi="Times New Roman" w:eastAsia="黑体" w:cs="Times New Roman"/>
          <w:b w:val="0"/>
          <w:color w:val="auto"/>
          <w:sz w:val="24"/>
          <w:szCs w:val="24"/>
          <w:highlight w:val="none"/>
        </w:rPr>
        <w:t>10.2合同进度计划的修订</w:t>
      </w:r>
      <w:bookmarkEnd w:id="1192"/>
      <w:bookmarkEnd w:id="1193"/>
      <w:bookmarkEnd w:id="1194"/>
      <w:bookmarkEnd w:id="1195"/>
    </w:p>
    <w:p w14:paraId="75B27F34">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6141AB3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承包人提交合同进度计划修订申请报告，并附有关措施和相关资料的期限：实际进度发生滞后的当月25日前。</w:t>
      </w:r>
    </w:p>
    <w:p w14:paraId="51FE9009">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监理人批复修订合同进度计划的期限：收到修订合同进度计划后14天内。</w:t>
      </w:r>
    </w:p>
    <w:p w14:paraId="59D66B19">
      <w:pPr>
        <w:pageBreakBefore w:val="0"/>
        <w:kinsoku/>
        <w:wordWrap w:val="0"/>
        <w:bidi w:val="0"/>
        <w:spacing w:before="240" w:beforeLines="100"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本条补充第10.3款、第10.4款：</w:t>
      </w:r>
    </w:p>
    <w:p w14:paraId="3FE42D6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196" w:name="_Toc12343"/>
      <w:bookmarkStart w:id="1197" w:name="_Toc638"/>
      <w:bookmarkStart w:id="1198" w:name="_Toc5845"/>
      <w:bookmarkStart w:id="1199" w:name="_Toc234833160"/>
      <w:r>
        <w:rPr>
          <w:rFonts w:hint="default" w:ascii="Times New Roman" w:hAnsi="Times New Roman" w:eastAsia="黑体" w:cs="Times New Roman"/>
          <w:b w:val="0"/>
          <w:color w:val="auto"/>
          <w:sz w:val="24"/>
          <w:szCs w:val="24"/>
          <w:highlight w:val="none"/>
        </w:rPr>
        <w:t>10.3年度施工计划</w:t>
      </w:r>
      <w:bookmarkEnd w:id="1196"/>
      <w:bookmarkEnd w:id="1197"/>
      <w:bookmarkEnd w:id="1198"/>
      <w:bookmarkEnd w:id="1199"/>
    </w:p>
    <w:p w14:paraId="775610B0">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6B30555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00" w:name="_Toc3557"/>
      <w:bookmarkStart w:id="1201" w:name="_Toc234833161"/>
      <w:bookmarkStart w:id="1202" w:name="_Toc28266"/>
      <w:bookmarkStart w:id="1203" w:name="_Toc26059"/>
      <w:r>
        <w:rPr>
          <w:rFonts w:hint="default" w:ascii="Times New Roman" w:hAnsi="Times New Roman" w:eastAsia="黑体" w:cs="Times New Roman"/>
          <w:b w:val="0"/>
          <w:color w:val="auto"/>
          <w:sz w:val="24"/>
          <w:szCs w:val="24"/>
          <w:highlight w:val="none"/>
        </w:rPr>
        <w:t>10.4合同用款计划</w:t>
      </w:r>
      <w:bookmarkEnd w:id="1200"/>
      <w:bookmarkEnd w:id="1201"/>
      <w:bookmarkEnd w:id="1202"/>
      <w:bookmarkEnd w:id="1203"/>
    </w:p>
    <w:p w14:paraId="765A8E9C">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23AA14AE">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04" w:name="_Toc16858"/>
      <w:bookmarkStart w:id="1205" w:name="_Toc234833162"/>
      <w:bookmarkStart w:id="1206" w:name="_Toc24381"/>
      <w:bookmarkStart w:id="1207" w:name="_Toc29145"/>
      <w:r>
        <w:rPr>
          <w:rFonts w:hint="default" w:ascii="Times New Roman" w:hAnsi="Times New Roman" w:eastAsia="黑体" w:cs="Times New Roman"/>
          <w:b w:val="0"/>
          <w:color w:val="auto"/>
          <w:sz w:val="28"/>
          <w:szCs w:val="28"/>
          <w:highlight w:val="none"/>
        </w:rPr>
        <w:t>11.开工和交工</w:t>
      </w:r>
      <w:bookmarkEnd w:id="1204"/>
      <w:bookmarkEnd w:id="1205"/>
      <w:bookmarkEnd w:id="1206"/>
      <w:bookmarkEnd w:id="1207"/>
    </w:p>
    <w:p w14:paraId="0BD8E28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08" w:name="_Toc23342"/>
      <w:bookmarkStart w:id="1209" w:name="_Toc234833163"/>
      <w:bookmarkStart w:id="1210" w:name="_Toc21034"/>
      <w:bookmarkStart w:id="1211" w:name="_Toc211"/>
      <w:r>
        <w:rPr>
          <w:rFonts w:hint="default" w:ascii="Times New Roman" w:hAnsi="Times New Roman" w:eastAsia="黑体" w:cs="Times New Roman"/>
          <w:b w:val="0"/>
          <w:color w:val="auto"/>
          <w:sz w:val="24"/>
          <w:szCs w:val="24"/>
          <w:highlight w:val="none"/>
        </w:rPr>
        <w:t>11.1开工</w:t>
      </w:r>
      <w:bookmarkEnd w:id="1208"/>
      <w:bookmarkEnd w:id="1209"/>
      <w:bookmarkEnd w:id="1210"/>
      <w:bookmarkEnd w:id="1211"/>
    </w:p>
    <w:p w14:paraId="247413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第11.1.2项补充：</w:t>
      </w:r>
    </w:p>
    <w:p w14:paraId="4B04DEC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640F96D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12" w:name="_Toc8362"/>
      <w:bookmarkStart w:id="1213" w:name="_Toc4642"/>
      <w:bookmarkStart w:id="1214" w:name="_Toc234833164"/>
      <w:bookmarkStart w:id="1215" w:name="_Toc2188"/>
      <w:r>
        <w:rPr>
          <w:rFonts w:hint="default" w:ascii="Times New Roman" w:hAnsi="Times New Roman" w:eastAsia="黑体" w:cs="Times New Roman"/>
          <w:b w:val="0"/>
          <w:color w:val="auto"/>
          <w:sz w:val="24"/>
          <w:szCs w:val="24"/>
          <w:highlight w:val="none"/>
        </w:rPr>
        <w:t>11.3发包人的工期延误</w:t>
      </w:r>
      <w:bookmarkEnd w:id="1212"/>
      <w:bookmarkEnd w:id="1213"/>
      <w:bookmarkEnd w:id="1214"/>
      <w:bookmarkEnd w:id="1215"/>
    </w:p>
    <w:p w14:paraId="357DFCA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17FED01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即使由于上述原因造成工期延误，如果受影响的工程并非处在工程施工进度网络计划的关键线路上，则承包人无权要求延长总工期。</w:t>
      </w:r>
    </w:p>
    <w:p w14:paraId="68543CD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16" w:name="_Toc26694"/>
      <w:bookmarkStart w:id="1217" w:name="_Toc3372"/>
      <w:bookmarkStart w:id="1218" w:name="_Toc234833165"/>
      <w:bookmarkStart w:id="1219" w:name="_Toc2448"/>
      <w:r>
        <w:rPr>
          <w:rFonts w:hint="default" w:ascii="Times New Roman" w:hAnsi="Times New Roman" w:eastAsia="黑体" w:cs="Times New Roman"/>
          <w:b w:val="0"/>
          <w:color w:val="auto"/>
          <w:sz w:val="24"/>
          <w:szCs w:val="24"/>
          <w:highlight w:val="none"/>
        </w:rPr>
        <w:t>11.4异常恶劣的气候条件</w:t>
      </w:r>
      <w:bookmarkEnd w:id="1216"/>
      <w:bookmarkEnd w:id="1217"/>
      <w:bookmarkEnd w:id="1218"/>
      <w:bookmarkEnd w:id="1219"/>
    </w:p>
    <w:p w14:paraId="05B8C9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74E069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异常气候是指项目所在地30年以上一遇的罕见气候现象（包括</w:t>
      </w:r>
      <w:r>
        <w:rPr>
          <w:rFonts w:hint="default" w:ascii="Times New Roman" w:hAnsi="Times New Roman" w:cs="Times New Roman"/>
          <w:color w:val="auto"/>
          <w:sz w:val="24"/>
          <w:highlight w:val="none"/>
          <w:u w:val="none"/>
        </w:rPr>
        <w:t>温度</w:t>
      </w:r>
      <w:r>
        <w:rPr>
          <w:rFonts w:hint="default" w:ascii="Times New Roman" w:hAnsi="Times New Roman" w:cs="Times New Roman"/>
          <w:color w:val="auto"/>
          <w:sz w:val="24"/>
          <w:highlight w:val="none"/>
        </w:rPr>
        <w:t>、降水、降雪、风等）。异常恶劣的气候条件在项目专用合同条款中作具体约定。</w:t>
      </w:r>
    </w:p>
    <w:p w14:paraId="6335B79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20" w:name="_Toc7083"/>
      <w:bookmarkStart w:id="1221" w:name="_Toc234833166"/>
      <w:bookmarkStart w:id="1222" w:name="_Toc19354"/>
      <w:bookmarkStart w:id="1223" w:name="_Toc13242"/>
      <w:r>
        <w:rPr>
          <w:rFonts w:hint="default" w:ascii="Times New Roman" w:hAnsi="Times New Roman" w:eastAsia="黑体" w:cs="Times New Roman"/>
          <w:b w:val="0"/>
          <w:color w:val="auto"/>
          <w:sz w:val="24"/>
          <w:szCs w:val="24"/>
          <w:highlight w:val="none"/>
        </w:rPr>
        <w:t>11.5承包人的工期延误</w:t>
      </w:r>
      <w:bookmarkEnd w:id="1220"/>
      <w:bookmarkEnd w:id="1221"/>
      <w:bookmarkEnd w:id="1222"/>
      <w:bookmarkEnd w:id="1223"/>
    </w:p>
    <w:p w14:paraId="2A35329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2782B8C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26018D6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699DF8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F395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（4）承包人支付逾期交工违约金，不免除承包人完成工程及修补缺陷的义务。</w:t>
      </w:r>
    </w:p>
    <w:p w14:paraId="71714B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1FF24FC4">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24" w:name="_Toc25459"/>
      <w:bookmarkStart w:id="1225" w:name="_Toc21733"/>
      <w:bookmarkStart w:id="1226" w:name="_Toc8201"/>
      <w:bookmarkStart w:id="1227" w:name="_Toc234833167"/>
      <w:r>
        <w:rPr>
          <w:rFonts w:hint="default" w:ascii="Times New Roman" w:hAnsi="Times New Roman" w:eastAsia="黑体" w:cs="Times New Roman"/>
          <w:b w:val="0"/>
          <w:color w:val="auto"/>
          <w:sz w:val="24"/>
          <w:szCs w:val="24"/>
          <w:highlight w:val="none"/>
        </w:rPr>
        <w:t>11.6工期提前</w:t>
      </w:r>
      <w:bookmarkEnd w:id="1224"/>
      <w:bookmarkEnd w:id="1225"/>
      <w:bookmarkEnd w:id="1226"/>
      <w:bookmarkEnd w:id="1227"/>
    </w:p>
    <w:p w14:paraId="25508C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6CF6441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239B008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27D36FA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p>
    <w:p w14:paraId="32DBD09E">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本条补充第11.7款：</w:t>
      </w:r>
    </w:p>
    <w:p w14:paraId="645215B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28" w:name="_Toc11965"/>
      <w:bookmarkStart w:id="1229" w:name="_Toc234833168"/>
      <w:bookmarkStart w:id="1230" w:name="_Toc14155"/>
      <w:bookmarkStart w:id="1231" w:name="_Toc29501"/>
      <w:r>
        <w:rPr>
          <w:rFonts w:hint="default" w:ascii="Times New Roman" w:hAnsi="Times New Roman" w:eastAsia="黑体" w:cs="Times New Roman"/>
          <w:b w:val="0"/>
          <w:color w:val="auto"/>
          <w:sz w:val="24"/>
          <w:szCs w:val="24"/>
          <w:highlight w:val="none"/>
        </w:rPr>
        <w:t>11.7工作时间的限制</w:t>
      </w:r>
      <w:bookmarkEnd w:id="1228"/>
      <w:bookmarkEnd w:id="1229"/>
      <w:bookmarkEnd w:id="1230"/>
      <w:bookmarkEnd w:id="1231"/>
    </w:p>
    <w:p w14:paraId="20F531C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承包人在夜间或国家规定的节假日进行永久工程的施工，应向监理人报告，以便监理人履行监理职责和义务。</w:t>
      </w:r>
    </w:p>
    <w:p w14:paraId="134DA78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但是，为了抢救生命或保护财产，或为了工程的安全、质量而不可避免地短暂作业，则不必事先向监理人报告。但承包人应在事后立即向监理人报告。</w:t>
      </w:r>
    </w:p>
    <w:p w14:paraId="45FDCEC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本款规定不适用于习惯上或施工本身要求实行连续生产的作业。</w:t>
      </w:r>
    </w:p>
    <w:p w14:paraId="1B719D01">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32" w:name="_Toc10095"/>
      <w:bookmarkStart w:id="1233" w:name="_Toc21568"/>
      <w:bookmarkStart w:id="1234" w:name="_Toc10404"/>
      <w:bookmarkStart w:id="1235" w:name="_Toc234833169"/>
      <w:r>
        <w:rPr>
          <w:rFonts w:hint="default" w:ascii="Times New Roman" w:hAnsi="Times New Roman" w:eastAsia="黑体" w:cs="Times New Roman"/>
          <w:b w:val="0"/>
          <w:color w:val="auto"/>
          <w:sz w:val="28"/>
          <w:szCs w:val="28"/>
          <w:highlight w:val="none"/>
        </w:rPr>
        <w:t>12.暂停施工</w:t>
      </w:r>
      <w:bookmarkEnd w:id="1232"/>
      <w:bookmarkEnd w:id="1233"/>
      <w:bookmarkEnd w:id="1234"/>
      <w:bookmarkEnd w:id="1235"/>
    </w:p>
    <w:p w14:paraId="1BC6848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36" w:name="_Toc19976"/>
      <w:bookmarkStart w:id="1237" w:name="_Toc24281"/>
      <w:bookmarkStart w:id="1238" w:name="_Toc686"/>
      <w:bookmarkStart w:id="1239" w:name="_Toc234833170"/>
      <w:r>
        <w:rPr>
          <w:rFonts w:hint="default" w:ascii="Times New Roman" w:hAnsi="Times New Roman" w:eastAsia="黑体" w:cs="Times New Roman"/>
          <w:b w:val="0"/>
          <w:color w:val="auto"/>
          <w:sz w:val="24"/>
          <w:szCs w:val="24"/>
          <w:highlight w:val="none"/>
        </w:rPr>
        <w:t>12.1承包人暂停施工的责任</w:t>
      </w:r>
      <w:bookmarkEnd w:id="1236"/>
      <w:bookmarkEnd w:id="1237"/>
      <w:bookmarkEnd w:id="1238"/>
      <w:bookmarkEnd w:id="1239"/>
    </w:p>
    <w:p w14:paraId="7D75BE4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本款第（5）项细化为：</w:t>
      </w:r>
    </w:p>
    <w:p w14:paraId="1E52C7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（5）现场气候条件导致的必要停工（第11.4款约定的异常恶劣的气候条件除外）；</w:t>
      </w:r>
    </w:p>
    <w:p w14:paraId="17ADF63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（6）项目专用合同条款可能约定的由承包人承担的其他暂停施工。</w:t>
      </w:r>
    </w:p>
    <w:p w14:paraId="3F71929D">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40" w:name="_Toc139"/>
      <w:bookmarkStart w:id="1241" w:name="_Toc22379"/>
      <w:bookmarkStart w:id="1242" w:name="_Toc234833171"/>
      <w:bookmarkStart w:id="1243" w:name="_Toc12288"/>
      <w:r>
        <w:rPr>
          <w:rFonts w:hint="default" w:ascii="Times New Roman" w:hAnsi="Times New Roman" w:eastAsia="黑体" w:cs="Times New Roman"/>
          <w:b w:val="0"/>
          <w:color w:val="auto"/>
          <w:sz w:val="28"/>
          <w:szCs w:val="28"/>
          <w:highlight w:val="none"/>
        </w:rPr>
        <w:t>13.工程质量</w:t>
      </w:r>
      <w:bookmarkEnd w:id="1240"/>
      <w:bookmarkEnd w:id="1241"/>
      <w:bookmarkEnd w:id="1242"/>
      <w:bookmarkEnd w:id="1243"/>
    </w:p>
    <w:p w14:paraId="58A37A1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44" w:name="_Toc25773"/>
      <w:bookmarkStart w:id="1245" w:name="_Toc30210"/>
      <w:bookmarkStart w:id="1246" w:name="_Toc14295"/>
      <w:bookmarkStart w:id="1247" w:name="_Toc234833172"/>
      <w:r>
        <w:rPr>
          <w:rFonts w:hint="default" w:ascii="Times New Roman" w:hAnsi="Times New Roman" w:eastAsia="黑体" w:cs="Times New Roman"/>
          <w:b w:val="0"/>
          <w:color w:val="auto"/>
          <w:sz w:val="24"/>
          <w:szCs w:val="24"/>
          <w:highlight w:val="none"/>
        </w:rPr>
        <w:t>13.1工程质量要求</w:t>
      </w:r>
      <w:bookmarkEnd w:id="1244"/>
      <w:bookmarkEnd w:id="1245"/>
      <w:bookmarkEnd w:id="1246"/>
      <w:bookmarkEnd w:id="1247"/>
    </w:p>
    <w:p w14:paraId="245806F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第13.1.1项约定为：</w:t>
      </w:r>
    </w:p>
    <w:p w14:paraId="5F827E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工程质量验收按技术规范及《公路工程质量检验评定标准》执行。</w:t>
      </w:r>
    </w:p>
    <w:p w14:paraId="6FEEC60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本款补充第13.1.4项、第13.1.5项：</w:t>
      </w:r>
    </w:p>
    <w:p w14:paraId="0C5859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13.1.4发包人和承包人应严格遵守《关于严格落实公路工程质量责任制的若干意见》的相关规定，认真执行工程质量责任登记制度并</w:t>
      </w:r>
      <w:r>
        <w:rPr>
          <w:rFonts w:hint="default" w:ascii="Times New Roman" w:hAnsi="Times New Roman" w:cs="Times New Roman"/>
          <w:color w:val="auto"/>
          <w:kern w:val="0"/>
          <w:sz w:val="24"/>
          <w:highlight w:val="none"/>
        </w:rPr>
        <w:t>按要求填写工程质量责任登记表</w:t>
      </w:r>
      <w:r>
        <w:rPr>
          <w:rFonts w:hint="default" w:ascii="Times New Roman" w:hAnsi="Times New Roman" w:cs="Times New Roman"/>
          <w:color w:val="auto"/>
          <w:sz w:val="24"/>
          <w:highlight w:val="none"/>
        </w:rPr>
        <w:t>。</w:t>
      </w:r>
    </w:p>
    <w:p w14:paraId="4C447C0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13.1.5本项目严格执行质量责任追究制度。质量事故处理实行</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四不放过</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原则：事故原因调查不清不放过；事故责任者没有受到教育不放过；没有防范措施不放过；相关责任人没受到处理不放过。</w:t>
      </w:r>
    </w:p>
    <w:p w14:paraId="0FB275F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48" w:name="_Toc8253"/>
      <w:bookmarkStart w:id="1249" w:name="_Toc19759"/>
      <w:bookmarkStart w:id="1250" w:name="_Toc1003"/>
      <w:bookmarkStart w:id="1251" w:name="_Toc234833173"/>
      <w:r>
        <w:rPr>
          <w:rFonts w:hint="default" w:ascii="Times New Roman" w:hAnsi="Times New Roman" w:eastAsia="黑体" w:cs="Times New Roman"/>
          <w:b w:val="0"/>
          <w:color w:val="auto"/>
          <w:sz w:val="24"/>
          <w:szCs w:val="24"/>
          <w:highlight w:val="none"/>
        </w:rPr>
        <w:t>13.2承包人的质量管理</w:t>
      </w:r>
      <w:bookmarkEnd w:id="1248"/>
      <w:bookmarkEnd w:id="1249"/>
      <w:bookmarkEnd w:id="1250"/>
      <w:bookmarkEnd w:id="1251"/>
    </w:p>
    <w:p w14:paraId="4C37604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第13.2.1项补充：</w:t>
      </w:r>
    </w:p>
    <w:p w14:paraId="4A72C59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承包人提交工程质量保证措施文件的期限：签订合同协议书后28天之内。</w:t>
      </w:r>
    </w:p>
    <w:p w14:paraId="41F44D6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本款补充第13.2.3项~第13.2.10项：</w:t>
      </w:r>
    </w:p>
    <w:p w14:paraId="004BA85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69ADF65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13.2.4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3F222E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13.2.5承包人对工程施工质量负责，应当按合同约定设立现场质量管理机构、配备工程技术人员和质量管理人员，落实工程施工质量责任制。</w:t>
      </w:r>
    </w:p>
    <w:p w14:paraId="27EEC9E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C2F70F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13.2.7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5EDA0C3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6C2050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13.2.9承包人应当依法规范分包行为，并对承担的工程质量负总责，分包单位对分包合同范围内的工程质量负责。</w:t>
      </w:r>
    </w:p>
    <w:p w14:paraId="3C75028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13.2.10承包人驻工程现场机构应在现场驻地和重要的分部、分项工程施工现场设置明显的工程质量责任登记表公示牌。</w:t>
      </w:r>
    </w:p>
    <w:p w14:paraId="21D6BE6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52" w:name="_Toc17725"/>
      <w:bookmarkStart w:id="1253" w:name="_Toc234833174"/>
      <w:bookmarkStart w:id="1254" w:name="_Toc21708"/>
      <w:bookmarkStart w:id="1255" w:name="_Toc20957"/>
      <w:r>
        <w:rPr>
          <w:rFonts w:hint="default" w:ascii="Times New Roman" w:hAnsi="Times New Roman" w:eastAsia="黑体" w:cs="Times New Roman"/>
          <w:b w:val="0"/>
          <w:color w:val="auto"/>
          <w:sz w:val="24"/>
          <w:szCs w:val="24"/>
          <w:highlight w:val="none"/>
        </w:rPr>
        <w:t>13.4监理人的质量检查</w:t>
      </w:r>
      <w:bookmarkEnd w:id="1252"/>
      <w:bookmarkEnd w:id="1253"/>
      <w:bookmarkEnd w:id="1254"/>
      <w:bookmarkEnd w:id="1255"/>
    </w:p>
    <w:p w14:paraId="00979A0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w:t>
      </w:r>
    </w:p>
    <w:p w14:paraId="712A88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6A6A56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7B3DF19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56" w:name="_Toc24829"/>
      <w:bookmarkStart w:id="1257" w:name="_Toc31604"/>
      <w:bookmarkStart w:id="1258" w:name="_Toc25352"/>
      <w:bookmarkStart w:id="1259" w:name="_Toc234833175"/>
      <w:r>
        <w:rPr>
          <w:rFonts w:hint="default" w:ascii="Times New Roman" w:hAnsi="Times New Roman" w:eastAsia="黑体" w:cs="Times New Roman"/>
          <w:b w:val="0"/>
          <w:color w:val="auto"/>
          <w:sz w:val="24"/>
          <w:szCs w:val="24"/>
          <w:highlight w:val="none"/>
        </w:rPr>
        <w:t>13.5工程隐蔽部位覆盖前的检查</w:t>
      </w:r>
      <w:bookmarkEnd w:id="1256"/>
      <w:bookmarkEnd w:id="1257"/>
      <w:bookmarkEnd w:id="1258"/>
      <w:bookmarkEnd w:id="1259"/>
    </w:p>
    <w:p w14:paraId="21919F3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第13.5.1项补充：</w:t>
      </w:r>
    </w:p>
    <w:p w14:paraId="34EAE7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0F364DC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60" w:name="_Toc20396"/>
      <w:bookmarkStart w:id="1261" w:name="_Toc234833176"/>
      <w:bookmarkStart w:id="1262" w:name="_Toc1659"/>
      <w:bookmarkStart w:id="1263" w:name="_Toc19441"/>
      <w:r>
        <w:rPr>
          <w:rFonts w:hint="default" w:ascii="Times New Roman" w:hAnsi="Times New Roman" w:eastAsia="黑体" w:cs="Times New Roman"/>
          <w:b w:val="0"/>
          <w:color w:val="auto"/>
          <w:sz w:val="24"/>
          <w:szCs w:val="24"/>
          <w:highlight w:val="none"/>
        </w:rPr>
        <w:t>13.6清除不合格工程</w:t>
      </w:r>
      <w:bookmarkEnd w:id="1260"/>
      <w:bookmarkEnd w:id="1261"/>
      <w:bookmarkEnd w:id="1262"/>
      <w:bookmarkEnd w:id="1263"/>
    </w:p>
    <w:p w14:paraId="57B2608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第13.6.1项细化为：</w:t>
      </w:r>
    </w:p>
    <w:p w14:paraId="0B37B8C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1E344EA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（2）如果承包人未在规定时间内执行监理人的指示，发包人有权雇用他人执行，由此增加的费用和（或）工期延误由承包人承担。</w:t>
      </w:r>
    </w:p>
    <w:p w14:paraId="4ADAD16D">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64" w:name="_Toc12972"/>
      <w:bookmarkStart w:id="1265" w:name="_Toc17523"/>
      <w:bookmarkStart w:id="1266" w:name="_Toc234833177"/>
      <w:bookmarkStart w:id="1267" w:name="_Toc26653"/>
      <w:r>
        <w:rPr>
          <w:rFonts w:hint="default" w:ascii="Times New Roman" w:hAnsi="Times New Roman" w:eastAsia="黑体" w:cs="Times New Roman"/>
          <w:b w:val="0"/>
          <w:color w:val="auto"/>
          <w:sz w:val="28"/>
          <w:szCs w:val="28"/>
          <w:highlight w:val="none"/>
        </w:rPr>
        <w:t>14.试验和检验</w:t>
      </w:r>
      <w:bookmarkEnd w:id="1264"/>
      <w:bookmarkEnd w:id="1265"/>
      <w:bookmarkEnd w:id="1266"/>
      <w:bookmarkEnd w:id="1267"/>
    </w:p>
    <w:p w14:paraId="65A61D0C">
      <w:pPr>
        <w:pageBreakBefore w:val="0"/>
        <w:kinsoku/>
        <w:wordWrap w:val="0"/>
        <w:bidi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本条补充第14.4款：</w:t>
      </w:r>
    </w:p>
    <w:p w14:paraId="114365F9">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68" w:name="_Toc9837"/>
      <w:bookmarkStart w:id="1269" w:name="_Toc234833178"/>
      <w:bookmarkStart w:id="1270" w:name="_Toc18957"/>
      <w:bookmarkStart w:id="1271" w:name="_Toc8486"/>
      <w:r>
        <w:rPr>
          <w:rFonts w:hint="default" w:ascii="Times New Roman" w:hAnsi="Times New Roman" w:eastAsia="黑体" w:cs="Times New Roman"/>
          <w:b w:val="0"/>
          <w:color w:val="auto"/>
          <w:sz w:val="24"/>
          <w:szCs w:val="24"/>
          <w:highlight w:val="none"/>
        </w:rPr>
        <w:t>14.4试验和检验费用</w:t>
      </w:r>
      <w:bookmarkEnd w:id="1268"/>
      <w:bookmarkEnd w:id="1269"/>
      <w:bookmarkEnd w:id="1270"/>
      <w:bookmarkEnd w:id="1271"/>
    </w:p>
    <w:p w14:paraId="1F64B83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（1）承包人应负责提供合同和技术规范规定的试验和检验所需的全部样品，并承担其费用。</w:t>
      </w:r>
    </w:p>
    <w:p w14:paraId="78BBDE8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（2）在合同中明确规定的试验和检验，包括无须在工程量清单中单独列项和已在工程量清单中单独列项的试验和检验，其试验和检验的费用由承包人承担。</w:t>
      </w:r>
    </w:p>
    <w:p w14:paraId="2FC63F8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608D613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72" w:name="_Toc24940"/>
      <w:bookmarkStart w:id="1273" w:name="_Toc9387"/>
      <w:bookmarkStart w:id="1274" w:name="_Toc234833179"/>
      <w:bookmarkStart w:id="1275" w:name="_Toc8627"/>
      <w:r>
        <w:rPr>
          <w:rFonts w:hint="default" w:ascii="Times New Roman" w:hAnsi="Times New Roman" w:eastAsia="黑体" w:cs="Times New Roman"/>
          <w:b w:val="0"/>
          <w:color w:val="auto"/>
          <w:sz w:val="28"/>
          <w:szCs w:val="28"/>
          <w:highlight w:val="none"/>
        </w:rPr>
        <w:t>15.变更</w:t>
      </w:r>
      <w:bookmarkEnd w:id="1272"/>
      <w:bookmarkEnd w:id="1273"/>
      <w:bookmarkEnd w:id="1274"/>
      <w:bookmarkEnd w:id="1275"/>
    </w:p>
    <w:p w14:paraId="22152B8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76" w:name="_Toc234833180"/>
      <w:bookmarkStart w:id="1277" w:name="_Toc25196"/>
      <w:bookmarkStart w:id="1278" w:name="_Toc5311"/>
      <w:bookmarkStart w:id="1279" w:name="_Toc11885"/>
      <w:r>
        <w:rPr>
          <w:rFonts w:hint="default" w:ascii="Times New Roman" w:hAnsi="Times New Roman" w:eastAsia="黑体" w:cs="Times New Roman"/>
          <w:b w:val="0"/>
          <w:color w:val="auto"/>
          <w:sz w:val="24"/>
          <w:szCs w:val="24"/>
          <w:highlight w:val="none"/>
        </w:rPr>
        <w:t>15.1变更的范围和内容</w:t>
      </w:r>
      <w:bookmarkEnd w:id="1276"/>
      <w:bookmarkEnd w:id="1277"/>
      <w:bookmarkEnd w:id="1278"/>
      <w:bookmarkEnd w:id="1279"/>
    </w:p>
    <w:p w14:paraId="5D5FC4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本款第（1）项细化为：</w:t>
      </w:r>
    </w:p>
    <w:p w14:paraId="0B91772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（1）取消合同中任何一项工作，但被取消的工作不能转由发包人或其他人实施，由于承包人违约造成的情况除外；</w:t>
      </w:r>
    </w:p>
    <w:p w14:paraId="52C499E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80" w:name="_Toc234833181"/>
      <w:bookmarkStart w:id="1281" w:name="_Toc11045"/>
      <w:bookmarkStart w:id="1282" w:name="_Toc26890"/>
      <w:bookmarkStart w:id="1283" w:name="_Toc15909"/>
      <w:r>
        <w:rPr>
          <w:rFonts w:hint="default" w:ascii="Times New Roman" w:hAnsi="Times New Roman" w:eastAsia="黑体" w:cs="Times New Roman"/>
          <w:b w:val="0"/>
          <w:color w:val="auto"/>
          <w:sz w:val="24"/>
          <w:szCs w:val="24"/>
          <w:highlight w:val="none"/>
        </w:rPr>
        <w:t>15.3变更程序</w:t>
      </w:r>
      <w:bookmarkEnd w:id="1280"/>
      <w:bookmarkEnd w:id="1281"/>
      <w:bookmarkEnd w:id="1282"/>
      <w:bookmarkEnd w:id="1283"/>
    </w:p>
    <w:p w14:paraId="2C702A4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本款补充第15.3.4项：</w:t>
      </w:r>
    </w:p>
    <w:p w14:paraId="4B3D3AB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15.3.4设计变更程序应执行《公路工程设计变更管理办法》的相关规定。</w:t>
      </w:r>
    </w:p>
    <w:p w14:paraId="6585C5F4">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284" w:name="_Toc234833182"/>
      <w:bookmarkStart w:id="1285" w:name="_Toc31295"/>
      <w:bookmarkStart w:id="1286" w:name="_Toc10432"/>
      <w:bookmarkStart w:id="1287" w:name="_Toc16771"/>
      <w:r>
        <w:rPr>
          <w:rFonts w:hint="default" w:ascii="Times New Roman" w:hAnsi="Times New Roman" w:eastAsia="黑体" w:cs="Times New Roman"/>
          <w:b w:val="0"/>
          <w:color w:val="auto"/>
          <w:sz w:val="24"/>
          <w:szCs w:val="24"/>
          <w:highlight w:val="none"/>
        </w:rPr>
        <w:t>15.4变更的估价原则</w:t>
      </w:r>
      <w:bookmarkEnd w:id="1284"/>
      <w:bookmarkEnd w:id="1285"/>
      <w:bookmarkEnd w:id="1286"/>
      <w:bookmarkEnd w:id="1287"/>
    </w:p>
    <w:p w14:paraId="7109612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01ECAFE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除项目专用合同条款另有约定外，因变更引起的价格调整按照本款约定处理。</w:t>
      </w:r>
    </w:p>
    <w:p w14:paraId="0B55710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15.4.1如果取消某项工作，则该项工作的总额价不予支付。</w:t>
      </w:r>
    </w:p>
    <w:p w14:paraId="0077BC4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15.4.2已标价工程量清单中有适用于变更工作的子目的，采用该子目的单价。</w:t>
      </w:r>
    </w:p>
    <w:p w14:paraId="4047FB0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15.4.3已标价工程量清单中无适用于变更工作的子目，但有类似子目的，可在合理范围内参照类似子目的单价，由监理人按第3.5款商定或确定变更工作的单价。</w:t>
      </w:r>
    </w:p>
    <w:p w14:paraId="0F5EC22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15.4.4已标价工程量清单中无适用或类似子目的单价，可在综合考虑承包人在投标时所提供的单价分析表的基础上，由监理人按第3.5款商定或确定变更工作的单价。</w:t>
      </w:r>
    </w:p>
    <w:p w14:paraId="6080FA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15.4.5如果本工程的变更指示是因承包人过错、承包人违反合同或承包人责任造成的，则这种违约引起的任何额外费用应由承包人承担。</w:t>
      </w:r>
    </w:p>
    <w:p w14:paraId="60B2F07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88" w:name="_Toc234833183"/>
      <w:bookmarkStart w:id="1289" w:name="_Toc11214"/>
      <w:bookmarkStart w:id="1290" w:name="_Toc24348"/>
      <w:bookmarkStart w:id="1291" w:name="_Toc31098"/>
      <w:r>
        <w:rPr>
          <w:rFonts w:hint="default" w:ascii="Times New Roman" w:hAnsi="Times New Roman" w:eastAsia="黑体" w:cs="Times New Roman"/>
          <w:b w:val="0"/>
          <w:color w:val="auto"/>
          <w:sz w:val="24"/>
          <w:szCs w:val="24"/>
          <w:highlight w:val="none"/>
        </w:rPr>
        <w:t>15.5承包人的合理化建议</w:t>
      </w:r>
      <w:bookmarkEnd w:id="1288"/>
      <w:bookmarkEnd w:id="1289"/>
      <w:bookmarkEnd w:id="1290"/>
      <w:bookmarkEnd w:id="1291"/>
    </w:p>
    <w:p w14:paraId="4E65F6A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第15.5.2项约定为：</w:t>
      </w:r>
    </w:p>
    <w:p w14:paraId="1208ED5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承包人提出的合理化建议缩短了工期，发包人按第11.6款的规定给予奖励。</w:t>
      </w:r>
    </w:p>
    <w:p w14:paraId="34FF87B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承包人提出的合理化建议降低了合同价格或者提高了工程经济效益的，发包人按项目专用合同条款数据表中规定的金额给予奖励。</w:t>
      </w:r>
    </w:p>
    <w:p w14:paraId="7F9AC1E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292" w:name="_Toc10877"/>
      <w:bookmarkStart w:id="1293" w:name="_Toc234833184"/>
      <w:bookmarkStart w:id="1294" w:name="_Toc4473"/>
      <w:bookmarkStart w:id="1295" w:name="_Toc18139"/>
      <w:r>
        <w:rPr>
          <w:rFonts w:hint="default" w:ascii="Times New Roman" w:hAnsi="Times New Roman" w:eastAsia="黑体" w:cs="Times New Roman"/>
          <w:b w:val="0"/>
          <w:color w:val="auto"/>
          <w:sz w:val="24"/>
          <w:szCs w:val="24"/>
          <w:highlight w:val="none"/>
        </w:rPr>
        <w:t>15.6暂列金额</w:t>
      </w:r>
      <w:bookmarkEnd w:id="1292"/>
      <w:bookmarkEnd w:id="1293"/>
      <w:bookmarkEnd w:id="1294"/>
      <w:bookmarkEnd w:id="1295"/>
    </w:p>
    <w:p w14:paraId="577280C0">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18596196">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15.6.1暂列金额应由监理人报发包人批准后指令全部或部分地使用，或者根本不予动用。</w:t>
      </w:r>
    </w:p>
    <w:p w14:paraId="770C1E21">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4EAF5FCF">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15.6.3当监理人提出要求时，承包人应提供有关暂列金额支出的所有报价单、发票、凭证和账单或收据，除非该工作是根据已标价工程量清单列明的单价或总额价进行的估价。</w:t>
      </w:r>
    </w:p>
    <w:p w14:paraId="6AE67B7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296" w:name="_Toc234833185"/>
      <w:bookmarkStart w:id="1297" w:name="_Toc25734"/>
      <w:bookmarkStart w:id="1298" w:name="_Toc3192"/>
      <w:bookmarkStart w:id="1299" w:name="_Toc6229"/>
      <w:r>
        <w:rPr>
          <w:rFonts w:hint="default" w:ascii="Times New Roman" w:hAnsi="Times New Roman" w:eastAsia="黑体" w:cs="Times New Roman"/>
          <w:b w:val="0"/>
          <w:color w:val="auto"/>
          <w:sz w:val="28"/>
          <w:szCs w:val="28"/>
          <w:highlight w:val="none"/>
        </w:rPr>
        <w:t>16.价格调整</w:t>
      </w:r>
      <w:bookmarkEnd w:id="1296"/>
      <w:bookmarkEnd w:id="1297"/>
      <w:bookmarkEnd w:id="1298"/>
      <w:bookmarkEnd w:id="1299"/>
    </w:p>
    <w:p w14:paraId="7357285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00" w:name="_Toc11157"/>
      <w:bookmarkStart w:id="1301" w:name="_Toc925"/>
      <w:bookmarkStart w:id="1302" w:name="_Toc234833186"/>
      <w:bookmarkStart w:id="1303" w:name="_Toc11540"/>
      <w:r>
        <w:rPr>
          <w:rFonts w:hint="default" w:ascii="Times New Roman" w:hAnsi="Times New Roman" w:eastAsia="黑体" w:cs="Times New Roman"/>
          <w:b w:val="0"/>
          <w:color w:val="auto"/>
          <w:sz w:val="24"/>
          <w:szCs w:val="24"/>
          <w:highlight w:val="none"/>
        </w:rPr>
        <w:t>16.1物价波动引起的价格调整</w:t>
      </w:r>
      <w:bookmarkEnd w:id="1300"/>
      <w:bookmarkEnd w:id="1301"/>
      <w:bookmarkEnd w:id="1302"/>
      <w:bookmarkEnd w:id="1303"/>
    </w:p>
    <w:p w14:paraId="3E2575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24718E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（1）除项目专用合同条款另有约定外，因物价波动引起的价格调整应按项目专用合同条款数据表的规定，按照第16.1.1项或第16.1.2项约定的原则处理；或者</w:t>
      </w:r>
    </w:p>
    <w:p w14:paraId="3262E51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（2）在合同执行期间（包括工期拖延期间）由于人工、材料和设备价格的上涨而引起工程施工成本增加的风险由承包人自行承担，合同价格不会因此而调整。</w:t>
      </w:r>
    </w:p>
    <w:p w14:paraId="23B5D0C0">
      <w:pPr>
        <w:pageBreakBefore w:val="0"/>
        <w:kinsoku/>
        <w:wordWrap w:val="0"/>
        <w:bidi w:val="0"/>
        <w:spacing w:line="400" w:lineRule="atLeast"/>
        <w:ind w:firstLine="470" w:firstLineChars="196"/>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16.1.1</w:t>
      </w:r>
      <w:r>
        <w:rPr>
          <w:rFonts w:hint="default" w:ascii="Times New Roman" w:hAnsi="Times New Roman" w:eastAsia="黑体" w:cs="Times New Roman"/>
          <w:color w:val="auto"/>
          <w:sz w:val="24"/>
          <w:highlight w:val="none"/>
        </w:rPr>
        <w:t>采用价格指数调整价格差额</w:t>
      </w:r>
    </w:p>
    <w:p w14:paraId="3DEE2752">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16.1.1.1价格调整公式</w:t>
      </w:r>
    </w:p>
    <w:p w14:paraId="66B19121">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价格调整公式后增加备注如下：</w:t>
      </w:r>
    </w:p>
    <w:p w14:paraId="082EB49A">
      <w:pPr>
        <w:pageBreakBefore w:val="0"/>
        <w:kinsoku/>
        <w:wordWrap w:val="0"/>
        <w:bidi w:val="0"/>
        <w:spacing w:line="400" w:lineRule="atLeast"/>
        <w:ind w:firstLine="746" w:firstLineChars="311"/>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式中，</w:t>
      </w:r>
      <w:r>
        <w:rPr>
          <w:rFonts w:hint="default" w:ascii="Times New Roman" w:hAnsi="Times New Roman" w:cs="Times New Roman"/>
          <w:b/>
          <w:bCs/>
          <w:color w:val="auto"/>
          <w:sz w:val="24"/>
          <w:highlight w:val="none"/>
        </w:rPr>
        <w:t>A=1－（B</w:t>
      </w:r>
      <w:r>
        <w:rPr>
          <w:rFonts w:hint="default" w:ascii="Times New Roman" w:hAnsi="Times New Roman" w:cs="Times New Roman"/>
          <w:b/>
          <w:bCs/>
          <w:color w:val="auto"/>
          <w:sz w:val="24"/>
          <w:highlight w:val="none"/>
          <w:vertAlign w:val="subscript"/>
        </w:rPr>
        <w:t>1</w:t>
      </w:r>
      <w:r>
        <w:rPr>
          <w:rFonts w:hint="default" w:ascii="Times New Roman" w:hAnsi="Times New Roman" w:cs="Times New Roman"/>
          <w:b/>
          <w:bCs/>
          <w:color w:val="auto"/>
          <w:sz w:val="24"/>
          <w:highlight w:val="none"/>
        </w:rPr>
        <w:t>＋B</w:t>
      </w:r>
      <w:r>
        <w:rPr>
          <w:rFonts w:hint="default" w:ascii="Times New Roman" w:hAnsi="Times New Roman" w:cs="Times New Roman"/>
          <w:b/>
          <w:bCs/>
          <w:color w:val="auto"/>
          <w:sz w:val="24"/>
          <w:highlight w:val="none"/>
          <w:vertAlign w:val="subscript"/>
        </w:rPr>
        <w:t>2</w:t>
      </w:r>
      <w:r>
        <w:rPr>
          <w:rFonts w:hint="default" w:ascii="Times New Roman" w:hAnsi="Times New Roman" w:cs="Times New Roman"/>
          <w:b/>
          <w:bCs/>
          <w:color w:val="auto"/>
          <w:sz w:val="24"/>
          <w:highlight w:val="none"/>
        </w:rPr>
        <w:t>＋B</w:t>
      </w:r>
      <w:r>
        <w:rPr>
          <w:rFonts w:hint="default" w:ascii="Times New Roman" w:hAnsi="Times New Roman" w:cs="Times New Roman"/>
          <w:b/>
          <w:bCs/>
          <w:color w:val="auto"/>
          <w:sz w:val="24"/>
          <w:highlight w:val="none"/>
          <w:vertAlign w:val="subscript"/>
        </w:rPr>
        <w:t>3</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vertAlign w:val="subscript"/>
        </w:rPr>
        <w:t>……</w:t>
      </w:r>
      <w:r>
        <w:rPr>
          <w:rFonts w:hint="default" w:ascii="Times New Roman" w:hAnsi="Times New Roman" w:cs="Times New Roman"/>
          <w:b/>
          <w:bCs/>
          <w:color w:val="auto"/>
          <w:sz w:val="24"/>
          <w:highlight w:val="none"/>
        </w:rPr>
        <w:t>＋B</w:t>
      </w:r>
      <w:r>
        <w:rPr>
          <w:rFonts w:hint="default" w:ascii="Times New Roman" w:hAnsi="Times New Roman" w:cs="Times New Roman"/>
          <w:b/>
          <w:bCs/>
          <w:color w:val="auto"/>
          <w:sz w:val="24"/>
          <w:highlight w:val="none"/>
          <w:vertAlign w:val="subscript"/>
        </w:rPr>
        <w:t>n</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w:t>
      </w:r>
    </w:p>
    <w:p w14:paraId="3DC8DF64">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本目最后一段文字细化为：</w:t>
      </w:r>
    </w:p>
    <w:p w14:paraId="070CB8E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在采用价格调整公式进行调价时，还应遵守以下规定：</w:t>
      </w:r>
    </w:p>
    <w:p w14:paraId="55C046DD">
      <w:pPr>
        <w:pageBreakBefore w:val="0"/>
        <w:kinsoku/>
        <w:wordWrap w:val="0"/>
        <w:bidi w:val="0"/>
        <w:spacing w:line="400" w:lineRule="atLeast"/>
        <w:ind w:firstLine="477" w:firstLineChars="19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480B1B07">
      <w:pPr>
        <w:pageBreakBefore w:val="0"/>
        <w:kinsoku/>
        <w:wordWrap w:val="0"/>
        <w:bidi w:val="0"/>
        <w:spacing w:line="400" w:lineRule="atLeast"/>
        <w:ind w:firstLine="477" w:firstLineChars="19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5CB106F3">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04" w:name="_Toc18133"/>
      <w:bookmarkStart w:id="1305" w:name="_Toc12404"/>
      <w:bookmarkStart w:id="1306" w:name="_Toc13648"/>
      <w:bookmarkStart w:id="1307" w:name="_Toc234833187"/>
      <w:r>
        <w:rPr>
          <w:rFonts w:hint="default" w:ascii="Times New Roman" w:hAnsi="Times New Roman" w:eastAsia="黑体" w:cs="Times New Roman"/>
          <w:b w:val="0"/>
          <w:color w:val="auto"/>
          <w:sz w:val="28"/>
          <w:szCs w:val="28"/>
          <w:highlight w:val="none"/>
        </w:rPr>
        <w:t>17.计量与支付</w:t>
      </w:r>
      <w:bookmarkEnd w:id="1304"/>
      <w:bookmarkEnd w:id="1305"/>
      <w:bookmarkEnd w:id="1306"/>
      <w:bookmarkEnd w:id="1307"/>
    </w:p>
    <w:p w14:paraId="7398305E">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308" w:name="_Toc22272"/>
      <w:bookmarkStart w:id="1309" w:name="_Toc30341"/>
      <w:bookmarkStart w:id="1310" w:name="_Toc234833188"/>
      <w:bookmarkStart w:id="1311" w:name="_Toc23776"/>
      <w:r>
        <w:rPr>
          <w:rFonts w:hint="default" w:ascii="Times New Roman" w:hAnsi="Times New Roman" w:eastAsia="黑体" w:cs="Times New Roman"/>
          <w:b w:val="0"/>
          <w:color w:val="auto"/>
          <w:sz w:val="24"/>
          <w:szCs w:val="24"/>
          <w:highlight w:val="none"/>
        </w:rPr>
        <w:t>17.1计量</w:t>
      </w:r>
      <w:bookmarkEnd w:id="1308"/>
      <w:bookmarkEnd w:id="1309"/>
      <w:bookmarkEnd w:id="1310"/>
      <w:bookmarkEnd w:id="1311"/>
    </w:p>
    <w:p w14:paraId="1F9FA280">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17.1.2</w:t>
      </w:r>
      <w:r>
        <w:rPr>
          <w:rFonts w:hint="default" w:ascii="Times New Roman" w:hAnsi="Times New Roman" w:eastAsia="黑体" w:cs="Times New Roman"/>
          <w:color w:val="auto"/>
          <w:sz w:val="24"/>
          <w:highlight w:val="none"/>
        </w:rPr>
        <w:t>计量方法</w:t>
      </w:r>
    </w:p>
    <w:p w14:paraId="6DED9FE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5DD53BD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工程的计量应以净值为准，除非项目专用合同条款另有约定。工程量清单中各个子目的具体计量方法按本合同文件工程量清单计量规则中的规定执行。</w:t>
      </w:r>
    </w:p>
    <w:p w14:paraId="2F2A3963">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17.1.4</w:t>
      </w:r>
      <w:r>
        <w:rPr>
          <w:rFonts w:hint="default" w:ascii="Times New Roman" w:hAnsi="Times New Roman" w:eastAsia="黑体" w:cs="Times New Roman"/>
          <w:color w:val="auto"/>
          <w:sz w:val="24"/>
          <w:highlight w:val="none"/>
        </w:rPr>
        <w:t>单价子目的计量</w:t>
      </w:r>
    </w:p>
    <w:p w14:paraId="551CE8F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w:t>
      </w:r>
    </w:p>
    <w:p w14:paraId="442F482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（7）承包人未在已标价工程量清单中填入单价或总额价的工程子目，将被认为其已包含在本合同的其他子目的单价和总额价中，发包人将不另行支付。</w:t>
      </w:r>
    </w:p>
    <w:p w14:paraId="6B28E138">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17.1.5</w:t>
      </w:r>
      <w:r>
        <w:rPr>
          <w:rFonts w:hint="default" w:ascii="Times New Roman" w:hAnsi="Times New Roman" w:eastAsia="黑体" w:cs="Times New Roman"/>
          <w:color w:val="auto"/>
          <w:sz w:val="24"/>
          <w:highlight w:val="none"/>
        </w:rPr>
        <w:t>总价子目的计量</w:t>
      </w:r>
    </w:p>
    <w:p w14:paraId="18403676">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本项补充：</w:t>
      </w:r>
    </w:p>
    <w:p w14:paraId="0E56E286">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本项目工程量清单中要求承包人以</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总额</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方式报价的子目，各子目的支付原则和支付进度按项目专用合同条款的规定执行。</w:t>
      </w:r>
    </w:p>
    <w:p w14:paraId="747A2C7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12" w:name="_Toc23977"/>
      <w:bookmarkStart w:id="1313" w:name="_Toc10842"/>
      <w:bookmarkStart w:id="1314" w:name="_Toc234833189"/>
      <w:bookmarkStart w:id="1315" w:name="_Toc15810"/>
      <w:r>
        <w:rPr>
          <w:rFonts w:hint="default" w:ascii="Times New Roman" w:hAnsi="Times New Roman" w:eastAsia="黑体" w:cs="Times New Roman"/>
          <w:b w:val="0"/>
          <w:color w:val="auto"/>
          <w:sz w:val="24"/>
          <w:szCs w:val="24"/>
          <w:highlight w:val="none"/>
        </w:rPr>
        <w:t>17.2预付款</w:t>
      </w:r>
      <w:bookmarkEnd w:id="1312"/>
      <w:bookmarkEnd w:id="1313"/>
      <w:bookmarkEnd w:id="1314"/>
      <w:bookmarkEnd w:id="1315"/>
    </w:p>
    <w:p w14:paraId="11431B2C">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17.2.1</w:t>
      </w:r>
      <w:r>
        <w:rPr>
          <w:rFonts w:hint="default" w:ascii="Times New Roman" w:hAnsi="Times New Roman" w:eastAsia="黑体" w:cs="Times New Roman"/>
          <w:color w:val="auto"/>
          <w:sz w:val="24"/>
          <w:highlight w:val="none"/>
        </w:rPr>
        <w:t>预付款</w:t>
      </w:r>
    </w:p>
    <w:p w14:paraId="412A923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2254AAC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预付款包括开工预付款和材料、设备预付款。具体额度和预付办法如下：</w:t>
      </w:r>
    </w:p>
    <w:p w14:paraId="376EB3F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685EA8C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6883E78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（2）材料、设备预付款按项目专用合同条款数据表中所列主要材料、设备</w:t>
      </w:r>
      <w:r>
        <w:rPr>
          <w:rFonts w:hint="eastAsia" w:cs="Times New Roman"/>
          <w:color w:val="auto"/>
          <w:sz w:val="24"/>
          <w:highlight w:val="none"/>
          <w:lang w:val="en-US" w:eastAsia="zh-CN"/>
        </w:rPr>
        <w:t>清单</w:t>
      </w:r>
      <w:r>
        <w:rPr>
          <w:rFonts w:hint="default" w:ascii="Times New Roman" w:hAnsi="Times New Roman" w:cs="Times New Roman"/>
          <w:color w:val="auto"/>
          <w:sz w:val="24"/>
          <w:highlight w:val="none"/>
        </w:rPr>
        <w:t>费用（进口的材料、设备为到岸价，国内采购的为出厂价或销售价，地方材料为堆场价）的百分比支付。其预付条件为：</w:t>
      </w:r>
    </w:p>
    <w:p w14:paraId="632128C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a.材料、设备符合规范要求并经监理人认可；</w:t>
      </w:r>
    </w:p>
    <w:p w14:paraId="7A66378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b.承包人已出具材料、设备费用凭证或支付单据；</w:t>
      </w:r>
    </w:p>
    <w:p w14:paraId="6499028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c.材料、设备已在现场交货，且存储良好，监理人认为材料、设备的存储方法符合要求。</w:t>
      </w:r>
    </w:p>
    <w:p w14:paraId="3A0BB62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则监理人应将此项金额作为材料、设备预付款计入下一次的进度付款证书中。在预计交工前3个月，将不再支付材料、设备预付款。</w:t>
      </w:r>
    </w:p>
    <w:p w14:paraId="320274F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17.2.2</w:t>
      </w:r>
      <w:r>
        <w:rPr>
          <w:rFonts w:hint="default" w:ascii="Times New Roman" w:hAnsi="Times New Roman" w:eastAsia="黑体" w:cs="Times New Roman"/>
          <w:color w:val="auto"/>
          <w:sz w:val="24"/>
          <w:highlight w:val="none"/>
        </w:rPr>
        <w:t>预付款保函</w:t>
      </w:r>
    </w:p>
    <w:p w14:paraId="667D80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23DC2C7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承包人无须向发包人提交预付款保函。发包人向承包人支付的预付款，应按照本合同第17.2.1项规定使用，承包人提交的履约保证金对预付款的正常使用承担保证责任。</w:t>
      </w:r>
    </w:p>
    <w:p w14:paraId="33EA409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17.2.3</w:t>
      </w:r>
      <w:r>
        <w:rPr>
          <w:rFonts w:hint="default" w:ascii="Times New Roman" w:hAnsi="Times New Roman" w:eastAsia="黑体" w:cs="Times New Roman"/>
          <w:color w:val="auto"/>
          <w:sz w:val="24"/>
          <w:highlight w:val="none"/>
        </w:rPr>
        <w:t>预付款的扣回与还清</w:t>
      </w:r>
    </w:p>
    <w:p w14:paraId="07FD99CE">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215E290F">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E9A2AFD">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14:paraId="74E734B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16" w:name="_Toc234833190"/>
      <w:bookmarkStart w:id="1317" w:name="_Toc32286"/>
      <w:bookmarkStart w:id="1318" w:name="_Toc24114"/>
      <w:bookmarkStart w:id="1319" w:name="_Toc30179"/>
      <w:r>
        <w:rPr>
          <w:rFonts w:hint="default" w:ascii="Times New Roman" w:hAnsi="Times New Roman" w:eastAsia="黑体" w:cs="Times New Roman"/>
          <w:b w:val="0"/>
          <w:color w:val="auto"/>
          <w:sz w:val="24"/>
          <w:szCs w:val="24"/>
          <w:highlight w:val="none"/>
        </w:rPr>
        <w:t>17.3工程进度付款</w:t>
      </w:r>
      <w:bookmarkEnd w:id="1316"/>
      <w:bookmarkEnd w:id="1317"/>
      <w:bookmarkEnd w:id="1318"/>
      <w:bookmarkEnd w:id="1319"/>
    </w:p>
    <w:p w14:paraId="066E0D1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17.3.3</w:t>
      </w:r>
      <w:r>
        <w:rPr>
          <w:rFonts w:hint="default" w:ascii="Times New Roman" w:hAnsi="Times New Roman" w:eastAsia="黑体" w:cs="Times New Roman"/>
          <w:color w:val="auto"/>
          <w:sz w:val="24"/>
          <w:highlight w:val="none"/>
        </w:rPr>
        <w:t>进度付款证书和支付时间</w:t>
      </w:r>
    </w:p>
    <w:p w14:paraId="216B616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本项（1）目补充：</w:t>
      </w:r>
    </w:p>
    <w:p w14:paraId="7E9E10A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11F09CD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D4DDE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发包人应在监理人收到进度付款申请单且承包人提交了合格的增值税专用发票后的28天内，将进度应付款支付给承包人。</w:t>
      </w:r>
    </w:p>
    <w:p w14:paraId="0D4A018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264DAB8A">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本款补充第17.3.5项：</w:t>
      </w:r>
    </w:p>
    <w:p w14:paraId="35287F33">
      <w:pPr>
        <w:pageBreakBefore w:val="0"/>
        <w:kinsoku/>
        <w:wordWrap w:val="0"/>
        <w:bidi w:val="0"/>
        <w:spacing w:line="42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17.3.5</w:t>
      </w:r>
      <w:r>
        <w:rPr>
          <w:rFonts w:hint="default" w:ascii="Times New Roman" w:hAnsi="Times New Roman" w:eastAsia="黑体" w:cs="Times New Roman"/>
          <w:color w:val="auto"/>
          <w:sz w:val="24"/>
          <w:highlight w:val="none"/>
        </w:rPr>
        <w:t>农民工工资保证金</w:t>
      </w:r>
    </w:p>
    <w:p w14:paraId="15D94E8B">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（1）为确保施工过程中农民工工资实时、足额发放到位，承包人应按照项目专用合同条款约定的时间和金额缴存农民工工资保证金。</w:t>
      </w:r>
    </w:p>
    <w:p w14:paraId="2C36889D">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（2）农民工工资保证金可采用银行保函或现金、支票形式。采用银行保函时，出具保函的银行须具有相应担保能力，且按照发包人批准的格式出具，所需费用由承包人承担。</w:t>
      </w:r>
    </w:p>
    <w:p w14:paraId="73038BCB">
      <w:pPr>
        <w:pageBreakBefore w:val="0"/>
        <w:widowControl/>
        <w:kinsoku/>
        <w:wordWrap w:val="0"/>
        <w:bidi w:val="0"/>
        <w:spacing w:line="42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（3）农民工工资保证金的扣留条件、返还时间按照项目专用合同条款的约定执行。</w:t>
      </w:r>
    </w:p>
    <w:p w14:paraId="30C0C84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20" w:name="_Toc29571"/>
      <w:bookmarkStart w:id="1321" w:name="_Toc234833191"/>
      <w:bookmarkStart w:id="1322" w:name="_Toc29743"/>
      <w:bookmarkStart w:id="1323" w:name="_Toc4893"/>
      <w:r>
        <w:rPr>
          <w:rFonts w:hint="default" w:ascii="Times New Roman" w:hAnsi="Times New Roman" w:eastAsia="黑体" w:cs="Times New Roman"/>
          <w:b w:val="0"/>
          <w:color w:val="auto"/>
          <w:sz w:val="24"/>
          <w:szCs w:val="24"/>
          <w:highlight w:val="none"/>
        </w:rPr>
        <w:t>17.4质量保证金</w:t>
      </w:r>
      <w:bookmarkEnd w:id="1320"/>
      <w:bookmarkEnd w:id="1321"/>
      <w:bookmarkEnd w:id="1322"/>
      <w:bookmarkEnd w:id="1323"/>
    </w:p>
    <w:p w14:paraId="29C0572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第17.4.1项、第17.4.2项细化为：</w:t>
      </w:r>
    </w:p>
    <w:p w14:paraId="304935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152730E2">
      <w:pPr>
        <w:pageBreakBefore w:val="0"/>
        <w:kinsoku/>
        <w:wordWrap w:val="0"/>
        <w:bidi w:val="0"/>
        <w:spacing w:line="400" w:lineRule="atLeast"/>
        <w:ind w:firstLine="480" w:firstLineChars="200"/>
        <w:outlineLvl w:val="9"/>
        <w:rPr>
          <w:rFonts w:hint="default" w:ascii="Times New Roman" w:hAnsi="Times New Roman" w:eastAsia="宋体 ，Arial" w:cs="Times New Roman"/>
          <w:color w:val="auto"/>
          <w:kern w:val="0"/>
          <w:sz w:val="24"/>
          <w:highlight w:val="none"/>
        </w:rPr>
      </w:pPr>
      <w:r>
        <w:rPr>
          <w:rFonts w:hint="default" w:ascii="Times New Roman" w:hAnsi="Times New Roman" w:cs="Times New Roman"/>
          <w:color w:val="auto"/>
          <w:sz w:val="24"/>
          <w:highlight w:val="none"/>
        </w:rPr>
        <w:t>质量保证金采用现金、支票形式提交的，发包人应在项目专用合同条款数据表中明确是否</w:t>
      </w:r>
      <w:r>
        <w:rPr>
          <w:rFonts w:hint="default" w:ascii="Times New Roman" w:hAnsi="Times New Roman" w:eastAsia="宋体 ，Arial" w:cs="Times New Roman"/>
          <w:color w:val="auto"/>
          <w:kern w:val="0"/>
          <w:sz w:val="24"/>
          <w:highlight w:val="none"/>
        </w:rPr>
        <w:t>计付利息以及利息的计算方式。</w:t>
      </w:r>
    </w:p>
    <w:p w14:paraId="0478A2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17.4.2在第1.1.4.5</w:t>
      </w:r>
      <w:r>
        <w:rPr>
          <w:rFonts w:hint="eastAsia" w:cs="Times New Roman"/>
          <w:color w:val="auto"/>
          <w:sz w:val="24"/>
          <w:highlight w:val="none"/>
          <w:lang w:val="en-US" w:eastAsia="zh-CN"/>
        </w:rPr>
        <w:t>款项</w:t>
      </w:r>
      <w:r>
        <w:rPr>
          <w:rFonts w:hint="default" w:ascii="Times New Roman" w:hAnsi="Times New Roman" w:cs="Times New Roman"/>
          <w:color w:val="auto"/>
          <w:sz w:val="24"/>
          <w:highlight w:val="none"/>
        </w:rPr>
        <w:t>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24C041DE">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24" w:name="_Toc3090"/>
      <w:bookmarkStart w:id="1325" w:name="_Toc1942"/>
      <w:bookmarkStart w:id="1326" w:name="_Toc1771"/>
      <w:bookmarkStart w:id="1327" w:name="_Toc234833192"/>
      <w:r>
        <w:rPr>
          <w:rFonts w:hint="default" w:ascii="Times New Roman" w:hAnsi="Times New Roman" w:eastAsia="黑体" w:cs="Times New Roman"/>
          <w:b w:val="0"/>
          <w:color w:val="auto"/>
          <w:sz w:val="24"/>
          <w:szCs w:val="24"/>
          <w:highlight w:val="none"/>
        </w:rPr>
        <w:t>17.5交工结算</w:t>
      </w:r>
      <w:bookmarkEnd w:id="1324"/>
      <w:bookmarkEnd w:id="1325"/>
      <w:bookmarkEnd w:id="1326"/>
      <w:bookmarkEnd w:id="1327"/>
    </w:p>
    <w:p w14:paraId="4D1B9809">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17.5.1</w:t>
      </w:r>
      <w:r>
        <w:rPr>
          <w:rFonts w:hint="default" w:ascii="Times New Roman" w:hAnsi="Times New Roman" w:eastAsia="黑体" w:cs="Times New Roman"/>
          <w:color w:val="auto"/>
          <w:sz w:val="24"/>
          <w:highlight w:val="none"/>
        </w:rPr>
        <w:t>交工付款申请单</w:t>
      </w:r>
    </w:p>
    <w:p w14:paraId="051856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本项（1）目约定为：</w:t>
      </w:r>
    </w:p>
    <w:p w14:paraId="045CAD7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承包人向监理人提交交工付款申请单（包括相关证明材料）的份数在项目专用合同条款数据表中约定；期限：交工验收证书签发后42天内。</w:t>
      </w:r>
    </w:p>
    <w:p w14:paraId="4B2AD39D">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17.5.2</w:t>
      </w:r>
      <w:r>
        <w:rPr>
          <w:rFonts w:hint="default" w:ascii="Times New Roman" w:hAnsi="Times New Roman" w:eastAsia="黑体" w:cs="Times New Roman"/>
          <w:color w:val="auto"/>
          <w:sz w:val="24"/>
          <w:highlight w:val="none"/>
        </w:rPr>
        <w:t>交工付款证书及支付时间</w:t>
      </w:r>
    </w:p>
    <w:p w14:paraId="3A93A77F">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本项（2）目细化为：</w:t>
      </w:r>
    </w:p>
    <w:p w14:paraId="0432436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发包人应在监理人出具交工付款证书且承包人提交了合格的增值税专用发票后的14天内，将应支付款支付给承包人。发包人不按期支付的，按第17.3.3（2）</w:t>
      </w:r>
      <w:r>
        <w:rPr>
          <w:rFonts w:hint="eastAsia" w:cs="Times New Roman"/>
          <w:color w:val="auto"/>
          <w:sz w:val="24"/>
          <w:highlight w:val="none"/>
          <w:lang w:val="en-US" w:eastAsia="zh-CN"/>
        </w:rPr>
        <w:t>项的目</w:t>
      </w:r>
      <w:r>
        <w:rPr>
          <w:rFonts w:hint="default" w:ascii="Times New Roman" w:hAnsi="Times New Roman" w:cs="Times New Roman"/>
          <w:color w:val="auto"/>
          <w:sz w:val="24"/>
          <w:highlight w:val="none"/>
        </w:rPr>
        <w:t>的约定，将逾期付款违约金支付给承包人。</w:t>
      </w:r>
    </w:p>
    <w:p w14:paraId="34ECFB80">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28" w:name="_Toc11156"/>
      <w:bookmarkStart w:id="1329" w:name="_Toc19025"/>
      <w:bookmarkStart w:id="1330" w:name="_Toc11950"/>
      <w:bookmarkStart w:id="1331" w:name="_Toc234833193"/>
      <w:r>
        <w:rPr>
          <w:rFonts w:hint="default" w:ascii="Times New Roman" w:hAnsi="Times New Roman" w:eastAsia="黑体" w:cs="Times New Roman"/>
          <w:b w:val="0"/>
          <w:color w:val="auto"/>
          <w:sz w:val="24"/>
          <w:szCs w:val="24"/>
          <w:highlight w:val="none"/>
        </w:rPr>
        <w:t>17.6最终结清</w:t>
      </w:r>
      <w:bookmarkEnd w:id="1328"/>
      <w:bookmarkEnd w:id="1329"/>
      <w:bookmarkEnd w:id="1330"/>
      <w:bookmarkEnd w:id="1331"/>
    </w:p>
    <w:p w14:paraId="3759AEEC">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17.6.1</w:t>
      </w:r>
      <w:r>
        <w:rPr>
          <w:rFonts w:hint="default" w:ascii="Times New Roman" w:hAnsi="Times New Roman" w:eastAsia="黑体" w:cs="Times New Roman"/>
          <w:color w:val="auto"/>
          <w:sz w:val="24"/>
          <w:highlight w:val="none"/>
        </w:rPr>
        <w:t>最终结清申请单</w:t>
      </w:r>
    </w:p>
    <w:p w14:paraId="75C4810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本项（1）目约定为：</w:t>
      </w:r>
    </w:p>
    <w:p w14:paraId="7680AC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承包人向监理人提交最终结清申请单（包括相关证明材料）的份数在项目专用合同条款数据表中约定；期限：缺陷责任期终止证书签发后28天内。</w:t>
      </w:r>
    </w:p>
    <w:p w14:paraId="2919EF6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最终结清申请单中的总金额应认为是代表了根据合同规定应付给承包人的全部款项的最后结算。</w:t>
      </w:r>
    </w:p>
    <w:p w14:paraId="492D0D36">
      <w:pPr>
        <w:pageBreakBefore w:val="0"/>
        <w:kinsoku/>
        <w:wordWrap w:val="0"/>
        <w:bidi w:val="0"/>
        <w:spacing w:line="400" w:lineRule="atLeast"/>
        <w:ind w:firstLine="470" w:firstLineChars="196"/>
        <w:outlineLvl w:val="9"/>
        <w:rPr>
          <w:rFonts w:hint="eastAsia" w:ascii="Times New Roman" w:hAnsi="Times New Roman" w:eastAsia="黑体" w:cs="Times New Roman"/>
          <w:color w:val="auto"/>
          <w:sz w:val="24"/>
          <w:highlight w:val="none"/>
          <w:lang w:eastAsia="zh-CN"/>
        </w:rPr>
      </w:pPr>
      <w:r>
        <w:rPr>
          <w:rFonts w:hint="default" w:ascii="Times New Roman" w:hAnsi="Times New Roman" w:cs="Times New Roman"/>
          <w:color w:val="auto"/>
          <w:sz w:val="24"/>
          <w:highlight w:val="none"/>
        </w:rPr>
        <w:t>17.6.2</w:t>
      </w:r>
      <w:r>
        <w:rPr>
          <w:rFonts w:hint="default" w:ascii="Times New Roman" w:hAnsi="Times New Roman" w:eastAsia="黑体" w:cs="Times New Roman"/>
          <w:color w:val="auto"/>
          <w:sz w:val="24"/>
          <w:highlight w:val="none"/>
        </w:rPr>
        <w:t>最终结清证书和支付时间</w:t>
      </w:r>
    </w:p>
    <w:p w14:paraId="77D8669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58F7BC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736CDE97">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32" w:name="_Toc12621"/>
      <w:bookmarkStart w:id="1333" w:name="_Toc24563"/>
      <w:bookmarkStart w:id="1334" w:name="_Toc22331"/>
      <w:bookmarkStart w:id="1335" w:name="_Toc234833194"/>
      <w:r>
        <w:rPr>
          <w:rFonts w:hint="default" w:ascii="Times New Roman" w:hAnsi="Times New Roman" w:eastAsia="黑体" w:cs="Times New Roman"/>
          <w:b w:val="0"/>
          <w:color w:val="auto"/>
          <w:sz w:val="28"/>
          <w:szCs w:val="28"/>
          <w:highlight w:val="none"/>
        </w:rPr>
        <w:t>18.交工验收</w:t>
      </w:r>
      <w:bookmarkEnd w:id="1332"/>
      <w:bookmarkEnd w:id="1333"/>
      <w:bookmarkEnd w:id="1334"/>
      <w:bookmarkEnd w:id="1335"/>
    </w:p>
    <w:p w14:paraId="146A4D9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36" w:name="_Toc14002"/>
      <w:bookmarkStart w:id="1337" w:name="_Toc29033"/>
      <w:bookmarkStart w:id="1338" w:name="_Toc234833195"/>
      <w:bookmarkStart w:id="1339" w:name="_Toc13694"/>
      <w:r>
        <w:rPr>
          <w:rFonts w:hint="default" w:ascii="Times New Roman" w:hAnsi="Times New Roman" w:eastAsia="黑体" w:cs="Times New Roman"/>
          <w:b w:val="0"/>
          <w:color w:val="auto"/>
          <w:sz w:val="24"/>
          <w:szCs w:val="24"/>
          <w:highlight w:val="none"/>
        </w:rPr>
        <w:t>18.2交工验收申请报告</w:t>
      </w:r>
      <w:bookmarkEnd w:id="1336"/>
      <w:bookmarkEnd w:id="1337"/>
      <w:bookmarkEnd w:id="1338"/>
      <w:bookmarkEnd w:id="1339"/>
    </w:p>
    <w:p w14:paraId="0B0C0C2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本款第（2）项约定为：</w:t>
      </w:r>
    </w:p>
    <w:p w14:paraId="1CDB8E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竣工资料的内容：承包人应按照《公路工程竣（交）工验收办法》和相关规定编制竣工资料。</w:t>
      </w:r>
    </w:p>
    <w:p w14:paraId="37D9FC7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竣工资料的份数在项目专用合同条款数据表中约定。</w:t>
      </w:r>
    </w:p>
    <w:p w14:paraId="1381CEB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40" w:name="_Toc234833196"/>
      <w:bookmarkStart w:id="1341" w:name="_Toc4025"/>
      <w:bookmarkStart w:id="1342" w:name="_Toc2589"/>
      <w:bookmarkStart w:id="1343" w:name="_Toc11830"/>
      <w:r>
        <w:rPr>
          <w:rFonts w:hint="default" w:ascii="Times New Roman" w:hAnsi="Times New Roman" w:eastAsia="黑体" w:cs="Times New Roman"/>
          <w:b w:val="0"/>
          <w:color w:val="auto"/>
          <w:sz w:val="24"/>
          <w:szCs w:val="24"/>
          <w:highlight w:val="none"/>
        </w:rPr>
        <w:t>18.3验收</w:t>
      </w:r>
      <w:bookmarkEnd w:id="1340"/>
      <w:bookmarkEnd w:id="1341"/>
      <w:bookmarkEnd w:id="1342"/>
      <w:bookmarkEnd w:id="1343"/>
    </w:p>
    <w:p w14:paraId="2329F65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第18.3.2项补充：</w:t>
      </w:r>
    </w:p>
    <w:p w14:paraId="07E7A9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C93B41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第18.3.5项约定为：</w:t>
      </w:r>
    </w:p>
    <w:p w14:paraId="47800D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经验收合格工程的实际交工日期，以最终提交交工验收申请报告的日期为准，并在交工验收证书中写明。</w:t>
      </w:r>
    </w:p>
    <w:p w14:paraId="212ECE4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本款补充第18.3.7项：</w:t>
      </w:r>
    </w:p>
    <w:p w14:paraId="76E61B6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组织办理交工验收和签发交工验收证书的费用由发包人承担。但按照第18.3.4项规定达不到合格标准的交工验收费用由承包人承担。</w:t>
      </w:r>
    </w:p>
    <w:p w14:paraId="50F0951B">
      <w:pPr>
        <w:pageBreakBefore w:val="0"/>
        <w:kinsoku/>
        <w:wordWrap w:val="0"/>
        <w:bidi w:val="0"/>
        <w:spacing w:before="240" w:beforeLines="100" w:line="400" w:lineRule="atLeast"/>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本条补充第18.9款：</w:t>
      </w:r>
    </w:p>
    <w:p w14:paraId="5A96256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44" w:name="_Toc234833197"/>
      <w:bookmarkStart w:id="1345" w:name="_Toc25110"/>
      <w:bookmarkStart w:id="1346" w:name="_Toc3682"/>
      <w:bookmarkStart w:id="1347" w:name="_Toc21991"/>
      <w:r>
        <w:rPr>
          <w:rFonts w:hint="default" w:ascii="Times New Roman" w:hAnsi="Times New Roman" w:eastAsia="黑体" w:cs="Times New Roman"/>
          <w:b w:val="0"/>
          <w:color w:val="auto"/>
          <w:sz w:val="24"/>
          <w:szCs w:val="24"/>
          <w:highlight w:val="none"/>
        </w:rPr>
        <w:t>18.9竣工文件</w:t>
      </w:r>
      <w:bookmarkEnd w:id="1344"/>
      <w:bookmarkEnd w:id="1345"/>
      <w:bookmarkEnd w:id="1346"/>
      <w:bookmarkEnd w:id="1347"/>
    </w:p>
    <w:p w14:paraId="43FAED0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承包人应按照《公路工程竣（交）工验收办法》的相关规定，在缺陷责任期内为竣工验收补充竣工资料，并在签发缺陷责任期终止证书之前提交。</w:t>
      </w:r>
    </w:p>
    <w:p w14:paraId="4F8F2C02">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48" w:name="_Toc16481"/>
      <w:bookmarkStart w:id="1349" w:name="_Toc234833198"/>
      <w:bookmarkStart w:id="1350" w:name="_Toc5229"/>
      <w:bookmarkStart w:id="1351" w:name="_Toc11360"/>
      <w:r>
        <w:rPr>
          <w:rFonts w:hint="default" w:ascii="Times New Roman" w:hAnsi="Times New Roman" w:eastAsia="黑体" w:cs="Times New Roman"/>
          <w:b w:val="0"/>
          <w:color w:val="auto"/>
          <w:sz w:val="28"/>
          <w:szCs w:val="28"/>
          <w:highlight w:val="none"/>
        </w:rPr>
        <w:t>19.缺陷责任与保修责任</w:t>
      </w:r>
      <w:bookmarkEnd w:id="1348"/>
      <w:bookmarkEnd w:id="1349"/>
      <w:bookmarkEnd w:id="1350"/>
      <w:bookmarkEnd w:id="1351"/>
    </w:p>
    <w:p w14:paraId="2E2732B2">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52" w:name="_Toc32462"/>
      <w:bookmarkStart w:id="1353" w:name="_Toc234833199"/>
      <w:bookmarkStart w:id="1354" w:name="_Toc13979"/>
      <w:bookmarkStart w:id="1355" w:name="_Toc28049"/>
      <w:r>
        <w:rPr>
          <w:rFonts w:hint="default" w:ascii="Times New Roman" w:hAnsi="Times New Roman" w:eastAsia="黑体" w:cs="Times New Roman"/>
          <w:b w:val="0"/>
          <w:color w:val="auto"/>
          <w:sz w:val="24"/>
          <w:szCs w:val="24"/>
          <w:highlight w:val="none"/>
        </w:rPr>
        <w:t>19.2缺陷责任</w:t>
      </w:r>
      <w:bookmarkEnd w:id="1352"/>
      <w:bookmarkEnd w:id="1353"/>
      <w:bookmarkEnd w:id="1354"/>
      <w:bookmarkEnd w:id="1355"/>
    </w:p>
    <w:p w14:paraId="24B3593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第19.2.2项补充：</w:t>
      </w:r>
    </w:p>
    <w:p w14:paraId="459305A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在缺陷责任期内，承包人应尽快完成在交工验收证书中写明的未完成工作，并完成对本工程缺陷的修复或监理人指令的修补工作。</w:t>
      </w:r>
    </w:p>
    <w:p w14:paraId="4CEAACEB">
      <w:pPr>
        <w:pageBreakBefore w:val="0"/>
        <w:kinsoku/>
        <w:wordWrap w:val="0"/>
        <w:bidi w:val="0"/>
        <w:spacing w:before="240" w:after="240" w:line="380" w:lineRule="atLeast"/>
        <w:outlineLvl w:val="9"/>
        <w:rPr>
          <w:rFonts w:hint="eastAsia" w:ascii="Times New Roman" w:hAnsi="Times New Roman" w:eastAsia="黑体" w:cs="Times New Roman"/>
          <w:b w:val="0"/>
          <w:color w:val="auto"/>
          <w:sz w:val="24"/>
          <w:szCs w:val="24"/>
          <w:highlight w:val="none"/>
          <w:lang w:eastAsia="zh-CN"/>
        </w:rPr>
      </w:pPr>
      <w:bookmarkStart w:id="1356" w:name="_Toc17860"/>
      <w:bookmarkStart w:id="1357" w:name="_Toc17405"/>
      <w:bookmarkStart w:id="1358" w:name="_Toc8826"/>
      <w:bookmarkStart w:id="1359" w:name="_Toc234833200"/>
      <w:r>
        <w:rPr>
          <w:rFonts w:hint="default" w:ascii="Times New Roman" w:hAnsi="Times New Roman" w:eastAsia="黑体" w:cs="Times New Roman"/>
          <w:b w:val="0"/>
          <w:color w:val="auto"/>
          <w:sz w:val="24"/>
          <w:szCs w:val="24"/>
          <w:highlight w:val="none"/>
        </w:rPr>
        <w:t>19.5承包人的进入权</w:t>
      </w:r>
      <w:bookmarkEnd w:id="1356"/>
      <w:bookmarkEnd w:id="1357"/>
      <w:bookmarkEnd w:id="1358"/>
      <w:bookmarkEnd w:id="1359"/>
    </w:p>
    <w:p w14:paraId="17CB4C14">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本款补充</w:t>
      </w:r>
      <w:r>
        <w:rPr>
          <w:rFonts w:hint="eastAsia" w:cs="Times New Roman"/>
          <w:color w:val="auto"/>
          <w:sz w:val="24"/>
          <w:highlight w:val="none"/>
          <w:lang w:val="en-US" w:eastAsia="zh-CN"/>
        </w:rPr>
        <w:t>如下：</w:t>
      </w:r>
    </w:p>
    <w:p w14:paraId="6537BEE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承包人在缺陷修复施工过程中，应服从管养单位的有关安全管理规定，由于承包人自身原因造成的人员伤亡、设备和材料的损毁及罚款等责任由承包人自负。</w:t>
      </w:r>
    </w:p>
    <w:p w14:paraId="5A15E0C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60" w:name="_Toc234833201"/>
      <w:bookmarkStart w:id="1361" w:name="_Toc13835"/>
      <w:bookmarkStart w:id="1362" w:name="_Toc22662"/>
      <w:bookmarkStart w:id="1363" w:name="_Toc17931"/>
      <w:r>
        <w:rPr>
          <w:rFonts w:hint="default" w:ascii="Times New Roman" w:hAnsi="Times New Roman" w:eastAsia="黑体" w:cs="Times New Roman"/>
          <w:b w:val="0"/>
          <w:color w:val="auto"/>
          <w:sz w:val="24"/>
          <w:szCs w:val="24"/>
          <w:highlight w:val="none"/>
        </w:rPr>
        <w:t>19.7保修责任</w:t>
      </w:r>
      <w:bookmarkEnd w:id="1360"/>
      <w:bookmarkEnd w:id="1361"/>
      <w:bookmarkEnd w:id="1362"/>
      <w:bookmarkEnd w:id="1363"/>
    </w:p>
    <w:p w14:paraId="208ED5F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本款细化为：</w:t>
      </w:r>
    </w:p>
    <w:p w14:paraId="2E46AC0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E309C5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（2）在全部工程交工验收前，已经发包人提前验收的单位工程，其保修期的起算日期相应提前。</w:t>
      </w:r>
    </w:p>
    <w:p w14:paraId="01E467A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（3）工程保修期终止后28天内，监理人签发保修期终止证书。</w:t>
      </w:r>
    </w:p>
    <w:p w14:paraId="4784509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（4）若承包人不履行保修义务和责任，则承包人应承担由于违约造成的法律后果，并由发包人将其违约行为上报省级交通运输主管部门，作为不良记录纳入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047ABAE6">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64" w:name="_Toc27979"/>
      <w:bookmarkStart w:id="1365" w:name="_Toc234833202"/>
      <w:bookmarkStart w:id="1366" w:name="_Toc22022"/>
      <w:bookmarkStart w:id="1367" w:name="_Toc23441"/>
      <w:r>
        <w:rPr>
          <w:rFonts w:hint="default" w:ascii="Times New Roman" w:hAnsi="Times New Roman" w:eastAsia="黑体" w:cs="Times New Roman"/>
          <w:b w:val="0"/>
          <w:color w:val="auto"/>
          <w:sz w:val="28"/>
          <w:szCs w:val="28"/>
          <w:highlight w:val="none"/>
        </w:rPr>
        <w:t>20.保险</w:t>
      </w:r>
      <w:bookmarkEnd w:id="1364"/>
      <w:bookmarkEnd w:id="1365"/>
      <w:bookmarkEnd w:id="1366"/>
      <w:bookmarkEnd w:id="1367"/>
    </w:p>
    <w:p w14:paraId="43F31E37">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68" w:name="_Toc234833203"/>
      <w:bookmarkStart w:id="1369" w:name="_Toc20820"/>
      <w:bookmarkStart w:id="1370" w:name="_Toc27757"/>
      <w:bookmarkStart w:id="1371" w:name="_Toc18588"/>
      <w:r>
        <w:rPr>
          <w:rFonts w:hint="default" w:ascii="Times New Roman" w:hAnsi="Times New Roman" w:eastAsia="黑体" w:cs="Times New Roman"/>
          <w:b w:val="0"/>
          <w:color w:val="auto"/>
          <w:sz w:val="24"/>
          <w:szCs w:val="24"/>
          <w:highlight w:val="none"/>
        </w:rPr>
        <w:t>20.1工程保险</w:t>
      </w:r>
      <w:bookmarkEnd w:id="1368"/>
      <w:bookmarkEnd w:id="1369"/>
      <w:bookmarkEnd w:id="1370"/>
      <w:bookmarkEnd w:id="1371"/>
    </w:p>
    <w:p w14:paraId="79447EA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14DD540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建筑工程一切险的投保内容：为本合同工程的永久工程、临时工程和设备及已运至施工工地用于永久工程的材料和设备所投的保险。</w:t>
      </w:r>
    </w:p>
    <w:p w14:paraId="39A02A1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保险金额：工程量清单第100章（不含建筑工程一切险及第三者责任险的保险费）至第700章的合计金额。</w:t>
      </w:r>
    </w:p>
    <w:p w14:paraId="084FD06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保险费率：在项目专用合同条款数据表中约定。</w:t>
      </w:r>
    </w:p>
    <w:p w14:paraId="2762967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保险期限：开工日起直至本合同工程签发缺陷责任期终止证书止（即合同工期＋缺陷责任期）。</w:t>
      </w:r>
    </w:p>
    <w:p w14:paraId="3689984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2C981B83">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72" w:name="_Toc6160"/>
      <w:bookmarkStart w:id="1373" w:name="_Toc1174"/>
      <w:bookmarkStart w:id="1374" w:name="_Toc234833204"/>
      <w:bookmarkStart w:id="1375" w:name="_Toc28327"/>
      <w:r>
        <w:rPr>
          <w:rFonts w:hint="default" w:ascii="Times New Roman" w:hAnsi="Times New Roman" w:eastAsia="黑体" w:cs="Times New Roman"/>
          <w:b w:val="0"/>
          <w:color w:val="auto"/>
          <w:sz w:val="24"/>
          <w:szCs w:val="24"/>
          <w:highlight w:val="none"/>
        </w:rPr>
        <w:t>20.4第三者责任险</w:t>
      </w:r>
      <w:bookmarkEnd w:id="1372"/>
      <w:bookmarkEnd w:id="1373"/>
      <w:bookmarkEnd w:id="1374"/>
      <w:bookmarkEnd w:id="1375"/>
    </w:p>
    <w:p w14:paraId="1F0C499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第20.4.2项补充：</w:t>
      </w:r>
    </w:p>
    <w:p w14:paraId="21C5A1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第三者责任险的保险费由承包人报价时列入工程量清单第100章内。发包人在接到保险单后，将按照保险单的费用直接向承包人支付。</w:t>
      </w:r>
    </w:p>
    <w:p w14:paraId="4D86244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76" w:name="_Toc234833205"/>
      <w:bookmarkStart w:id="1377" w:name="_Toc13808"/>
      <w:bookmarkStart w:id="1378" w:name="_Toc5754"/>
      <w:bookmarkStart w:id="1379" w:name="_Toc4864"/>
      <w:r>
        <w:rPr>
          <w:rFonts w:hint="default" w:ascii="Times New Roman" w:hAnsi="Times New Roman" w:eastAsia="黑体" w:cs="Times New Roman"/>
          <w:b w:val="0"/>
          <w:color w:val="auto"/>
          <w:sz w:val="24"/>
          <w:szCs w:val="24"/>
          <w:highlight w:val="none"/>
        </w:rPr>
        <w:t>20.5其他保险</w:t>
      </w:r>
      <w:bookmarkEnd w:id="1376"/>
      <w:bookmarkEnd w:id="1377"/>
      <w:bookmarkEnd w:id="1378"/>
      <w:bookmarkEnd w:id="1379"/>
    </w:p>
    <w:p w14:paraId="076A561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本款约定为：</w:t>
      </w:r>
    </w:p>
    <w:p w14:paraId="383A3476">
      <w:pPr>
        <w:pageBreakBefore w:val="0"/>
        <w:kinsoku/>
        <w:wordWrap w:val="0"/>
        <w:bidi w:val="0"/>
        <w:spacing w:line="400" w:lineRule="atLeast"/>
        <w:ind w:firstLine="42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承包人应为其施工设备等办理保险，其投保金额应足以现场重置。办理本款保险的一切费用均由承包人承担，并包括在工程量清单的单价及总额价中，发包人不单独支付。</w:t>
      </w:r>
    </w:p>
    <w:p w14:paraId="609ECFF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80" w:name="_Toc234833206"/>
      <w:bookmarkStart w:id="1381" w:name="_Toc1959"/>
      <w:bookmarkStart w:id="1382" w:name="_Toc22712"/>
      <w:bookmarkStart w:id="1383" w:name="_Toc19524"/>
      <w:r>
        <w:rPr>
          <w:rFonts w:hint="default" w:ascii="Times New Roman" w:hAnsi="Times New Roman" w:eastAsia="黑体" w:cs="Times New Roman"/>
          <w:b w:val="0"/>
          <w:color w:val="auto"/>
          <w:sz w:val="24"/>
          <w:szCs w:val="24"/>
          <w:highlight w:val="none"/>
        </w:rPr>
        <w:t>20.6对各项保险的一般要求</w:t>
      </w:r>
      <w:bookmarkEnd w:id="1380"/>
      <w:bookmarkEnd w:id="1381"/>
      <w:bookmarkEnd w:id="1382"/>
      <w:bookmarkEnd w:id="1383"/>
    </w:p>
    <w:p w14:paraId="1F1CEB6F">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20.6.1保险凭证</w:t>
      </w:r>
    </w:p>
    <w:p w14:paraId="0BC62785">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本项约定为：</w:t>
      </w:r>
    </w:p>
    <w:p w14:paraId="4B97522E">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承包人向发包人提交各项保险生效的证据和保险单副本的期限：开工后56天内。</w:t>
      </w:r>
    </w:p>
    <w:p w14:paraId="6CAFCB7A">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20.6.3持续保险</w:t>
      </w:r>
    </w:p>
    <w:p w14:paraId="6A1283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w:t>
      </w:r>
    </w:p>
    <w:p w14:paraId="23105372">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在整个合同期内，承包人应按合同条款规定保证足够的保险额。</w:t>
      </w:r>
    </w:p>
    <w:p w14:paraId="2C3C9975">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20.6.4保险金不足的补偿</w:t>
      </w:r>
    </w:p>
    <w:p w14:paraId="3636171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7FBA3AB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保险金不足以补偿损失的（包括免赔额和超过赔偿限额的部分），应由承包人和（或）发包人按合同约定负责补偿。</w:t>
      </w:r>
    </w:p>
    <w:p w14:paraId="179501D2">
      <w:pPr>
        <w:pageBreakBefore w:val="0"/>
        <w:kinsoku/>
        <w:wordWrap w:val="0"/>
        <w:bidi w:val="0"/>
        <w:spacing w:line="400" w:lineRule="atLeast"/>
        <w:ind w:firstLine="390"/>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20.6.5未按约定投保的补救</w:t>
      </w:r>
    </w:p>
    <w:p w14:paraId="2ED1BBF3">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C91A35A">
      <w:pPr>
        <w:pageBreakBefore w:val="0"/>
        <w:kinsoku/>
        <w:wordWrap w:val="0"/>
        <w:bidi w:val="0"/>
        <w:spacing w:line="400" w:lineRule="atLeast"/>
        <w:ind w:firstLine="39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2A7A79F8">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84" w:name="_Toc10087"/>
      <w:bookmarkStart w:id="1385" w:name="_Toc23861"/>
      <w:bookmarkStart w:id="1386" w:name="_Toc25592"/>
      <w:bookmarkStart w:id="1387" w:name="_Toc234833207"/>
      <w:r>
        <w:rPr>
          <w:rFonts w:hint="default" w:ascii="Times New Roman" w:hAnsi="Times New Roman" w:eastAsia="黑体" w:cs="Times New Roman"/>
          <w:b w:val="0"/>
          <w:color w:val="auto"/>
          <w:sz w:val="28"/>
          <w:szCs w:val="28"/>
          <w:highlight w:val="none"/>
        </w:rPr>
        <w:t>21.不可抗力</w:t>
      </w:r>
      <w:bookmarkEnd w:id="1384"/>
      <w:bookmarkEnd w:id="1385"/>
      <w:bookmarkEnd w:id="1386"/>
      <w:bookmarkEnd w:id="1387"/>
    </w:p>
    <w:p w14:paraId="6841AAA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88" w:name="_Toc30052"/>
      <w:bookmarkStart w:id="1389" w:name="_Toc1192"/>
      <w:bookmarkStart w:id="1390" w:name="_Toc25698"/>
      <w:bookmarkStart w:id="1391" w:name="_Toc234833208"/>
      <w:r>
        <w:rPr>
          <w:rFonts w:hint="default" w:ascii="Times New Roman" w:hAnsi="Times New Roman" w:eastAsia="黑体" w:cs="Times New Roman"/>
          <w:b w:val="0"/>
          <w:color w:val="auto"/>
          <w:sz w:val="24"/>
          <w:szCs w:val="24"/>
          <w:highlight w:val="none"/>
        </w:rPr>
        <w:t>21.1不可抗力的确认</w:t>
      </w:r>
      <w:bookmarkEnd w:id="1388"/>
      <w:bookmarkEnd w:id="1389"/>
      <w:bookmarkEnd w:id="1390"/>
      <w:bookmarkEnd w:id="1391"/>
    </w:p>
    <w:p w14:paraId="2FD5635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第21.1.1项细化为：</w:t>
      </w:r>
    </w:p>
    <w:p w14:paraId="115751D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不可抗力是指承包人和发包人在订立合同时不可预见，在工程施工过程中不可避免发生并不能克服的自然灾害和社会性突发事件。包括但不限于：</w:t>
      </w:r>
    </w:p>
    <w:p w14:paraId="71DE94B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（1）地震、海啸、火山爆发、泥石流、暴雨（雪）、台风、龙卷风、水灾等自然灾害；</w:t>
      </w:r>
    </w:p>
    <w:p w14:paraId="4EC4517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（2）战争、骚乱、暴动，但纯属承包人或其分包人派遣与雇用的人员由于本合同工程施工原因引起者除外；</w:t>
      </w:r>
    </w:p>
    <w:p w14:paraId="23877B8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（3）核反应、辐射或放射性污染；</w:t>
      </w:r>
    </w:p>
    <w:p w14:paraId="58C0EDF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（4）空中飞行物体坠落或非发包人或承包人责任造成的爆炸、火灾；</w:t>
      </w:r>
    </w:p>
    <w:p w14:paraId="4B2C14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（5）瘟疫；</w:t>
      </w:r>
    </w:p>
    <w:p w14:paraId="77C22B4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（6）项目专用合同条款约定的其他情形。</w:t>
      </w:r>
    </w:p>
    <w:p w14:paraId="4CB125F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392" w:name="_Toc30802"/>
      <w:bookmarkStart w:id="1393" w:name="_Toc26115"/>
      <w:bookmarkStart w:id="1394" w:name="_Toc234833209"/>
      <w:bookmarkStart w:id="1395" w:name="_Toc1492"/>
      <w:r>
        <w:rPr>
          <w:rFonts w:hint="default" w:ascii="Times New Roman" w:hAnsi="Times New Roman" w:eastAsia="黑体" w:cs="Times New Roman"/>
          <w:b w:val="0"/>
          <w:color w:val="auto"/>
          <w:sz w:val="24"/>
          <w:szCs w:val="24"/>
          <w:highlight w:val="none"/>
        </w:rPr>
        <w:t>21.3不可抗力后果及其处理</w:t>
      </w:r>
      <w:bookmarkEnd w:id="1392"/>
      <w:bookmarkEnd w:id="1393"/>
      <w:bookmarkEnd w:id="1394"/>
      <w:bookmarkEnd w:id="1395"/>
    </w:p>
    <w:p w14:paraId="7279F875">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w:t>
      </w:r>
      <w:r>
        <w:rPr>
          <w:rFonts w:hint="default" w:ascii="Times New Roman" w:hAnsi="Times New Roman" w:eastAsia="黑体" w:cs="Times New Roman"/>
          <w:color w:val="auto"/>
          <w:sz w:val="24"/>
          <w:highlight w:val="none"/>
        </w:rPr>
        <w:t>因不可抗力解除合同</w:t>
      </w:r>
    </w:p>
    <w:p w14:paraId="79911E2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61F0B32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4C086585">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396" w:name="_Toc23055"/>
      <w:bookmarkStart w:id="1397" w:name="_Toc234833210"/>
      <w:bookmarkStart w:id="1398" w:name="_Toc18919"/>
      <w:bookmarkStart w:id="1399" w:name="_Toc3129"/>
      <w:r>
        <w:rPr>
          <w:rFonts w:hint="default" w:ascii="Times New Roman" w:hAnsi="Times New Roman" w:eastAsia="黑体" w:cs="Times New Roman"/>
          <w:b w:val="0"/>
          <w:color w:val="auto"/>
          <w:sz w:val="28"/>
          <w:szCs w:val="28"/>
          <w:highlight w:val="none"/>
        </w:rPr>
        <w:t>22.违约</w:t>
      </w:r>
      <w:bookmarkEnd w:id="1396"/>
      <w:bookmarkEnd w:id="1397"/>
      <w:bookmarkEnd w:id="1398"/>
      <w:bookmarkEnd w:id="1399"/>
    </w:p>
    <w:p w14:paraId="5F17014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00" w:name="_Toc7490"/>
      <w:bookmarkStart w:id="1401" w:name="_Toc6115"/>
      <w:bookmarkStart w:id="1402" w:name="_Toc1580"/>
      <w:bookmarkStart w:id="1403" w:name="_Toc234833211"/>
      <w:r>
        <w:rPr>
          <w:rFonts w:hint="default" w:ascii="Times New Roman" w:hAnsi="Times New Roman" w:eastAsia="黑体" w:cs="Times New Roman"/>
          <w:b w:val="0"/>
          <w:color w:val="auto"/>
          <w:sz w:val="24"/>
          <w:szCs w:val="24"/>
          <w:highlight w:val="none"/>
        </w:rPr>
        <w:t>22.1承包人违约</w:t>
      </w:r>
      <w:bookmarkEnd w:id="1400"/>
      <w:bookmarkEnd w:id="1401"/>
      <w:bookmarkEnd w:id="1402"/>
      <w:bookmarkEnd w:id="1403"/>
    </w:p>
    <w:p w14:paraId="58B3530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22.1.1</w:t>
      </w:r>
      <w:r>
        <w:rPr>
          <w:rFonts w:hint="default" w:ascii="Times New Roman" w:hAnsi="Times New Roman" w:eastAsia="黑体" w:cs="Times New Roman"/>
          <w:color w:val="auto"/>
          <w:sz w:val="24"/>
          <w:highlight w:val="none"/>
        </w:rPr>
        <w:t>承包人违约的情形</w:t>
      </w:r>
    </w:p>
    <w:p w14:paraId="4D6E883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5884F1B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（2）承包人违反第5.3款或第6.4款的约定，未经监理人批准，私自将已按合同约定进入施工场地的施工设备、临时设施、材料或工程设备撤离施工场地；</w:t>
      </w:r>
    </w:p>
    <w:p w14:paraId="57F8FEB1">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本项（7）目细化为：</w:t>
      </w:r>
    </w:p>
    <w:p w14:paraId="7AAA2DC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（7）承包人未能按期开工；</w:t>
      </w:r>
    </w:p>
    <w:p w14:paraId="0689926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（8）承包人违反第4.6款或第6.3款的规定，未按承诺或未按监理人的要求及时配备称职的主要管理人员、技术骨干或关键施工设备；</w:t>
      </w:r>
    </w:p>
    <w:p w14:paraId="08157AAE">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（9）经监理人和发包人检查，发现承包人有安全问题或有违反安全管理规章制度的情况；</w:t>
      </w:r>
    </w:p>
    <w:p w14:paraId="1C7E36B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（10）承包人不按合同约定履行义务的其他情况。</w:t>
      </w:r>
    </w:p>
    <w:p w14:paraId="09E635F8">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22.1.2</w:t>
      </w:r>
      <w:r>
        <w:rPr>
          <w:rFonts w:hint="default" w:ascii="Times New Roman" w:hAnsi="Times New Roman" w:eastAsia="黑体" w:cs="Times New Roman"/>
          <w:color w:val="auto"/>
          <w:sz w:val="24"/>
          <w:highlight w:val="none"/>
        </w:rPr>
        <w:t>对承包人违约的处理</w:t>
      </w:r>
    </w:p>
    <w:p w14:paraId="16719A9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本项补充：</w:t>
      </w:r>
    </w:p>
    <w:p w14:paraId="1490A976">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2E7CFAD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04" w:name="_Toc234833212"/>
      <w:bookmarkStart w:id="1405" w:name="_Toc30636"/>
      <w:bookmarkStart w:id="1406" w:name="_Toc3432"/>
      <w:bookmarkStart w:id="1407" w:name="_Toc29380"/>
      <w:r>
        <w:rPr>
          <w:rFonts w:hint="default" w:ascii="Times New Roman" w:hAnsi="Times New Roman" w:eastAsia="黑体" w:cs="Times New Roman"/>
          <w:b w:val="0"/>
          <w:color w:val="auto"/>
          <w:sz w:val="24"/>
          <w:szCs w:val="24"/>
          <w:highlight w:val="none"/>
        </w:rPr>
        <w:t>22.2发包人违约</w:t>
      </w:r>
      <w:bookmarkEnd w:id="1404"/>
      <w:bookmarkEnd w:id="1405"/>
      <w:bookmarkEnd w:id="1406"/>
      <w:bookmarkEnd w:id="1407"/>
    </w:p>
    <w:p w14:paraId="42ED34D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22.2.1</w:t>
      </w:r>
      <w:r>
        <w:rPr>
          <w:rFonts w:hint="default" w:ascii="Times New Roman" w:hAnsi="Times New Roman" w:eastAsia="黑体" w:cs="Times New Roman"/>
          <w:color w:val="auto"/>
          <w:sz w:val="24"/>
          <w:highlight w:val="none"/>
        </w:rPr>
        <w:t>发包人违约的情形</w:t>
      </w:r>
    </w:p>
    <w:p w14:paraId="0ABC4E7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本项（5）目细化为：</w:t>
      </w:r>
    </w:p>
    <w:p w14:paraId="198BEF54">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（5）发包人无正当理由不按时返还履约保证金、质量保证金或农民工工资保证金的；</w:t>
      </w:r>
    </w:p>
    <w:p w14:paraId="2954846B">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（6）发包人不履行合同约定其他义务的。</w:t>
      </w:r>
    </w:p>
    <w:p w14:paraId="06C28B51">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22.2.2</w:t>
      </w:r>
      <w:r>
        <w:rPr>
          <w:rFonts w:hint="default" w:ascii="Times New Roman" w:hAnsi="Times New Roman" w:eastAsia="黑体" w:cs="Times New Roman"/>
          <w:color w:val="auto"/>
          <w:sz w:val="24"/>
          <w:highlight w:val="none"/>
        </w:rPr>
        <w:t>承包人有权暂停施工</w:t>
      </w:r>
    </w:p>
    <w:p w14:paraId="3C18A02B">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本项细化为：</w:t>
      </w:r>
    </w:p>
    <w:p w14:paraId="43A8EB10">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D9D9F4D">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450B1937">
      <w:pPr>
        <w:pageBreakBefore w:val="0"/>
        <w:kinsoku/>
        <w:wordWrap w:val="0"/>
        <w:bidi w:val="0"/>
        <w:spacing w:line="400" w:lineRule="atLeast"/>
        <w:ind w:firstLine="470" w:firstLineChars="196"/>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22.2.4</w:t>
      </w:r>
      <w:r>
        <w:rPr>
          <w:rFonts w:hint="default" w:ascii="Times New Roman" w:hAnsi="Times New Roman" w:eastAsia="黑体" w:cs="Times New Roman"/>
          <w:color w:val="auto"/>
          <w:sz w:val="24"/>
          <w:highlight w:val="none"/>
        </w:rPr>
        <w:t>解除合同后的付款</w:t>
      </w:r>
    </w:p>
    <w:p w14:paraId="5D7510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本项（2）目细化为：</w:t>
      </w:r>
    </w:p>
    <w:p w14:paraId="2196FF7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（2）承包人为该工程施工订购并已付款的材料、工程设备和其他物品的金额。发包人付款后，该材料、工程设备和其他物品归发包人所有；</w:t>
      </w:r>
    </w:p>
    <w:p w14:paraId="5CC9B63B">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408" w:name="_Toc26887"/>
      <w:bookmarkStart w:id="1409" w:name="_Toc234833213"/>
      <w:bookmarkStart w:id="1410" w:name="_Toc4428"/>
      <w:bookmarkStart w:id="1411" w:name="_Toc27505"/>
      <w:r>
        <w:rPr>
          <w:rFonts w:hint="default" w:ascii="Times New Roman" w:hAnsi="Times New Roman" w:eastAsia="黑体" w:cs="Times New Roman"/>
          <w:b w:val="0"/>
          <w:color w:val="auto"/>
          <w:sz w:val="28"/>
          <w:szCs w:val="28"/>
          <w:highlight w:val="none"/>
        </w:rPr>
        <w:t>23.索赔</w:t>
      </w:r>
      <w:bookmarkEnd w:id="1408"/>
      <w:bookmarkEnd w:id="1409"/>
      <w:bookmarkEnd w:id="1410"/>
      <w:bookmarkEnd w:id="1411"/>
    </w:p>
    <w:p w14:paraId="0181996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12" w:name="_Toc1551"/>
      <w:bookmarkStart w:id="1413" w:name="_Toc5503"/>
      <w:bookmarkStart w:id="1414" w:name="_Toc234833214"/>
      <w:bookmarkStart w:id="1415" w:name="_Toc7676"/>
      <w:r>
        <w:rPr>
          <w:rFonts w:hint="default" w:ascii="Times New Roman" w:hAnsi="Times New Roman" w:eastAsia="黑体" w:cs="Times New Roman"/>
          <w:b w:val="0"/>
          <w:color w:val="auto"/>
          <w:sz w:val="24"/>
          <w:szCs w:val="24"/>
          <w:highlight w:val="none"/>
        </w:rPr>
        <w:t>23.1承包人索赔的提出</w:t>
      </w:r>
      <w:bookmarkEnd w:id="1412"/>
      <w:bookmarkEnd w:id="1413"/>
      <w:bookmarkEnd w:id="1414"/>
      <w:bookmarkEnd w:id="1415"/>
    </w:p>
    <w:p w14:paraId="5AB34CE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本款第（4）项细化为：</w:t>
      </w:r>
    </w:p>
    <w:p w14:paraId="4BC7FD55">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（4）在索赔事件影响结束后的28天内，承包人应向监理人递交最终索赔通知书，说明最终要求索赔的追加付款金额和（或）延长的工期，并附必要的记录和证明材料。</w:t>
      </w:r>
    </w:p>
    <w:p w14:paraId="731A134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16" w:name="_Toc12793"/>
      <w:bookmarkStart w:id="1417" w:name="_Toc29342"/>
      <w:bookmarkStart w:id="1418" w:name="_Toc26842"/>
      <w:bookmarkStart w:id="1419" w:name="_Toc234833215"/>
      <w:r>
        <w:rPr>
          <w:rFonts w:hint="default" w:ascii="Times New Roman" w:hAnsi="Times New Roman" w:eastAsia="黑体" w:cs="Times New Roman"/>
          <w:b w:val="0"/>
          <w:color w:val="auto"/>
          <w:sz w:val="24"/>
          <w:szCs w:val="24"/>
          <w:highlight w:val="none"/>
        </w:rPr>
        <w:t>23.2承包人索赔处理程序</w:t>
      </w:r>
      <w:bookmarkEnd w:id="1416"/>
      <w:bookmarkEnd w:id="1417"/>
      <w:bookmarkEnd w:id="1418"/>
      <w:bookmarkEnd w:id="1419"/>
    </w:p>
    <w:p w14:paraId="1A18CBA9">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本款第（2）项细化为：</w:t>
      </w:r>
    </w:p>
    <w:p w14:paraId="38E6B5DA">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089D9D99">
      <w:pPr>
        <w:pageBreakBefore w:val="0"/>
        <w:kinsoku/>
        <w:wordWrap w:val="0"/>
        <w:bidi w:val="0"/>
        <w:spacing w:before="480" w:after="240" w:line="380" w:lineRule="atLeast"/>
        <w:outlineLvl w:val="9"/>
        <w:rPr>
          <w:rFonts w:hint="default" w:ascii="Times New Roman" w:hAnsi="Times New Roman" w:eastAsia="黑体" w:cs="Times New Roman"/>
          <w:b w:val="0"/>
          <w:color w:val="auto"/>
          <w:sz w:val="28"/>
          <w:szCs w:val="28"/>
          <w:highlight w:val="none"/>
        </w:rPr>
      </w:pPr>
      <w:bookmarkStart w:id="1420" w:name="_Toc18247"/>
      <w:bookmarkStart w:id="1421" w:name="_Toc234833216"/>
      <w:bookmarkStart w:id="1422" w:name="_Toc11561"/>
      <w:bookmarkStart w:id="1423" w:name="_Toc30770"/>
      <w:r>
        <w:rPr>
          <w:rFonts w:hint="default" w:ascii="Times New Roman" w:hAnsi="Times New Roman" w:eastAsia="黑体" w:cs="Times New Roman"/>
          <w:b w:val="0"/>
          <w:color w:val="auto"/>
          <w:sz w:val="28"/>
          <w:szCs w:val="28"/>
          <w:highlight w:val="none"/>
        </w:rPr>
        <w:t>24.争议的解决</w:t>
      </w:r>
      <w:bookmarkEnd w:id="1420"/>
      <w:bookmarkEnd w:id="1421"/>
      <w:bookmarkEnd w:id="1422"/>
      <w:bookmarkEnd w:id="1423"/>
    </w:p>
    <w:p w14:paraId="7F6C5E2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24" w:name="_Toc26371"/>
      <w:bookmarkStart w:id="1425" w:name="_Toc18858"/>
      <w:bookmarkStart w:id="1426" w:name="_Toc29697"/>
      <w:bookmarkStart w:id="1427" w:name="_Toc234833217"/>
      <w:r>
        <w:rPr>
          <w:rFonts w:hint="default" w:ascii="Times New Roman" w:hAnsi="Times New Roman" w:eastAsia="黑体" w:cs="Times New Roman"/>
          <w:b w:val="0"/>
          <w:color w:val="auto"/>
          <w:sz w:val="24"/>
          <w:szCs w:val="24"/>
          <w:highlight w:val="none"/>
        </w:rPr>
        <w:t>24.3争议评审</w:t>
      </w:r>
      <w:bookmarkEnd w:id="1424"/>
      <w:bookmarkEnd w:id="1425"/>
      <w:bookmarkEnd w:id="1426"/>
      <w:bookmarkEnd w:id="1427"/>
    </w:p>
    <w:p w14:paraId="0037B1C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第24.3.1项补充：</w:t>
      </w:r>
    </w:p>
    <w:p w14:paraId="3E45568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6202AFE">
      <w:pPr>
        <w:pageBreakBefore w:val="0"/>
        <w:kinsoku/>
        <w:wordWrap w:val="0"/>
        <w:bidi w:val="0"/>
        <w:spacing w:before="240" w:beforeLines="100" w:line="400" w:lineRule="atLeast"/>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本条补充第24.4款、第24.5款（适用于采用仲裁方式最终解决争议的项目）：</w:t>
      </w:r>
    </w:p>
    <w:p w14:paraId="4E65CEB5">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28" w:name="_Toc32419"/>
      <w:bookmarkStart w:id="1429" w:name="_Toc234833218"/>
      <w:bookmarkStart w:id="1430" w:name="_Toc22012"/>
      <w:bookmarkStart w:id="1431" w:name="_Toc13339"/>
      <w:r>
        <w:rPr>
          <w:rFonts w:hint="default" w:ascii="Times New Roman" w:hAnsi="Times New Roman" w:eastAsia="黑体" w:cs="Times New Roman"/>
          <w:b w:val="0"/>
          <w:color w:val="auto"/>
          <w:sz w:val="24"/>
          <w:szCs w:val="24"/>
          <w:highlight w:val="none"/>
        </w:rPr>
        <w:t>24.4仲裁</w:t>
      </w:r>
      <w:bookmarkEnd w:id="1428"/>
      <w:bookmarkEnd w:id="1429"/>
      <w:bookmarkEnd w:id="1430"/>
      <w:bookmarkEnd w:id="1431"/>
    </w:p>
    <w:p w14:paraId="5B5974E7">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（1）对于未能友好解决或未能通过争议评审解决的争议，发包人或承包人任一方均有权提交给第24.1款约定的仲裁委员会仲裁。</w:t>
      </w:r>
    </w:p>
    <w:p w14:paraId="367967CD">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060B0B08">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（3）仲裁裁决是终局性的并对发包人和承包人双方具有约束力。</w:t>
      </w:r>
    </w:p>
    <w:p w14:paraId="2B88787C">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（4）全部仲裁费用应由败诉方承担；或按仲裁委员会裁决的比例分担。</w:t>
      </w:r>
    </w:p>
    <w:p w14:paraId="3540E75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32" w:name="_Toc20967"/>
      <w:bookmarkStart w:id="1433" w:name="_Toc30469"/>
      <w:bookmarkStart w:id="1434" w:name="_Toc2028"/>
      <w:bookmarkStart w:id="1435" w:name="_Toc234833219"/>
      <w:r>
        <w:rPr>
          <w:rFonts w:hint="default" w:ascii="Times New Roman" w:hAnsi="Times New Roman" w:eastAsia="黑体" w:cs="Times New Roman"/>
          <w:b w:val="0"/>
          <w:color w:val="auto"/>
          <w:sz w:val="24"/>
          <w:szCs w:val="24"/>
          <w:highlight w:val="none"/>
        </w:rPr>
        <w:t>24.5仲裁的执行</w:t>
      </w:r>
      <w:bookmarkEnd w:id="1432"/>
      <w:bookmarkEnd w:id="1433"/>
      <w:bookmarkEnd w:id="1434"/>
      <w:bookmarkEnd w:id="1435"/>
    </w:p>
    <w:p w14:paraId="1BBF0813">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（1）任何一方不履行仲裁机构的裁决的，对方可以向有管辖权的人民法院申请执行。</w:t>
      </w:r>
    </w:p>
    <w:p w14:paraId="261738E0">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BF159E0">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24"/>
          <w:highlight w:val="none"/>
        </w:rPr>
        <w:br w:type="page"/>
      </w:r>
      <w:bookmarkStart w:id="1436" w:name="_Toc234833220"/>
      <w:bookmarkStart w:id="1437" w:name="_Toc3230"/>
      <w:bookmarkStart w:id="1438" w:name="_Toc10610"/>
      <w:r>
        <w:rPr>
          <w:rFonts w:hint="default" w:ascii="Times New Roman" w:hAnsi="Times New Roman" w:eastAsia="黑体" w:cs="Times New Roman"/>
          <w:b w:val="0"/>
          <w:color w:val="auto"/>
          <w:sz w:val="32"/>
          <w:szCs w:val="32"/>
          <w:highlight w:val="none"/>
        </w:rPr>
        <w:t>B.项目专用合同条款</w:t>
      </w:r>
      <w:bookmarkEnd w:id="1436"/>
      <w:bookmarkEnd w:id="1437"/>
      <w:bookmarkEnd w:id="1438"/>
    </w:p>
    <w:p w14:paraId="46251C5F">
      <w:pPr>
        <w:pageBreakBefore w:val="0"/>
        <w:kinsoku/>
        <w:wordWrap w:val="0"/>
        <w:bidi w:val="0"/>
        <w:spacing w:line="440" w:lineRule="exact"/>
        <w:rPr>
          <w:rFonts w:hint="default" w:ascii="Times New Roman" w:hAnsi="Times New Roman" w:eastAsia="黑体" w:cs="Times New Roman"/>
          <w:color w:val="auto"/>
          <w:sz w:val="27"/>
          <w:szCs w:val="27"/>
          <w:highlight w:val="none"/>
        </w:rPr>
      </w:pPr>
    </w:p>
    <w:p w14:paraId="73610985">
      <w:pPr>
        <w:pStyle w:val="18"/>
        <w:pageBreakBefore w:val="0"/>
        <w:kinsoku/>
        <w:wordWrap w:val="0"/>
        <w:bidi w:val="0"/>
        <w:snapToGrid w:val="0"/>
        <w:spacing w:line="400" w:lineRule="atLeast"/>
        <w:ind w:left="0" w:leftChars="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说明：</w:t>
      </w:r>
    </w:p>
    <w:p w14:paraId="45FEAB90">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1.招标人在根据《</w:t>
      </w:r>
      <w:r>
        <w:rPr>
          <w:rFonts w:hint="eastAsia" w:ascii="宋体" w:hAnsi="宋体" w:eastAsia="宋体" w:cs="宋体"/>
          <w:color w:val="auto"/>
          <w:sz w:val="24"/>
          <w:highlight w:val="none"/>
          <w:lang w:val="en-US" w:eastAsia="zh-CN"/>
        </w:rPr>
        <w:t>标准文件</w:t>
      </w:r>
      <w:r>
        <w:rPr>
          <w:rFonts w:hint="eastAsia" w:ascii="宋体" w:hAnsi="宋体" w:eastAsia="宋体" w:cs="宋体"/>
          <w:color w:val="auto"/>
          <w:sz w:val="24"/>
          <w:highlight w:val="none"/>
        </w:rPr>
        <w:t>》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补充、细化或约定的内容，不得违反法律、行政法规的强制性规定和平等、自愿、公平和诚实信用原则。</w:t>
      </w:r>
    </w:p>
    <w:p w14:paraId="6D6AA819">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2.项目专用合同条款的编号应与通用合同条款和公路工程专用合同条款一致。</w:t>
      </w:r>
    </w:p>
    <w:p w14:paraId="65AD9544">
      <w:pPr>
        <w:pStyle w:val="18"/>
        <w:pageBreakBefore w:val="0"/>
        <w:kinsoku/>
        <w:wordWrap w:val="0"/>
        <w:bidi w:val="0"/>
        <w:snapToGrid w:val="0"/>
        <w:spacing w:line="400" w:lineRule="atLeast"/>
        <w:ind w:left="0" w:leftChars="0" w:firstLine="720" w:firstLineChars="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3.项目专用合同条款可对下列内容进行补充和细化：</w:t>
      </w:r>
    </w:p>
    <w:p w14:paraId="1A7E34E9">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67FEB3E0">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27A4894">
      <w:pPr>
        <w:pStyle w:val="18"/>
        <w:pageBreakBefore w:val="0"/>
        <w:kinsoku/>
        <w:wordWrap w:val="0"/>
        <w:bidi w:val="0"/>
        <w:snapToGrid w:val="0"/>
        <w:spacing w:line="400" w:lineRule="atLeast"/>
        <w:ind w:left="0" w:leftChars="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（3）其他需要补充、细化的内容。</w:t>
      </w:r>
    </w:p>
    <w:p w14:paraId="7E75D16B">
      <w:pPr>
        <w:pStyle w:val="18"/>
        <w:pageBreakBefore w:val="0"/>
        <w:kinsoku/>
        <w:wordWrap w:val="0"/>
        <w:bidi w:val="0"/>
        <w:snapToGrid w:val="0"/>
        <w:spacing w:line="400" w:lineRule="atLeast"/>
        <w:ind w:left="0" w:leftChars="0" w:firstLine="720" w:firstLineChars="300"/>
        <w:rPr>
          <w:rFonts w:hint="default" w:ascii="Times New Roman" w:hAnsi="Times New Roman" w:eastAsia="黑体" w:cs="Times New Roman"/>
          <w:color w:val="auto"/>
          <w:sz w:val="24"/>
          <w:highlight w:val="none"/>
        </w:rPr>
      </w:pPr>
    </w:p>
    <w:p w14:paraId="2002AAE2">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color w:val="auto"/>
          <w:sz w:val="28"/>
          <w:highlight w:val="none"/>
        </w:rPr>
        <w:br w:type="page"/>
      </w:r>
      <w:bookmarkStart w:id="1439" w:name="_Toc234833221"/>
      <w:bookmarkStart w:id="1440" w:name="_Toc30237"/>
      <w:bookmarkStart w:id="1441" w:name="_Toc21057"/>
      <w:bookmarkStart w:id="1442" w:name="_Toc7284"/>
      <w:r>
        <w:rPr>
          <w:rFonts w:hint="default" w:ascii="Times New Roman" w:hAnsi="Times New Roman" w:eastAsia="黑体" w:cs="Times New Roman"/>
          <w:b w:val="0"/>
          <w:color w:val="auto"/>
          <w:sz w:val="32"/>
          <w:szCs w:val="32"/>
          <w:highlight w:val="none"/>
        </w:rPr>
        <w:t>项目专用合同条款数据表</w:t>
      </w:r>
      <w:bookmarkEnd w:id="1439"/>
      <w:bookmarkEnd w:id="1440"/>
      <w:bookmarkEnd w:id="1441"/>
      <w:bookmarkEnd w:id="1442"/>
    </w:p>
    <w:p w14:paraId="5F56DA33">
      <w:pPr>
        <w:pStyle w:val="18"/>
        <w:pageBreakBefore w:val="0"/>
        <w:kinsoku/>
        <w:wordWrap w:val="0"/>
        <w:bidi w:val="0"/>
        <w:snapToGrid w:val="0"/>
        <w:spacing w:after="0" w:line="400" w:lineRule="atLeast"/>
        <w:ind w:left="660" w:leftChars="0" w:hanging="660" w:hangingChars="275"/>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说明：</w:t>
      </w:r>
      <w:r>
        <w:rPr>
          <w:rFonts w:hint="eastAsia" w:ascii="宋体" w:hAnsi="宋体" w:eastAsia="宋体" w:cs="宋体"/>
          <w:color w:val="auto"/>
          <w:sz w:val="24"/>
          <w:highlight w:val="none"/>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p w14:paraId="0B8EC5F7">
      <w:pPr>
        <w:pStyle w:val="18"/>
        <w:pageBreakBefore w:val="0"/>
        <w:kinsoku/>
        <w:wordWrap w:val="0"/>
        <w:bidi w:val="0"/>
        <w:snapToGrid w:val="0"/>
        <w:spacing w:after="0" w:line="400" w:lineRule="atLeast"/>
        <w:ind w:left="660" w:leftChars="0" w:hanging="660" w:hangingChars="275"/>
        <w:rPr>
          <w:rFonts w:hint="default" w:ascii="Times New Roman" w:hAnsi="Times New Roman" w:cs="Times New Roman"/>
          <w:color w:val="auto"/>
          <w:sz w:val="24"/>
          <w:highlight w:val="none"/>
        </w:rPr>
      </w:pPr>
    </w:p>
    <w:tbl>
      <w:tblPr>
        <w:tblStyle w:val="94"/>
        <w:tblW w:w="90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384"/>
        <w:gridCol w:w="705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24" w:type="dxa"/>
            <w:tcBorders>
              <w:left w:val="single" w:color="000000" w:sz="6" w:space="0"/>
            </w:tcBorders>
            <w:vAlign w:val="center"/>
          </w:tcPr>
          <w:p w14:paraId="21262F8F">
            <w:pPr>
              <w:keepLines w:val="0"/>
              <w:pageBreakBefore w:val="0"/>
              <w:widowControl w:val="0"/>
              <w:kinsoku/>
              <w:overflowPunct/>
              <w:topLinePunct w:val="0"/>
              <w:autoSpaceDE/>
              <w:autoSpaceDN/>
              <w:bidi w:val="0"/>
              <w:snapToGrid w:val="0"/>
              <w:spacing w:before="134" w:line="240" w:lineRule="auto"/>
              <w:ind w:left="105" w:leftChars="50" w:right="283"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5"/>
                <w:sz w:val="21"/>
                <w:szCs w:val="21"/>
                <w:highlight w:val="none"/>
              </w:rPr>
              <w:t>序</w:t>
            </w:r>
            <w:r>
              <w:rPr>
                <w:rFonts w:hint="eastAsia" w:ascii="宋体" w:hAnsi="宋体" w:eastAsia="宋体" w:cs="宋体"/>
                <w:b/>
                <w:color w:val="auto"/>
                <w:spacing w:val="4"/>
                <w:sz w:val="21"/>
                <w:szCs w:val="21"/>
                <w:highlight w:val="none"/>
              </w:rPr>
              <w:t>号</w:t>
            </w:r>
          </w:p>
        </w:tc>
        <w:tc>
          <w:tcPr>
            <w:tcW w:w="1384" w:type="dxa"/>
            <w:vAlign w:val="center"/>
          </w:tcPr>
          <w:p w14:paraId="1720952B">
            <w:pPr>
              <w:keepLines w:val="0"/>
              <w:pageBreakBefore w:val="0"/>
              <w:widowControl w:val="0"/>
              <w:kinsoku/>
              <w:overflowPunct/>
              <w:topLinePunct w:val="0"/>
              <w:autoSpaceDE/>
              <w:autoSpaceDN/>
              <w:bidi w:val="0"/>
              <w:snapToGrid w:val="0"/>
              <w:spacing w:before="134" w:line="240" w:lineRule="auto"/>
              <w:ind w:left="105" w:leftChars="50" w:right="283"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7"/>
                <w:sz w:val="21"/>
                <w:szCs w:val="21"/>
                <w:highlight w:val="none"/>
              </w:rPr>
              <w:t>条</w:t>
            </w:r>
            <w:r>
              <w:rPr>
                <w:rFonts w:hint="eastAsia" w:ascii="宋体" w:hAnsi="宋体" w:eastAsia="宋体" w:cs="宋体"/>
                <w:b/>
                <w:color w:val="auto"/>
                <w:spacing w:val="6"/>
                <w:sz w:val="21"/>
                <w:szCs w:val="21"/>
                <w:highlight w:val="none"/>
              </w:rPr>
              <w:t>目号</w:t>
            </w:r>
          </w:p>
        </w:tc>
        <w:tc>
          <w:tcPr>
            <w:tcW w:w="7054" w:type="dxa"/>
            <w:tcBorders>
              <w:right w:val="single" w:color="000000" w:sz="6" w:space="0"/>
            </w:tcBorders>
            <w:vAlign w:val="center"/>
          </w:tcPr>
          <w:p w14:paraId="4BFCAB44">
            <w:pPr>
              <w:keepLines w:val="0"/>
              <w:pageBreakBefore w:val="0"/>
              <w:widowControl w:val="0"/>
              <w:kinsoku/>
              <w:overflowPunct/>
              <w:topLinePunct w:val="0"/>
              <w:autoSpaceDE/>
              <w:autoSpaceDN/>
              <w:bidi w:val="0"/>
              <w:snapToGrid w:val="0"/>
              <w:spacing w:before="134" w:line="240" w:lineRule="auto"/>
              <w:ind w:left="105" w:leftChars="50" w:right="283"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D4E7892">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4" w:type="dxa"/>
            <w:vAlign w:val="center"/>
          </w:tcPr>
          <w:p w14:paraId="404D0480">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1.2.2</w:t>
            </w:r>
          </w:p>
        </w:tc>
        <w:tc>
          <w:tcPr>
            <w:tcW w:w="7054" w:type="dxa"/>
            <w:tcBorders>
              <w:right w:val="single" w:color="000000" w:sz="6" w:space="0"/>
            </w:tcBorders>
            <w:vAlign w:val="center"/>
          </w:tcPr>
          <w:p w14:paraId="5D3D6762">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发</w:t>
            </w:r>
            <w:r>
              <w:rPr>
                <w:rFonts w:hint="eastAsia" w:ascii="宋体" w:hAnsi="宋体" w:eastAsia="宋体" w:cs="宋体"/>
                <w:color w:val="auto"/>
                <w:spacing w:val="8"/>
                <w:sz w:val="21"/>
                <w:szCs w:val="21"/>
                <w:highlight w:val="none"/>
              </w:rPr>
              <w:t>包人：</w:t>
            </w:r>
            <w:r>
              <w:rPr>
                <w:rFonts w:hint="eastAsia" w:ascii="宋体" w:hAnsi="宋体" w:cs="宋体"/>
                <w:color w:val="auto"/>
                <w:spacing w:val="8"/>
                <w:sz w:val="21"/>
                <w:szCs w:val="21"/>
                <w:highlight w:val="none"/>
                <w:u w:val="single" w:color="auto"/>
                <w:lang w:eastAsia="zh-CN"/>
              </w:rPr>
              <w:t>盖州市交通运输服务中心</w:t>
            </w:r>
          </w:p>
          <w:p w14:paraId="3678A9E1">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地</w:t>
            </w:r>
            <w:r>
              <w:rPr>
                <w:rFonts w:hint="eastAsia" w:ascii="宋体" w:hAnsi="宋体" w:eastAsia="宋体" w:cs="宋体"/>
                <w:color w:val="auto"/>
                <w:spacing w:val="5"/>
                <w:sz w:val="21"/>
                <w:szCs w:val="21"/>
                <w:highlight w:val="none"/>
              </w:rPr>
              <w:t>址：</w:t>
            </w:r>
            <w:r>
              <w:rPr>
                <w:rFonts w:hint="eastAsia" w:ascii="宋体" w:hAnsi="宋体" w:eastAsia="宋体" w:cs="宋体"/>
                <w:color w:val="auto"/>
                <w:spacing w:val="5"/>
                <w:sz w:val="21"/>
                <w:szCs w:val="21"/>
                <w:highlight w:val="none"/>
                <w:u w:val="single" w:color="auto"/>
                <w:lang w:val="en-US" w:eastAsia="zh-CN"/>
              </w:rPr>
              <w:t>盖州市盖州路108号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9040CEF">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84" w:type="dxa"/>
            <w:vAlign w:val="center"/>
          </w:tcPr>
          <w:p w14:paraId="383B708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1.2.6</w:t>
            </w:r>
          </w:p>
        </w:tc>
        <w:tc>
          <w:tcPr>
            <w:tcW w:w="7054" w:type="dxa"/>
            <w:tcBorders>
              <w:right w:val="single" w:color="000000" w:sz="6" w:space="0"/>
            </w:tcBorders>
            <w:vAlign w:val="center"/>
          </w:tcPr>
          <w:p w14:paraId="361689BC">
            <w:pPr>
              <w:keepLines w:val="0"/>
              <w:pageBreakBefore w:val="0"/>
              <w:widowControl w:val="0"/>
              <w:kinsoku/>
              <w:overflowPunct/>
              <w:topLinePunct w:val="0"/>
              <w:autoSpaceDE/>
              <w:autoSpaceDN/>
              <w:bidi w:val="0"/>
              <w:snapToGrid w:val="0"/>
              <w:spacing w:before="137"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监</w:t>
            </w:r>
            <w:r>
              <w:rPr>
                <w:rFonts w:hint="eastAsia" w:ascii="宋体" w:hAnsi="宋体" w:eastAsia="宋体" w:cs="宋体"/>
                <w:color w:val="auto"/>
                <w:spacing w:val="5"/>
                <w:sz w:val="21"/>
                <w:szCs w:val="21"/>
                <w:highlight w:val="none"/>
              </w:rPr>
              <w:t>理人：</w:t>
            </w:r>
          </w:p>
          <w:p w14:paraId="79013F11">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地址：</w:t>
            </w:r>
            <w:r>
              <w:rPr>
                <w:rFonts w:hint="eastAsia" w:ascii="宋体" w:hAnsi="宋体" w:cs="宋体"/>
                <w:color w:val="auto"/>
                <w:spacing w:val="-1"/>
                <w:sz w:val="21"/>
                <w:szCs w:val="21"/>
                <w:highlight w:val="none"/>
                <w:lang w:val="en-US" w:eastAsia="zh-CN"/>
              </w:rPr>
              <w:t xml:space="preserve">                </w:t>
            </w:r>
            <w:r>
              <w:rPr>
                <w:rFonts w:hint="eastAsia" w:ascii="宋体" w:hAnsi="宋体" w:eastAsia="宋体" w:cs="宋体"/>
                <w:color w:val="auto"/>
                <w:sz w:val="21"/>
                <w:szCs w:val="21"/>
                <w:highlight w:val="none"/>
              </w:rPr>
              <w:t>邮政编码：</w:t>
            </w:r>
          </w:p>
          <w:p w14:paraId="107630B9">
            <w:pPr>
              <w:keepLines w:val="0"/>
              <w:pageBreakBefore w:val="0"/>
              <w:widowControl w:val="0"/>
              <w:kinsoku/>
              <w:overflowPunct/>
              <w:topLinePunct w:val="0"/>
              <w:autoSpaceDE/>
              <w:autoSpaceDN/>
              <w:bidi w:val="0"/>
              <w:snapToGrid w:val="0"/>
              <w:spacing w:before="154"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4"/>
                <w:sz w:val="21"/>
                <w:szCs w:val="21"/>
                <w:highlight w:val="none"/>
              </w:rPr>
              <w:t>发</w:t>
            </w:r>
            <w:r>
              <w:rPr>
                <w:rFonts w:hint="eastAsia" w:ascii="宋体" w:hAnsi="宋体" w:eastAsia="宋体" w:cs="宋体"/>
                <w:color w:val="auto"/>
                <w:spacing w:val="12"/>
                <w:sz w:val="21"/>
                <w:szCs w:val="21"/>
                <w:highlight w:val="none"/>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1BBAAC06">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84" w:type="dxa"/>
            <w:vAlign w:val="center"/>
          </w:tcPr>
          <w:p w14:paraId="5AE8D278">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1.1.3.14</w:t>
            </w:r>
          </w:p>
        </w:tc>
        <w:tc>
          <w:tcPr>
            <w:tcW w:w="7054" w:type="dxa"/>
            <w:tcBorders>
              <w:right w:val="single" w:color="000000" w:sz="6" w:space="0"/>
            </w:tcBorders>
            <w:vAlign w:val="center"/>
          </w:tcPr>
          <w:p w14:paraId="3DEF7AD2">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本</w:t>
            </w:r>
            <w:r>
              <w:rPr>
                <w:rFonts w:hint="eastAsia" w:ascii="宋体" w:hAnsi="宋体" w:eastAsia="宋体" w:cs="宋体"/>
                <w:color w:val="auto"/>
                <w:spacing w:val="10"/>
                <w:sz w:val="21"/>
                <w:szCs w:val="21"/>
                <w:highlight w:val="none"/>
              </w:rPr>
              <w:t>工程的主体和关键性工作是指：</w:t>
            </w:r>
            <w:r>
              <w:rPr>
                <w:rFonts w:hint="eastAsia" w:ascii="宋体" w:hAnsi="宋体" w:eastAsia="宋体" w:cs="宋体"/>
                <w:color w:val="auto"/>
                <w:spacing w:val="10"/>
                <w:sz w:val="21"/>
                <w:szCs w:val="21"/>
                <w:highlight w:val="none"/>
                <w:u w:val="single" w:color="auto"/>
              </w:rPr>
              <w:t>路面维修改造工程。</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755531E">
            <w:pPr>
              <w:keepLines w:val="0"/>
              <w:pageBreakBefore w:val="0"/>
              <w:widowControl w:val="0"/>
              <w:kinsoku/>
              <w:overflowPunct/>
              <w:topLinePunct w:val="0"/>
              <w:autoSpaceDE/>
              <w:autoSpaceDN/>
              <w:bidi w:val="0"/>
              <w:snapToGrid w:val="0"/>
              <w:spacing w:before="129"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1384" w:type="dxa"/>
            <w:vAlign w:val="center"/>
          </w:tcPr>
          <w:p w14:paraId="76110DD6">
            <w:pPr>
              <w:keepLines w:val="0"/>
              <w:pageBreakBefore w:val="0"/>
              <w:widowControl w:val="0"/>
              <w:kinsoku/>
              <w:overflowPunct/>
              <w:topLinePunct w:val="0"/>
              <w:autoSpaceDE/>
              <w:autoSpaceDN/>
              <w:bidi w:val="0"/>
              <w:snapToGrid w:val="0"/>
              <w:spacing w:before="129"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1.4.5</w:t>
            </w:r>
          </w:p>
        </w:tc>
        <w:tc>
          <w:tcPr>
            <w:tcW w:w="7054" w:type="dxa"/>
            <w:tcBorders>
              <w:right w:val="single" w:color="000000" w:sz="6" w:space="0"/>
            </w:tcBorders>
            <w:vAlign w:val="center"/>
          </w:tcPr>
          <w:p w14:paraId="705EBBE5">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缺陷责任</w:t>
            </w:r>
            <w:r>
              <w:rPr>
                <w:rFonts w:hint="eastAsia" w:ascii="宋体" w:hAnsi="宋体" w:eastAsia="宋体" w:cs="宋体"/>
                <w:color w:val="auto"/>
                <w:spacing w:val="5"/>
                <w:sz w:val="21"/>
                <w:szCs w:val="21"/>
                <w:highlight w:val="none"/>
              </w:rPr>
              <w:t>期</w:t>
            </w:r>
            <w:r>
              <w:rPr>
                <w:rFonts w:hint="eastAsia" w:ascii="宋体" w:hAnsi="宋体" w:eastAsia="宋体" w:cs="宋体"/>
                <w:color w:val="auto"/>
                <w:spacing w:val="4"/>
                <w:sz w:val="21"/>
                <w:szCs w:val="21"/>
                <w:highlight w:val="none"/>
              </w:rPr>
              <w:t>：自实际交工验收合格之日起</w:t>
            </w:r>
            <w:r>
              <w:rPr>
                <w:rFonts w:hint="eastAsia" w:ascii="宋体" w:hAnsi="宋体" w:eastAsia="宋体" w:cs="宋体"/>
                <w:color w:val="auto"/>
                <w:sz w:val="21"/>
                <w:szCs w:val="21"/>
                <w:highlight w:val="none"/>
              </w:rPr>
              <w:t>计算</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Style w:val="48"/>
                <w:rFonts w:hint="eastAsia" w:ascii="宋体" w:hAnsi="宋体" w:eastAsia="宋体" w:cs="宋体"/>
                <w:color w:val="auto"/>
                <w:sz w:val="21"/>
                <w:szCs w:val="21"/>
                <w:highlight w:val="none"/>
              </w:rPr>
              <w:footnoteReference w:id="33"/>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C04F79A">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84" w:type="dxa"/>
            <w:vAlign w:val="center"/>
          </w:tcPr>
          <w:p w14:paraId="501C6CEB">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.6.3</w:t>
            </w:r>
          </w:p>
        </w:tc>
        <w:tc>
          <w:tcPr>
            <w:tcW w:w="7054" w:type="dxa"/>
            <w:tcBorders>
              <w:right w:val="single" w:color="000000" w:sz="6" w:space="0"/>
            </w:tcBorders>
            <w:vAlign w:val="center"/>
          </w:tcPr>
          <w:p w14:paraId="02B0CBAC">
            <w:pPr>
              <w:keepLines w:val="0"/>
              <w:pageBreakBefore w:val="0"/>
              <w:widowControl w:val="0"/>
              <w:kinsoku/>
              <w:overflowPunct/>
              <w:topLinePunct w:val="0"/>
              <w:autoSpaceDE/>
              <w:autoSpaceDN/>
              <w:bidi w:val="0"/>
              <w:snapToGrid w:val="0"/>
              <w:spacing w:before="15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图</w:t>
            </w:r>
            <w:r>
              <w:rPr>
                <w:rFonts w:hint="eastAsia" w:ascii="宋体" w:hAnsi="宋体" w:eastAsia="宋体" w:cs="宋体"/>
                <w:color w:val="auto"/>
                <w:spacing w:val="16"/>
                <w:sz w:val="21"/>
                <w:szCs w:val="21"/>
                <w:highlight w:val="none"/>
              </w:rPr>
              <w:t>纸</w:t>
            </w:r>
            <w:r>
              <w:rPr>
                <w:rFonts w:hint="eastAsia" w:ascii="宋体" w:hAnsi="宋体" w:eastAsia="宋体" w:cs="宋体"/>
                <w:color w:val="auto"/>
                <w:spacing w:val="11"/>
                <w:sz w:val="21"/>
                <w:szCs w:val="21"/>
                <w:highlight w:val="none"/>
              </w:rPr>
              <w:t>需要修改和补充的，应由监理人取得发包人同意后，在该工程或工程相应</w:t>
            </w:r>
            <w:r>
              <w:rPr>
                <w:rFonts w:hint="eastAsia" w:ascii="宋体" w:hAnsi="宋体" w:eastAsia="宋体" w:cs="宋体"/>
                <w:color w:val="auto"/>
                <w:spacing w:val="12"/>
                <w:sz w:val="21"/>
                <w:szCs w:val="21"/>
                <w:highlight w:val="none"/>
              </w:rPr>
              <w:t>部</w:t>
            </w:r>
            <w:r>
              <w:rPr>
                <w:rFonts w:hint="eastAsia" w:ascii="宋体" w:hAnsi="宋体" w:eastAsia="宋体" w:cs="宋体"/>
                <w:color w:val="auto"/>
                <w:spacing w:val="6"/>
                <w:sz w:val="21"/>
                <w:szCs w:val="21"/>
                <w:highlight w:val="none"/>
              </w:rPr>
              <w:t>位施工前</w:t>
            </w:r>
            <w:r>
              <w:rPr>
                <w:rFonts w:hint="eastAsia" w:ascii="宋体" w:hAnsi="宋体" w:eastAsia="宋体" w:cs="宋体"/>
                <w:color w:val="auto"/>
                <w:spacing w:val="6"/>
                <w:sz w:val="21"/>
                <w:szCs w:val="21"/>
                <w:highlight w:val="none"/>
                <w:u w:val="single" w:color="auto"/>
              </w:rPr>
              <w:t>7</w:t>
            </w:r>
            <w:r>
              <w:rPr>
                <w:rFonts w:hint="eastAsia" w:ascii="宋体" w:hAnsi="宋体" w:eastAsia="宋体" w:cs="宋体"/>
                <w:color w:val="auto"/>
                <w:spacing w:val="6"/>
                <w:sz w:val="21"/>
                <w:szCs w:val="21"/>
                <w:highlight w:val="none"/>
              </w:rPr>
              <w:t>天签发图纸修改图给承包人。承包人应按修改或补充(新增减工</w:t>
            </w:r>
            <w:r>
              <w:rPr>
                <w:rFonts w:hint="eastAsia" w:ascii="宋体" w:hAnsi="宋体" w:eastAsia="宋体" w:cs="宋体"/>
                <w:color w:val="auto"/>
                <w:spacing w:val="7"/>
                <w:sz w:val="21"/>
                <w:szCs w:val="21"/>
                <w:highlight w:val="none"/>
              </w:rPr>
              <w:t>程)后的图纸施工。</w:t>
            </w:r>
          </w:p>
          <w:p w14:paraId="36C2F89F">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在</w:t>
            </w:r>
            <w:r>
              <w:rPr>
                <w:rFonts w:hint="eastAsia" w:ascii="宋体" w:hAnsi="宋体" w:eastAsia="宋体" w:cs="宋体"/>
                <w:color w:val="auto"/>
                <w:spacing w:val="12"/>
                <w:sz w:val="21"/>
                <w:szCs w:val="21"/>
                <w:highlight w:val="none"/>
              </w:rPr>
              <w:t>没有发包人及监理人共同批准的前提下，承包人不得对施工图的任何部分进行修改，否则按承包人违约处理，并由承包人承担由此产生的一切后果和经济</w:t>
            </w:r>
            <w:r>
              <w:rPr>
                <w:rFonts w:hint="eastAsia" w:ascii="宋体" w:hAnsi="宋体" w:eastAsia="宋体" w:cs="宋体"/>
                <w:color w:val="auto"/>
                <w:spacing w:val="10"/>
                <w:sz w:val="21"/>
                <w:szCs w:val="21"/>
                <w:highlight w:val="none"/>
              </w:rPr>
              <w:t>责</w:t>
            </w:r>
          </w:p>
          <w:p w14:paraId="44582A52">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任</w:t>
            </w:r>
            <w:r>
              <w:rPr>
                <w:rFonts w:hint="eastAsia" w:ascii="宋体" w:hAnsi="宋体" w:eastAsia="宋体" w:cs="宋体"/>
                <w:color w:val="auto"/>
                <w:sz w:val="21"/>
                <w:szCs w:val="21"/>
                <w:highlight w:val="none"/>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E894A95">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84" w:type="dxa"/>
            <w:vAlign w:val="center"/>
          </w:tcPr>
          <w:p w14:paraId="278F167B">
            <w:pPr>
              <w:keepLines w:val="0"/>
              <w:pageBreakBefore w:val="0"/>
              <w:widowControl w:val="0"/>
              <w:kinsoku/>
              <w:overflowPunct/>
              <w:topLinePunct w:val="0"/>
              <w:autoSpaceDE/>
              <w:autoSpaceDN/>
              <w:bidi w:val="0"/>
              <w:snapToGrid w:val="0"/>
              <w:spacing w:before="13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.7.2</w:t>
            </w:r>
          </w:p>
        </w:tc>
        <w:tc>
          <w:tcPr>
            <w:tcW w:w="7054" w:type="dxa"/>
            <w:tcBorders>
              <w:right w:val="single" w:color="000000" w:sz="6" w:space="0"/>
            </w:tcBorders>
            <w:vAlign w:val="center"/>
          </w:tcPr>
          <w:p w14:paraId="36CCE454">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来往函件送达的期限：</w:t>
            </w:r>
            <w:r>
              <w:rPr>
                <w:rFonts w:hint="eastAsia" w:ascii="宋体" w:hAnsi="宋体" w:eastAsia="宋体" w:cs="宋体"/>
                <w:color w:val="auto"/>
                <w:spacing w:val="6"/>
                <w:sz w:val="21"/>
                <w:szCs w:val="21"/>
                <w:highlight w:val="none"/>
                <w:u w:val="single" w:color="auto"/>
              </w:rPr>
              <w:t>函件发出24小时</w:t>
            </w:r>
            <w:r>
              <w:rPr>
                <w:rFonts w:hint="eastAsia" w:ascii="宋体" w:hAnsi="宋体" w:eastAsia="宋体" w:cs="宋体"/>
                <w:color w:val="auto"/>
                <w:spacing w:val="3"/>
                <w:sz w:val="21"/>
                <w:szCs w:val="21"/>
                <w:highlight w:val="none"/>
                <w:u w:val="single" w:color="auto"/>
              </w:rPr>
              <w:t>内</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CB55419">
            <w:pPr>
              <w:keepLines w:val="0"/>
              <w:pageBreakBefore w:val="0"/>
              <w:widowControl w:val="0"/>
              <w:kinsoku/>
              <w:overflowPunct/>
              <w:topLinePunct w:val="0"/>
              <w:autoSpaceDE/>
              <w:autoSpaceDN/>
              <w:bidi w:val="0"/>
              <w:snapToGrid w:val="0"/>
              <w:spacing w:before="135"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84" w:type="dxa"/>
            <w:vAlign w:val="center"/>
          </w:tcPr>
          <w:p w14:paraId="28CFF5B6">
            <w:pPr>
              <w:keepLines w:val="0"/>
              <w:pageBreakBefore w:val="0"/>
              <w:widowControl w:val="0"/>
              <w:kinsoku/>
              <w:overflowPunct/>
              <w:topLinePunct w:val="0"/>
              <w:autoSpaceDE/>
              <w:autoSpaceDN/>
              <w:bidi w:val="0"/>
              <w:snapToGrid w:val="0"/>
              <w:spacing w:before="132"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2.6</w:t>
            </w:r>
          </w:p>
        </w:tc>
        <w:tc>
          <w:tcPr>
            <w:tcW w:w="7054" w:type="dxa"/>
            <w:tcBorders>
              <w:right w:val="single" w:color="000000" w:sz="6" w:space="0"/>
            </w:tcBorders>
            <w:vAlign w:val="center"/>
          </w:tcPr>
          <w:p w14:paraId="6F4CC32F">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本工程资金来源</w:t>
            </w:r>
            <w:r>
              <w:rPr>
                <w:rFonts w:hint="eastAsia" w:ascii="宋体" w:hAnsi="宋体" w:cs="宋体"/>
                <w:color w:val="auto"/>
                <w:spacing w:val="9"/>
                <w:sz w:val="21"/>
                <w:szCs w:val="21"/>
                <w:highlight w:val="none"/>
                <w:lang w:eastAsia="zh-CN"/>
              </w:rPr>
              <w:t>：</w:t>
            </w:r>
            <w:r>
              <w:rPr>
                <w:rFonts w:hint="eastAsia" w:ascii="宋体" w:hAnsi="宋体" w:cs="宋体"/>
                <w:color w:val="auto"/>
                <w:spacing w:val="9"/>
                <w:sz w:val="21"/>
                <w:szCs w:val="21"/>
                <w:highlight w:val="none"/>
                <w:u w:val="single"/>
                <w:lang w:eastAsia="zh-CN"/>
              </w:rPr>
              <w:t xml:space="preserve">中央补助资金、省级补助资金、区(县)配套资金 </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FE9BAE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384" w:type="dxa"/>
            <w:vAlign w:val="center"/>
          </w:tcPr>
          <w:p w14:paraId="0B69FE96">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3.1.1</w:t>
            </w:r>
          </w:p>
        </w:tc>
        <w:tc>
          <w:tcPr>
            <w:tcW w:w="7054" w:type="dxa"/>
            <w:tcBorders>
              <w:right w:val="single" w:color="000000" w:sz="6" w:space="0"/>
            </w:tcBorders>
            <w:vAlign w:val="center"/>
          </w:tcPr>
          <w:p w14:paraId="66312A43">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监</w:t>
            </w:r>
            <w:r>
              <w:rPr>
                <w:rFonts w:hint="eastAsia" w:ascii="宋体" w:hAnsi="宋体" w:eastAsia="宋体" w:cs="宋体"/>
                <w:color w:val="auto"/>
                <w:spacing w:val="9"/>
                <w:sz w:val="21"/>
                <w:szCs w:val="21"/>
                <w:highlight w:val="none"/>
              </w:rPr>
              <w:t>理人在行使下列权力前需要经发包人事先批准：</w:t>
            </w:r>
          </w:p>
          <w:p w14:paraId="792129D8">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监理人在行使根据第15.3款发出的变更指示前需要经发包人事先批准。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2BB40B2">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84" w:type="dxa"/>
            <w:vAlign w:val="center"/>
          </w:tcPr>
          <w:p w14:paraId="4D384DB2">
            <w:pPr>
              <w:keepLines w:val="0"/>
              <w:pageBreakBefore w:val="0"/>
              <w:widowControl w:val="0"/>
              <w:kinsoku/>
              <w:overflowPunct/>
              <w:topLinePunct w:val="0"/>
              <w:autoSpaceDE/>
              <w:autoSpaceDN/>
              <w:bidi w:val="0"/>
              <w:snapToGrid w:val="0"/>
              <w:spacing w:before="65"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5"/>
                <w:sz w:val="21"/>
                <w:szCs w:val="21"/>
                <w:highlight w:val="none"/>
              </w:rPr>
              <w:t>.1.10(1)</w:t>
            </w:r>
          </w:p>
        </w:tc>
        <w:tc>
          <w:tcPr>
            <w:tcW w:w="7054" w:type="dxa"/>
            <w:tcBorders>
              <w:right w:val="single" w:color="000000" w:sz="6" w:space="0"/>
            </w:tcBorders>
            <w:vAlign w:val="center"/>
          </w:tcPr>
          <w:p w14:paraId="58428753">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临</w:t>
            </w:r>
            <w:r>
              <w:rPr>
                <w:rFonts w:hint="eastAsia" w:ascii="宋体" w:hAnsi="宋体" w:eastAsia="宋体" w:cs="宋体"/>
                <w:color w:val="auto"/>
                <w:spacing w:val="4"/>
                <w:sz w:val="21"/>
                <w:szCs w:val="21"/>
                <w:highlight w:val="none"/>
              </w:rPr>
              <w:t>时占地的租地费用实行总额包干，列入工程量清单第100章中由承包人按总额</w:t>
            </w:r>
            <w:r>
              <w:rPr>
                <w:rFonts w:hint="eastAsia" w:ascii="宋体" w:hAnsi="宋体" w:eastAsia="宋体" w:cs="宋体"/>
                <w:color w:val="auto"/>
                <w:spacing w:val="6"/>
                <w:sz w:val="21"/>
                <w:szCs w:val="21"/>
                <w:highlight w:val="none"/>
              </w:rPr>
              <w:t>报价。</w:t>
            </w:r>
            <w:r>
              <w:rPr>
                <w:rFonts w:hint="eastAsia" w:ascii="宋体" w:hAnsi="宋体" w:eastAsia="宋体" w:cs="宋体"/>
                <w:color w:val="auto"/>
                <w:spacing w:val="3"/>
                <w:sz w:val="21"/>
                <w:szCs w:val="21"/>
                <w:highlight w:val="none"/>
              </w:rPr>
              <w:t>临时占地费用计算方式：</w:t>
            </w:r>
            <w:r>
              <w:rPr>
                <w:rFonts w:hint="eastAsia" w:ascii="宋体" w:hAnsi="宋体" w:eastAsia="宋体" w:cs="宋体"/>
                <w:color w:val="auto"/>
                <w:spacing w:val="3"/>
                <w:sz w:val="21"/>
                <w:szCs w:val="21"/>
                <w:highlight w:val="none"/>
                <w:u w:val="single" w:color="auto"/>
              </w:rPr>
              <w:t>参考《关于实施征地区片综合地价的通知》(辽</w:t>
            </w:r>
            <w:r>
              <w:rPr>
                <w:rFonts w:hint="eastAsia" w:ascii="宋体" w:hAnsi="宋体" w:eastAsia="宋体" w:cs="宋体"/>
                <w:color w:val="auto"/>
                <w:spacing w:val="12"/>
                <w:sz w:val="21"/>
                <w:szCs w:val="21"/>
                <w:highlight w:val="none"/>
                <w:u w:val="single" w:color="auto"/>
              </w:rPr>
              <w:t>国土资发〔</w:t>
            </w:r>
            <w:r>
              <w:rPr>
                <w:rFonts w:hint="eastAsia" w:ascii="宋体" w:hAnsi="宋体" w:eastAsia="宋体" w:cs="宋体"/>
                <w:color w:val="auto"/>
                <w:spacing w:val="6"/>
                <w:sz w:val="21"/>
                <w:szCs w:val="21"/>
                <w:highlight w:val="none"/>
                <w:u w:val="single" w:color="auto"/>
              </w:rPr>
              <w:t>2015〕339号)以及项目所在地市县区政府公布的区片综合地价标准进</w:t>
            </w:r>
            <w:r>
              <w:rPr>
                <w:rFonts w:hint="eastAsia" w:ascii="宋体" w:hAnsi="宋体" w:eastAsia="宋体" w:cs="宋体"/>
                <w:color w:val="auto"/>
                <w:spacing w:val="2"/>
                <w:sz w:val="21"/>
                <w:szCs w:val="21"/>
                <w:highlight w:val="none"/>
                <w:u w:val="single" w:color="auto"/>
              </w:rPr>
              <w:t>行测算</w:t>
            </w:r>
            <w:r>
              <w:rPr>
                <w:rFonts w:hint="eastAsia" w:ascii="宋体" w:hAnsi="宋体" w:eastAsia="宋体" w:cs="宋体"/>
                <w:color w:val="auto"/>
                <w:spacing w:val="1"/>
                <w:sz w:val="21"/>
                <w:szCs w:val="21"/>
                <w:highlight w:val="none"/>
                <w:u w:val="single" w:color="auto"/>
              </w:rPr>
              <w:t>。</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7D928A1">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0</w:t>
            </w:r>
          </w:p>
        </w:tc>
        <w:tc>
          <w:tcPr>
            <w:tcW w:w="1384" w:type="dxa"/>
            <w:vAlign w:val="center"/>
          </w:tcPr>
          <w:p w14:paraId="2637097A">
            <w:pPr>
              <w:keepLines w:val="0"/>
              <w:pageBreakBefore w:val="0"/>
              <w:widowControl w:val="0"/>
              <w:kinsoku/>
              <w:overflowPunct/>
              <w:topLinePunct w:val="0"/>
              <w:autoSpaceDE/>
              <w:autoSpaceDN/>
              <w:bidi w:val="0"/>
              <w:snapToGrid w:val="0"/>
              <w:spacing w:before="65"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5"/>
                <w:sz w:val="21"/>
                <w:szCs w:val="21"/>
                <w:highlight w:val="none"/>
              </w:rPr>
              <w:t>.1.10(3)</w:t>
            </w:r>
          </w:p>
        </w:tc>
        <w:tc>
          <w:tcPr>
            <w:tcW w:w="7054" w:type="dxa"/>
            <w:tcBorders>
              <w:right w:val="single" w:color="000000" w:sz="6" w:space="0"/>
            </w:tcBorders>
            <w:vAlign w:val="center"/>
          </w:tcPr>
          <w:p w14:paraId="4993F056">
            <w:pPr>
              <w:keepLines w:val="0"/>
              <w:pageBreakBefore w:val="0"/>
              <w:widowControl w:val="0"/>
              <w:kinsoku/>
              <w:overflowPunct/>
              <w:topLinePunct w:val="0"/>
              <w:autoSpaceDE/>
              <w:autoSpaceDN/>
              <w:bidi w:val="0"/>
              <w:snapToGrid w:val="0"/>
              <w:spacing w:before="144"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w:t>
            </w:r>
            <w:r>
              <w:rPr>
                <w:rFonts w:hint="eastAsia" w:ascii="宋体" w:hAnsi="宋体" w:eastAsia="宋体" w:cs="宋体"/>
                <w:color w:val="auto"/>
                <w:spacing w:val="3"/>
                <w:sz w:val="21"/>
                <w:szCs w:val="21"/>
                <w:highlight w:val="none"/>
              </w:rPr>
              <w:t>对于农民工工资的发放应严格遵守《保障农民工工资支付条例》(国务院</w:t>
            </w:r>
            <w:r>
              <w:rPr>
                <w:rFonts w:hint="eastAsia" w:ascii="宋体" w:hAnsi="宋体" w:eastAsia="宋体" w:cs="宋体"/>
                <w:color w:val="auto"/>
                <w:spacing w:val="1"/>
                <w:sz w:val="21"/>
                <w:szCs w:val="21"/>
                <w:highlight w:val="none"/>
              </w:rPr>
              <w:t>令第724号</w:t>
            </w:r>
            <w:r>
              <w:rPr>
                <w:rFonts w:hint="eastAsia" w:ascii="宋体" w:hAnsi="宋体" w:eastAsia="宋体" w:cs="宋体"/>
                <w:color w:val="auto"/>
                <w:sz w:val="21"/>
                <w:szCs w:val="21"/>
                <w:highlight w:val="none"/>
              </w:rPr>
              <w:t>)、《工程建设领域农民工工资保证金规定》(人社部发〔2021〕65号)</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rPr>
              <w:t>辽宁省公路水运工程建设领域农民工工资支付管理办法》(辽交公水规〔2020〕1</w:t>
            </w:r>
            <w:r>
              <w:rPr>
                <w:rFonts w:hint="eastAsia" w:ascii="宋体" w:hAnsi="宋体" w:eastAsia="宋体" w:cs="宋体"/>
                <w:color w:val="auto"/>
                <w:spacing w:val="8"/>
                <w:sz w:val="21"/>
                <w:szCs w:val="21"/>
                <w:highlight w:val="none"/>
              </w:rPr>
              <w:t>号)</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《辽宁省建设领域农民工工资支付管理办法》(辽人社规〔2018〕3号)、</w:t>
            </w:r>
            <w:r>
              <w:rPr>
                <w:rFonts w:hint="eastAsia" w:ascii="宋体" w:hAnsi="宋体" w:eastAsia="宋体" w:cs="宋体"/>
                <w:color w:val="auto"/>
                <w:spacing w:val="8"/>
                <w:sz w:val="21"/>
                <w:szCs w:val="21"/>
                <w:highlight w:val="none"/>
              </w:rPr>
              <w:t>《关于建</w:t>
            </w:r>
            <w:r>
              <w:rPr>
                <w:rFonts w:hint="eastAsia" w:ascii="宋体" w:hAnsi="宋体" w:eastAsia="宋体" w:cs="宋体"/>
                <w:color w:val="auto"/>
                <w:spacing w:val="7"/>
                <w:sz w:val="21"/>
                <w:szCs w:val="21"/>
                <w:highlight w:val="none"/>
              </w:rPr>
              <w:t>立</w:t>
            </w:r>
            <w:r>
              <w:rPr>
                <w:rFonts w:hint="eastAsia" w:ascii="宋体" w:hAnsi="宋体" w:eastAsia="宋体" w:cs="宋体"/>
                <w:color w:val="auto"/>
                <w:spacing w:val="4"/>
                <w:sz w:val="21"/>
                <w:szCs w:val="21"/>
                <w:highlight w:val="none"/>
              </w:rPr>
              <w:t>建设领域农民工工资保证金制度的通知》(辽人社规〔2018〕4号)、</w:t>
            </w:r>
            <w:r>
              <w:rPr>
                <w:rFonts w:hint="eastAsia" w:ascii="宋体" w:hAnsi="宋体" w:eastAsia="宋体" w:cs="宋体"/>
                <w:color w:val="auto"/>
                <w:spacing w:val="-1"/>
                <w:sz w:val="21"/>
                <w:szCs w:val="21"/>
                <w:highlight w:val="none"/>
              </w:rPr>
              <w:t>《辽宁省工程建设领域农民</w:t>
            </w:r>
            <w:r>
              <w:rPr>
                <w:rFonts w:hint="eastAsia" w:ascii="宋体" w:hAnsi="宋体" w:eastAsia="宋体" w:cs="宋体"/>
                <w:color w:val="auto"/>
                <w:sz w:val="21"/>
                <w:szCs w:val="21"/>
                <w:highlight w:val="none"/>
              </w:rPr>
              <w:t>工工资专用账户管理暂行办法实施细则》(辽人社〔2021〕</w:t>
            </w:r>
          </w:p>
          <w:p w14:paraId="5685124E">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号)、《辽宁省工程建设领域农民工工资保证金实施办法》(辽人社〔2022〕5</w:t>
            </w:r>
            <w:r>
              <w:rPr>
                <w:rFonts w:hint="eastAsia" w:ascii="宋体" w:hAnsi="宋体" w:eastAsia="宋体" w:cs="宋体"/>
                <w:color w:val="auto"/>
                <w:spacing w:val="10"/>
                <w:sz w:val="21"/>
                <w:szCs w:val="21"/>
                <w:highlight w:val="none"/>
              </w:rPr>
              <w:t>号</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
                <w:sz w:val="21"/>
                <w:szCs w:val="21"/>
                <w:highlight w:val="none"/>
              </w:rPr>
              <w:t>等国家和项目所在省、市相关主管部门施行的规定，主要包括：</w:t>
            </w:r>
          </w:p>
          <w:p w14:paraId="72734DA9">
            <w:pPr>
              <w:keepLines w:val="0"/>
              <w:pageBreakBefore w:val="0"/>
              <w:widowControl w:val="0"/>
              <w:kinsoku/>
              <w:overflowPunct/>
              <w:topLinePunct w:val="0"/>
              <w:autoSpaceDE/>
              <w:autoSpaceDN/>
              <w:bidi w:val="0"/>
              <w:snapToGrid w:val="0"/>
              <w:spacing w:before="15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6"/>
                <w:sz w:val="21"/>
                <w:szCs w:val="21"/>
                <w:highlight w:val="none"/>
              </w:rPr>
              <w:t>、承包人(</w:t>
            </w:r>
            <w:r>
              <w:rPr>
                <w:rFonts w:hint="eastAsia" w:ascii="宋体" w:hAnsi="宋体" w:eastAsia="宋体" w:cs="宋体"/>
                <w:color w:val="auto"/>
                <w:spacing w:val="4"/>
                <w:sz w:val="21"/>
                <w:szCs w:val="21"/>
                <w:highlight w:val="none"/>
              </w:rPr>
              <w:t>包</w:t>
            </w:r>
            <w:r>
              <w:rPr>
                <w:rFonts w:hint="eastAsia" w:ascii="宋体" w:hAnsi="宋体" w:eastAsia="宋体" w:cs="宋体"/>
                <w:color w:val="auto"/>
                <w:spacing w:val="3"/>
                <w:sz w:val="21"/>
                <w:szCs w:val="21"/>
                <w:highlight w:val="none"/>
              </w:rPr>
              <w:t>括其分包人)应实行农民工劳动用工实名制管理，与招用的农民工</w:t>
            </w:r>
            <w:r>
              <w:rPr>
                <w:rFonts w:hint="eastAsia" w:ascii="宋体" w:hAnsi="宋体" w:eastAsia="宋体" w:cs="宋体"/>
                <w:color w:val="auto"/>
                <w:spacing w:val="10"/>
                <w:sz w:val="21"/>
                <w:szCs w:val="21"/>
                <w:highlight w:val="none"/>
              </w:rPr>
              <w:t>书</w:t>
            </w:r>
            <w:r>
              <w:rPr>
                <w:rFonts w:hint="eastAsia" w:ascii="宋体" w:hAnsi="宋体" w:eastAsia="宋体" w:cs="宋体"/>
                <w:color w:val="auto"/>
                <w:spacing w:val="6"/>
                <w:sz w:val="21"/>
                <w:szCs w:val="21"/>
                <w:highlight w:val="none"/>
              </w:rPr>
              <w:t>面约定或者通过依法制定的规章制度规定工资支付标准、支付时间、支付方式等</w:t>
            </w:r>
            <w:r>
              <w:rPr>
                <w:rFonts w:hint="eastAsia" w:ascii="宋体" w:hAnsi="宋体" w:eastAsia="宋体" w:cs="宋体"/>
                <w:color w:val="auto"/>
                <w:spacing w:val="10"/>
                <w:sz w:val="21"/>
                <w:szCs w:val="21"/>
                <w:highlight w:val="none"/>
              </w:rPr>
              <w:t>内容。承包人</w:t>
            </w:r>
            <w:r>
              <w:rPr>
                <w:rFonts w:hint="eastAsia" w:ascii="宋体" w:hAnsi="宋体" w:eastAsia="宋体" w:cs="宋体"/>
                <w:color w:val="auto"/>
                <w:spacing w:val="5"/>
                <w:sz w:val="21"/>
                <w:szCs w:val="21"/>
                <w:highlight w:val="none"/>
              </w:rPr>
              <w:t>(包括其分包人)应按照与农民工订立的劳动合同中约定的工资支付</w:t>
            </w:r>
          </w:p>
          <w:p w14:paraId="3C5D6E23">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周</w:t>
            </w:r>
            <w:r>
              <w:rPr>
                <w:rFonts w:hint="eastAsia" w:ascii="宋体" w:hAnsi="宋体" w:eastAsia="宋体" w:cs="宋体"/>
                <w:color w:val="auto"/>
                <w:spacing w:val="5"/>
                <w:sz w:val="21"/>
                <w:szCs w:val="21"/>
                <w:highlight w:val="none"/>
              </w:rPr>
              <w:t>期和具体支付日期足额支付工资。</w:t>
            </w:r>
          </w:p>
          <w:p w14:paraId="42E4813B">
            <w:pPr>
              <w:keepLines w:val="0"/>
              <w:pageBreakBefore w:val="0"/>
              <w:widowControl w:val="0"/>
              <w:kinsoku/>
              <w:overflowPunct/>
              <w:topLinePunct w:val="0"/>
              <w:autoSpaceDE/>
              <w:autoSpaceDN/>
              <w:bidi w:val="0"/>
              <w:snapToGrid w:val="0"/>
              <w:spacing w:before="11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、农民工工资应</w:t>
            </w:r>
            <w:r>
              <w:rPr>
                <w:rFonts w:hint="eastAsia" w:ascii="宋体" w:hAnsi="宋体" w:eastAsia="宋体" w:cs="宋体"/>
                <w:color w:val="auto"/>
                <w:spacing w:val="3"/>
                <w:sz w:val="21"/>
                <w:szCs w:val="21"/>
                <w:highlight w:val="none"/>
              </w:rPr>
              <w:t>当以货币形式，通过银行转账或者现金支付给农民工本人，不得</w:t>
            </w:r>
            <w:r>
              <w:rPr>
                <w:rFonts w:hint="eastAsia" w:ascii="宋体" w:hAnsi="宋体" w:eastAsia="宋体" w:cs="宋体"/>
                <w:color w:val="auto"/>
                <w:spacing w:val="4"/>
                <w:sz w:val="21"/>
                <w:szCs w:val="21"/>
                <w:highlight w:val="none"/>
              </w:rPr>
              <w:t>以实物或者有价证券等其他形式替代</w:t>
            </w:r>
            <w:r>
              <w:rPr>
                <w:rFonts w:hint="eastAsia" w:ascii="宋体" w:hAnsi="宋体" w:eastAsia="宋体" w:cs="宋体"/>
                <w:color w:val="auto"/>
                <w:spacing w:val="1"/>
                <w:sz w:val="21"/>
                <w:szCs w:val="21"/>
                <w:highlight w:val="none"/>
              </w:rPr>
              <w:t>。</w:t>
            </w:r>
          </w:p>
          <w:p w14:paraId="0BE2972A">
            <w:pPr>
              <w:keepLines w:val="0"/>
              <w:pageBreakBefore w:val="0"/>
              <w:widowControl w:val="0"/>
              <w:kinsoku/>
              <w:overflowPunct/>
              <w:topLinePunct w:val="0"/>
              <w:autoSpaceDE/>
              <w:autoSpaceDN/>
              <w:bidi w:val="0"/>
              <w:snapToGrid w:val="0"/>
              <w:spacing w:before="14"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7"/>
                <w:sz w:val="21"/>
                <w:szCs w:val="21"/>
                <w:highlight w:val="none"/>
              </w:rPr>
              <w:t>c</w:t>
            </w:r>
            <w:r>
              <w:rPr>
                <w:rFonts w:hint="eastAsia" w:ascii="宋体" w:hAnsi="宋体" w:eastAsia="宋体" w:cs="宋体"/>
                <w:color w:val="auto"/>
                <w:spacing w:val="6"/>
                <w:position w:val="17"/>
                <w:sz w:val="21"/>
                <w:szCs w:val="21"/>
                <w:highlight w:val="none"/>
              </w:rPr>
              <w:t>、承包人在每次申</w:t>
            </w:r>
            <w:r>
              <w:rPr>
                <w:rFonts w:hint="eastAsia" w:ascii="宋体" w:hAnsi="宋体" w:eastAsia="宋体" w:cs="宋体"/>
                <w:color w:val="auto"/>
                <w:spacing w:val="4"/>
                <w:position w:val="17"/>
                <w:sz w:val="21"/>
                <w:szCs w:val="21"/>
                <w:highlight w:val="none"/>
              </w:rPr>
              <w:t>报</w:t>
            </w:r>
            <w:r>
              <w:rPr>
                <w:rFonts w:hint="eastAsia" w:ascii="宋体" w:hAnsi="宋体" w:eastAsia="宋体" w:cs="宋体"/>
                <w:color w:val="auto"/>
                <w:spacing w:val="3"/>
                <w:position w:val="17"/>
                <w:sz w:val="21"/>
                <w:szCs w:val="21"/>
                <w:highlight w:val="none"/>
              </w:rPr>
              <w:t>计量支付时，应将农民工工资款单独列项，项目管理法人将</w:t>
            </w:r>
          </w:p>
          <w:p w14:paraId="68EE1D5B">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按照经</w:t>
            </w:r>
            <w:r>
              <w:rPr>
                <w:rFonts w:hint="eastAsia" w:ascii="宋体" w:hAnsi="宋体" w:eastAsia="宋体" w:cs="宋体"/>
                <w:color w:val="auto"/>
                <w:spacing w:val="8"/>
                <w:sz w:val="21"/>
                <w:szCs w:val="21"/>
                <w:highlight w:val="none"/>
              </w:rPr>
              <w:t>审</w:t>
            </w:r>
            <w:r>
              <w:rPr>
                <w:rFonts w:hint="eastAsia" w:ascii="宋体" w:hAnsi="宋体" w:eastAsia="宋体" w:cs="宋体"/>
                <w:color w:val="auto"/>
                <w:spacing w:val="5"/>
                <w:sz w:val="21"/>
                <w:szCs w:val="21"/>
                <w:highlight w:val="none"/>
              </w:rPr>
              <w:t>核后的数额将农民工工资拨付至承包人的农民工工资专用账户。</w:t>
            </w:r>
          </w:p>
          <w:p w14:paraId="3802A743">
            <w:pPr>
              <w:keepLines w:val="0"/>
              <w:pageBreakBefore w:val="0"/>
              <w:widowControl w:val="0"/>
              <w:kinsoku/>
              <w:overflowPunct/>
              <w:topLinePunct w:val="0"/>
              <w:autoSpaceDE/>
              <w:autoSpaceDN/>
              <w:bidi w:val="0"/>
              <w:snapToGrid w:val="0"/>
              <w:spacing w:before="11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pacing w:val="2"/>
                <w:sz w:val="21"/>
                <w:szCs w:val="21"/>
                <w:highlight w:val="none"/>
              </w:rPr>
              <w:t>、承包人应当按照工资支付周期编制书面工资支付台账，并至少保存3年</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书面</w:t>
            </w:r>
            <w:r>
              <w:rPr>
                <w:rFonts w:hint="eastAsia" w:ascii="宋体" w:hAnsi="宋体" w:eastAsia="宋体" w:cs="宋体"/>
                <w:color w:val="auto"/>
                <w:spacing w:val="12"/>
                <w:sz w:val="21"/>
                <w:szCs w:val="21"/>
                <w:highlight w:val="none"/>
              </w:rPr>
              <w:t>工</w:t>
            </w:r>
            <w:r>
              <w:rPr>
                <w:rFonts w:hint="eastAsia" w:ascii="宋体" w:hAnsi="宋体" w:eastAsia="宋体" w:cs="宋体"/>
                <w:color w:val="auto"/>
                <w:spacing w:val="8"/>
                <w:sz w:val="21"/>
                <w:szCs w:val="21"/>
                <w:highlight w:val="none"/>
              </w:rPr>
              <w:t>资</w:t>
            </w:r>
            <w:r>
              <w:rPr>
                <w:rFonts w:hint="eastAsia" w:ascii="宋体" w:hAnsi="宋体" w:eastAsia="宋体" w:cs="宋体"/>
                <w:color w:val="auto"/>
                <w:spacing w:val="6"/>
                <w:sz w:val="21"/>
                <w:szCs w:val="21"/>
                <w:highlight w:val="none"/>
              </w:rPr>
              <w:t>支付台账应当包括用人单位名称，支付周期，支付日期，支付对象姓名、身份</w:t>
            </w:r>
            <w:r>
              <w:rPr>
                <w:rFonts w:hint="eastAsia" w:ascii="宋体" w:hAnsi="宋体" w:eastAsia="宋体" w:cs="宋体"/>
                <w:color w:val="auto"/>
                <w:spacing w:val="12"/>
                <w:sz w:val="21"/>
                <w:szCs w:val="21"/>
                <w:highlight w:val="none"/>
              </w:rPr>
              <w:t>证</w:t>
            </w:r>
            <w:r>
              <w:rPr>
                <w:rFonts w:hint="eastAsia" w:ascii="宋体" w:hAnsi="宋体" w:eastAsia="宋体" w:cs="宋体"/>
                <w:color w:val="auto"/>
                <w:spacing w:val="8"/>
                <w:sz w:val="21"/>
                <w:szCs w:val="21"/>
                <w:highlight w:val="none"/>
              </w:rPr>
              <w:t>号</w:t>
            </w:r>
            <w:r>
              <w:rPr>
                <w:rFonts w:hint="eastAsia" w:ascii="宋体" w:hAnsi="宋体" w:eastAsia="宋体" w:cs="宋体"/>
                <w:color w:val="auto"/>
                <w:spacing w:val="6"/>
                <w:sz w:val="21"/>
                <w:szCs w:val="21"/>
                <w:highlight w:val="none"/>
              </w:rPr>
              <w:t>码、联系方式，工作时间，应发工资项目及数额，代扣、代缴、扣除项目和数</w:t>
            </w:r>
            <w:r>
              <w:rPr>
                <w:rFonts w:hint="eastAsia" w:ascii="宋体" w:hAnsi="宋体" w:eastAsia="宋体" w:cs="宋体"/>
                <w:color w:val="auto"/>
                <w:spacing w:val="12"/>
                <w:sz w:val="21"/>
                <w:szCs w:val="21"/>
                <w:highlight w:val="none"/>
              </w:rPr>
              <w:t>额</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实发工资数额，银行代发工资凭证或者农民工签字等内容。用人单位向农民工</w:t>
            </w:r>
            <w:r>
              <w:rPr>
                <w:rFonts w:hint="eastAsia" w:ascii="宋体" w:hAnsi="宋体" w:eastAsia="宋体" w:cs="宋体"/>
                <w:color w:val="auto"/>
                <w:spacing w:val="10"/>
                <w:sz w:val="21"/>
                <w:szCs w:val="21"/>
                <w:highlight w:val="none"/>
              </w:rPr>
              <w:t>支付</w:t>
            </w:r>
            <w:r>
              <w:rPr>
                <w:rFonts w:hint="eastAsia" w:ascii="宋体" w:hAnsi="宋体" w:eastAsia="宋体" w:cs="宋体"/>
                <w:color w:val="auto"/>
                <w:spacing w:val="5"/>
                <w:sz w:val="21"/>
                <w:szCs w:val="21"/>
                <w:highlight w:val="none"/>
              </w:rPr>
              <w:t>工资时，应当提供农民工本人的工资清单。</w:t>
            </w:r>
          </w:p>
          <w:p w14:paraId="2973A984">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pacing w:val="5"/>
                <w:sz w:val="21"/>
                <w:szCs w:val="21"/>
                <w:highlight w:val="none"/>
              </w:rPr>
              <w:t>、承包人应分解工程价款中的人工费用，在本合同签订后15日内按照有关规</w:t>
            </w:r>
            <w:r>
              <w:rPr>
                <w:rFonts w:hint="eastAsia" w:ascii="宋体" w:hAnsi="宋体" w:eastAsia="宋体" w:cs="宋体"/>
                <w:color w:val="auto"/>
                <w:sz w:val="21"/>
                <w:szCs w:val="21"/>
                <w:highlight w:val="none"/>
              </w:rPr>
              <w:t>定</w:t>
            </w:r>
            <w:r>
              <w:rPr>
                <w:rFonts w:hint="eastAsia" w:ascii="宋体" w:hAnsi="宋体" w:eastAsia="宋体" w:cs="宋体"/>
                <w:color w:val="auto"/>
                <w:spacing w:val="12"/>
                <w:sz w:val="21"/>
                <w:szCs w:val="21"/>
                <w:highlight w:val="none"/>
              </w:rPr>
              <w:t>开</w:t>
            </w:r>
            <w:r>
              <w:rPr>
                <w:rFonts w:hint="eastAsia" w:ascii="宋体" w:hAnsi="宋体" w:eastAsia="宋体" w:cs="宋体"/>
                <w:color w:val="auto"/>
                <w:spacing w:val="7"/>
                <w:sz w:val="21"/>
                <w:szCs w:val="21"/>
                <w:highlight w:val="none"/>
              </w:rPr>
              <w:t>设</w:t>
            </w:r>
            <w:r>
              <w:rPr>
                <w:rFonts w:hint="eastAsia" w:ascii="宋体" w:hAnsi="宋体" w:eastAsia="宋体" w:cs="宋体"/>
                <w:color w:val="auto"/>
                <w:spacing w:val="6"/>
                <w:sz w:val="21"/>
                <w:szCs w:val="21"/>
                <w:highlight w:val="none"/>
              </w:rPr>
              <w:t>农民工工资专用账户，专项用于支付本工程项目的农民工工资。开设、使用农</w:t>
            </w:r>
            <w:r>
              <w:rPr>
                <w:rFonts w:hint="eastAsia" w:ascii="宋体" w:hAnsi="宋体" w:eastAsia="宋体" w:cs="宋体"/>
                <w:color w:val="auto"/>
                <w:spacing w:val="12"/>
                <w:sz w:val="21"/>
                <w:szCs w:val="21"/>
                <w:highlight w:val="none"/>
              </w:rPr>
              <w:t>民</w:t>
            </w:r>
            <w:r>
              <w:rPr>
                <w:rFonts w:hint="eastAsia" w:ascii="宋体" w:hAnsi="宋体" w:eastAsia="宋体" w:cs="宋体"/>
                <w:color w:val="auto"/>
                <w:spacing w:val="7"/>
                <w:sz w:val="21"/>
                <w:szCs w:val="21"/>
                <w:highlight w:val="none"/>
              </w:rPr>
              <w:t>工</w:t>
            </w:r>
            <w:r>
              <w:rPr>
                <w:rFonts w:hint="eastAsia" w:ascii="宋体" w:hAnsi="宋体" w:eastAsia="宋体" w:cs="宋体"/>
                <w:color w:val="auto"/>
                <w:spacing w:val="6"/>
                <w:sz w:val="21"/>
                <w:szCs w:val="21"/>
                <w:highlight w:val="none"/>
              </w:rPr>
              <w:t>工资专用账户有关资料应当由承包人妥善保存备查。工程完工且未拖欠农民工</w:t>
            </w:r>
            <w:r>
              <w:rPr>
                <w:rFonts w:hint="eastAsia" w:ascii="宋体" w:hAnsi="宋体" w:eastAsia="宋体" w:cs="宋体"/>
                <w:color w:val="auto"/>
                <w:spacing w:val="2"/>
                <w:sz w:val="21"/>
                <w:szCs w:val="21"/>
                <w:highlight w:val="none"/>
              </w:rPr>
              <w:t>工资的，承包人公示30日后，可以申请注销农民工工资专用账户，账户内余</w:t>
            </w:r>
            <w:r>
              <w:rPr>
                <w:rFonts w:hint="eastAsia" w:ascii="宋体" w:hAnsi="宋体" w:eastAsia="宋体" w:cs="宋体"/>
                <w:color w:val="auto"/>
                <w:spacing w:val="1"/>
                <w:sz w:val="21"/>
                <w:szCs w:val="21"/>
                <w:highlight w:val="none"/>
              </w:rPr>
              <w:t>额</w:t>
            </w:r>
            <w:r>
              <w:rPr>
                <w:rFonts w:hint="eastAsia" w:ascii="宋体" w:hAnsi="宋体" w:eastAsia="宋体" w:cs="宋体"/>
                <w:color w:val="auto"/>
                <w:sz w:val="21"/>
                <w:szCs w:val="21"/>
                <w:highlight w:val="none"/>
              </w:rPr>
              <w:t>归承</w:t>
            </w:r>
          </w:p>
          <w:p w14:paraId="32C34AA2">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包</w:t>
            </w:r>
            <w:r>
              <w:rPr>
                <w:rFonts w:hint="eastAsia" w:ascii="宋体" w:hAnsi="宋体" w:eastAsia="宋体" w:cs="宋体"/>
                <w:color w:val="auto"/>
                <w:spacing w:val="3"/>
                <w:sz w:val="21"/>
                <w:szCs w:val="21"/>
                <w:highlight w:val="none"/>
              </w:rPr>
              <w:t>人所有。</w:t>
            </w:r>
          </w:p>
          <w:p w14:paraId="03A11E25">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承包人(包括其分包人)应当依法与所招用的农民工订立劳动合同并进行用工</w:t>
            </w:r>
            <w:r>
              <w:rPr>
                <w:rFonts w:hint="eastAsia" w:ascii="宋体" w:hAnsi="宋体" w:eastAsia="宋体" w:cs="宋体"/>
                <w:color w:val="auto"/>
                <w:spacing w:val="9"/>
                <w:sz w:val="21"/>
                <w:szCs w:val="21"/>
                <w:highlight w:val="none"/>
              </w:rPr>
              <w:t>实</w:t>
            </w:r>
            <w:r>
              <w:rPr>
                <w:rFonts w:hint="eastAsia" w:ascii="宋体" w:hAnsi="宋体" w:eastAsia="宋体" w:cs="宋体"/>
                <w:color w:val="auto"/>
                <w:spacing w:val="6"/>
                <w:sz w:val="21"/>
                <w:szCs w:val="21"/>
                <w:highlight w:val="none"/>
              </w:rPr>
              <w:t>名登记，通过相应的管理服务信息平台(如辽宁省建筑工人实名制信息管理服务平台、辽宁省欠薪预警信息系统)进行用工实名登记、管理。未与承包人(包括</w:t>
            </w:r>
            <w:r>
              <w:rPr>
                <w:rFonts w:hint="eastAsia" w:ascii="宋体" w:hAnsi="宋体" w:eastAsia="宋体" w:cs="宋体"/>
                <w:color w:val="auto"/>
                <w:spacing w:val="3"/>
                <w:sz w:val="21"/>
                <w:szCs w:val="21"/>
                <w:highlight w:val="none"/>
              </w:rPr>
              <w:t>其</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6"/>
                <w:sz w:val="21"/>
                <w:szCs w:val="21"/>
                <w:highlight w:val="none"/>
              </w:rPr>
              <w:t>包人)订立劳动合同并进行用工实名登记的人员，不得进入项目现场施工。承包</w:t>
            </w:r>
            <w:r>
              <w:rPr>
                <w:rFonts w:hint="eastAsia" w:ascii="宋体" w:hAnsi="宋体" w:eastAsia="宋体" w:cs="宋体"/>
                <w:color w:val="auto"/>
                <w:spacing w:val="12"/>
                <w:sz w:val="21"/>
                <w:szCs w:val="21"/>
                <w:highlight w:val="none"/>
              </w:rPr>
              <w:t>人</w:t>
            </w:r>
            <w:r>
              <w:rPr>
                <w:rFonts w:hint="eastAsia" w:ascii="宋体" w:hAnsi="宋体" w:eastAsia="宋体" w:cs="宋体"/>
                <w:color w:val="auto"/>
                <w:spacing w:val="9"/>
                <w:sz w:val="21"/>
                <w:szCs w:val="21"/>
                <w:highlight w:val="none"/>
              </w:rPr>
              <w:t>对</w:t>
            </w:r>
            <w:r>
              <w:rPr>
                <w:rFonts w:hint="eastAsia" w:ascii="宋体" w:hAnsi="宋体" w:eastAsia="宋体" w:cs="宋体"/>
                <w:color w:val="auto"/>
                <w:spacing w:val="6"/>
                <w:sz w:val="21"/>
                <w:szCs w:val="21"/>
                <w:highlight w:val="none"/>
              </w:rPr>
              <w:t>工程进行分包的，应在工程项目部配备劳资专管员，对分包人劳动用工实施监</w:t>
            </w:r>
            <w:r>
              <w:rPr>
                <w:rFonts w:hint="eastAsia" w:ascii="宋体" w:hAnsi="宋体" w:eastAsia="宋体" w:cs="宋体"/>
                <w:color w:val="auto"/>
                <w:spacing w:val="12"/>
                <w:sz w:val="21"/>
                <w:szCs w:val="21"/>
                <w:highlight w:val="none"/>
              </w:rPr>
              <w:t>督</w:t>
            </w:r>
            <w:r>
              <w:rPr>
                <w:rFonts w:hint="eastAsia" w:ascii="宋体" w:hAnsi="宋体" w:eastAsia="宋体" w:cs="宋体"/>
                <w:color w:val="auto"/>
                <w:spacing w:val="9"/>
                <w:sz w:val="21"/>
                <w:szCs w:val="21"/>
                <w:highlight w:val="none"/>
              </w:rPr>
              <w:t>管</w:t>
            </w:r>
            <w:r>
              <w:rPr>
                <w:rFonts w:hint="eastAsia" w:ascii="宋体" w:hAnsi="宋体" w:eastAsia="宋体" w:cs="宋体"/>
                <w:color w:val="auto"/>
                <w:spacing w:val="6"/>
                <w:sz w:val="21"/>
                <w:szCs w:val="21"/>
                <w:highlight w:val="none"/>
              </w:rPr>
              <w:t>理，掌握施工现场用工、考勤、工资支付等情况，审核分包人编制的农民工工</w:t>
            </w:r>
            <w:r>
              <w:rPr>
                <w:rFonts w:hint="eastAsia" w:ascii="宋体" w:hAnsi="宋体" w:eastAsia="宋体" w:cs="宋体"/>
                <w:color w:val="auto"/>
                <w:spacing w:val="12"/>
                <w:sz w:val="21"/>
                <w:szCs w:val="21"/>
                <w:highlight w:val="none"/>
              </w:rPr>
              <w:t>资</w:t>
            </w:r>
            <w:r>
              <w:rPr>
                <w:rFonts w:hint="eastAsia" w:ascii="宋体" w:hAnsi="宋体" w:eastAsia="宋体" w:cs="宋体"/>
                <w:color w:val="auto"/>
                <w:spacing w:val="9"/>
                <w:sz w:val="21"/>
                <w:szCs w:val="21"/>
                <w:highlight w:val="none"/>
              </w:rPr>
              <w:t>支</w:t>
            </w:r>
            <w:r>
              <w:rPr>
                <w:rFonts w:hint="eastAsia" w:ascii="宋体" w:hAnsi="宋体" w:eastAsia="宋体" w:cs="宋体"/>
                <w:color w:val="auto"/>
                <w:spacing w:val="6"/>
                <w:sz w:val="21"/>
                <w:szCs w:val="21"/>
                <w:highlight w:val="none"/>
              </w:rPr>
              <w:t>付表。承包人应当建立用工管理台账，并保存至工程完工且工资全部结清后至</w:t>
            </w:r>
            <w:r>
              <w:rPr>
                <w:rFonts w:hint="eastAsia" w:ascii="宋体" w:hAnsi="宋体" w:eastAsia="宋体" w:cs="宋体"/>
                <w:color w:val="auto"/>
                <w:spacing w:val="-8"/>
                <w:sz w:val="21"/>
                <w:szCs w:val="21"/>
                <w:highlight w:val="none"/>
              </w:rPr>
              <w:t>少</w:t>
            </w:r>
            <w:r>
              <w:rPr>
                <w:rFonts w:hint="eastAsia" w:ascii="宋体" w:hAnsi="宋体" w:eastAsia="宋体" w:cs="宋体"/>
                <w:color w:val="auto"/>
                <w:spacing w:val="-6"/>
                <w:sz w:val="21"/>
                <w:szCs w:val="21"/>
                <w:highlight w:val="none"/>
              </w:rPr>
              <w:t>3年。</w:t>
            </w:r>
          </w:p>
          <w:p w14:paraId="389B0676">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5"/>
                <w:sz w:val="21"/>
                <w:szCs w:val="21"/>
                <w:highlight w:val="none"/>
              </w:rPr>
              <w:t>g</w:t>
            </w:r>
            <w:r>
              <w:rPr>
                <w:rFonts w:hint="eastAsia" w:ascii="宋体" w:hAnsi="宋体" w:eastAsia="宋体" w:cs="宋体"/>
                <w:color w:val="auto"/>
                <w:spacing w:val="6"/>
                <w:position w:val="15"/>
                <w:sz w:val="21"/>
                <w:szCs w:val="21"/>
                <w:highlight w:val="none"/>
              </w:rPr>
              <w:t>、分包人(如有</w:t>
            </w:r>
            <w:r>
              <w:rPr>
                <w:rFonts w:hint="eastAsia" w:ascii="宋体" w:hAnsi="宋体" w:eastAsia="宋体" w:cs="宋体"/>
                <w:color w:val="auto"/>
                <w:spacing w:val="3"/>
                <w:position w:val="15"/>
                <w:sz w:val="21"/>
                <w:szCs w:val="21"/>
                <w:highlight w:val="none"/>
              </w:rPr>
              <w:t>)拖欠农民工工资的，由承包人先行清偿，再依法进行追偿。</w:t>
            </w:r>
          </w:p>
          <w:p w14:paraId="4ACC3999">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0"/>
                <w:sz w:val="21"/>
                <w:szCs w:val="21"/>
                <w:highlight w:val="none"/>
                <w:lang w:val="en-US" w:eastAsia="zh-CN"/>
              </w:rPr>
              <w:t>因</w:t>
            </w:r>
            <w:r>
              <w:rPr>
                <w:rFonts w:hint="eastAsia" w:ascii="宋体" w:hAnsi="宋体" w:eastAsia="宋体" w:cs="宋体"/>
                <w:color w:val="auto"/>
                <w:spacing w:val="10"/>
                <w:sz w:val="21"/>
                <w:szCs w:val="21"/>
                <w:highlight w:val="none"/>
              </w:rPr>
              <w:t>承包人转</w:t>
            </w:r>
            <w:r>
              <w:rPr>
                <w:rFonts w:hint="eastAsia" w:ascii="宋体" w:hAnsi="宋体" w:eastAsia="宋体" w:cs="宋体"/>
                <w:color w:val="auto"/>
                <w:spacing w:val="7"/>
                <w:sz w:val="21"/>
                <w:szCs w:val="21"/>
                <w:highlight w:val="none"/>
              </w:rPr>
              <w:t>包</w:t>
            </w:r>
            <w:r>
              <w:rPr>
                <w:rFonts w:hint="eastAsia" w:ascii="宋体" w:hAnsi="宋体" w:eastAsia="宋体" w:cs="宋体"/>
                <w:color w:val="auto"/>
                <w:spacing w:val="5"/>
                <w:sz w:val="21"/>
                <w:szCs w:val="21"/>
                <w:highlight w:val="none"/>
              </w:rPr>
              <w:t>导致拖欠农民工工资的，由承包人先行清偿，再依法进行追偿。</w:t>
            </w:r>
          </w:p>
          <w:p w14:paraId="2C8BD028">
            <w:pPr>
              <w:keepLines w:val="0"/>
              <w:pageBreakBefore w:val="0"/>
              <w:widowControl w:val="0"/>
              <w:kinsoku/>
              <w:overflowPunct/>
              <w:topLinePunct w:val="0"/>
              <w:autoSpaceDE/>
              <w:autoSpaceDN/>
              <w:bidi w:val="0"/>
              <w:snapToGrid w:val="0"/>
              <w:spacing w:before="11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w:t>
            </w:r>
            <w:r>
              <w:rPr>
                <w:rFonts w:hint="eastAsia" w:ascii="宋体" w:hAnsi="宋体" w:eastAsia="宋体" w:cs="宋体"/>
                <w:color w:val="auto"/>
                <w:spacing w:val="6"/>
                <w:sz w:val="21"/>
                <w:szCs w:val="21"/>
                <w:highlight w:val="none"/>
              </w:rPr>
              <w:t>、承包人应当</w:t>
            </w:r>
            <w:r>
              <w:rPr>
                <w:rFonts w:hint="eastAsia" w:ascii="宋体" w:hAnsi="宋体" w:eastAsia="宋体" w:cs="宋体"/>
                <w:color w:val="auto"/>
                <w:spacing w:val="5"/>
                <w:sz w:val="21"/>
                <w:szCs w:val="21"/>
                <w:highlight w:val="none"/>
              </w:rPr>
              <w:t>按</w:t>
            </w:r>
            <w:r>
              <w:rPr>
                <w:rFonts w:hint="eastAsia" w:ascii="宋体" w:hAnsi="宋体" w:eastAsia="宋体" w:cs="宋体"/>
                <w:color w:val="auto"/>
                <w:spacing w:val="3"/>
                <w:sz w:val="21"/>
                <w:szCs w:val="21"/>
                <w:highlight w:val="none"/>
              </w:rPr>
              <w:t>照项目所在省、市的人力资源社会保障行政部门、交通运输主管</w:t>
            </w:r>
            <w:r>
              <w:rPr>
                <w:rFonts w:hint="eastAsia" w:ascii="宋体" w:hAnsi="宋体" w:eastAsia="宋体" w:cs="宋体"/>
                <w:color w:val="auto"/>
                <w:spacing w:val="8"/>
                <w:sz w:val="21"/>
                <w:szCs w:val="21"/>
                <w:highlight w:val="none"/>
              </w:rPr>
              <w:t>部</w:t>
            </w:r>
            <w:r>
              <w:rPr>
                <w:rFonts w:hint="eastAsia" w:ascii="宋体" w:hAnsi="宋体" w:eastAsia="宋体" w:cs="宋体"/>
                <w:color w:val="auto"/>
                <w:spacing w:val="5"/>
                <w:sz w:val="21"/>
                <w:szCs w:val="21"/>
                <w:highlight w:val="none"/>
              </w:rPr>
              <w:t>门等的有关规定存储工资保证金。</w:t>
            </w:r>
          </w:p>
          <w:p w14:paraId="7431BDC1">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
                <w:sz w:val="21"/>
                <w:szCs w:val="21"/>
                <w:highlight w:val="none"/>
              </w:rPr>
              <w:t>承包人应当在施工现场醒目位置设立维权信息告示牌，明示下列事项：①发包</w:t>
            </w:r>
            <w:r>
              <w:rPr>
                <w:rFonts w:hint="eastAsia" w:ascii="宋体" w:hAnsi="宋体" w:eastAsia="宋体" w:cs="宋体"/>
                <w:color w:val="auto"/>
                <w:spacing w:val="12"/>
                <w:sz w:val="21"/>
                <w:szCs w:val="21"/>
                <w:highlight w:val="none"/>
              </w:rPr>
              <w:t>人</w:t>
            </w:r>
            <w:r>
              <w:rPr>
                <w:rFonts w:hint="eastAsia" w:ascii="宋体" w:hAnsi="宋体" w:eastAsia="宋体" w:cs="宋体"/>
                <w:color w:val="auto"/>
                <w:spacing w:val="6"/>
                <w:sz w:val="21"/>
                <w:szCs w:val="21"/>
                <w:highlight w:val="none"/>
              </w:rPr>
              <w:t>、承包人及所在项目部、分包单位、相关行业工程建设主管部门、劳资专管员等</w:t>
            </w:r>
          </w:p>
          <w:p w14:paraId="35E63D56">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基</w:t>
            </w:r>
            <w:r>
              <w:rPr>
                <w:rFonts w:hint="eastAsia" w:ascii="宋体" w:hAnsi="宋体" w:eastAsia="宋体" w:cs="宋体"/>
                <w:color w:val="auto"/>
                <w:spacing w:val="8"/>
                <w:sz w:val="21"/>
                <w:szCs w:val="21"/>
                <w:highlight w:val="none"/>
              </w:rPr>
              <w:t>本</w:t>
            </w:r>
            <w:r>
              <w:rPr>
                <w:rFonts w:hint="eastAsia" w:ascii="宋体" w:hAnsi="宋体" w:eastAsia="宋体" w:cs="宋体"/>
                <w:color w:val="auto"/>
                <w:spacing w:val="6"/>
                <w:sz w:val="21"/>
                <w:szCs w:val="21"/>
                <w:highlight w:val="none"/>
              </w:rPr>
              <w:t>信息；②当地最低工资标准、工资支付日期等基本信息；③交通运输主管部门</w:t>
            </w:r>
            <w:r>
              <w:rPr>
                <w:rFonts w:hint="eastAsia" w:ascii="宋体" w:hAnsi="宋体" w:eastAsia="宋体" w:cs="宋体"/>
                <w:color w:val="auto"/>
                <w:spacing w:val="10"/>
                <w:sz w:val="21"/>
                <w:szCs w:val="21"/>
                <w:highlight w:val="none"/>
              </w:rPr>
              <w:t>和</w:t>
            </w:r>
            <w:r>
              <w:rPr>
                <w:rFonts w:hint="eastAsia" w:ascii="宋体" w:hAnsi="宋体" w:eastAsia="宋体" w:cs="宋体"/>
                <w:color w:val="auto"/>
                <w:spacing w:val="8"/>
                <w:sz w:val="21"/>
                <w:szCs w:val="21"/>
                <w:highlight w:val="none"/>
              </w:rPr>
              <w:t>劳</w:t>
            </w:r>
            <w:r>
              <w:rPr>
                <w:rFonts w:hint="eastAsia" w:ascii="宋体" w:hAnsi="宋体" w:eastAsia="宋体" w:cs="宋体"/>
                <w:color w:val="auto"/>
                <w:spacing w:val="5"/>
                <w:sz w:val="21"/>
                <w:szCs w:val="21"/>
                <w:highlight w:val="none"/>
              </w:rPr>
              <w:t>动保障监察投诉举报电话、劳动争议调解仲裁申请渠道、法律援助申请渠道、</w:t>
            </w:r>
            <w:r>
              <w:rPr>
                <w:rFonts w:hint="eastAsia" w:ascii="宋体" w:hAnsi="宋体" w:eastAsia="宋体" w:cs="宋体"/>
                <w:color w:val="auto"/>
                <w:spacing w:val="8"/>
                <w:sz w:val="21"/>
                <w:szCs w:val="21"/>
                <w:highlight w:val="none"/>
              </w:rPr>
              <w:t>公</w:t>
            </w:r>
            <w:r>
              <w:rPr>
                <w:rFonts w:hint="eastAsia" w:ascii="宋体" w:hAnsi="宋体" w:eastAsia="宋体" w:cs="宋体"/>
                <w:color w:val="auto"/>
                <w:spacing w:val="5"/>
                <w:sz w:val="21"/>
                <w:szCs w:val="21"/>
                <w:highlight w:val="none"/>
              </w:rPr>
              <w:t>共</w:t>
            </w:r>
            <w:r>
              <w:rPr>
                <w:rFonts w:hint="eastAsia" w:ascii="宋体" w:hAnsi="宋体" w:eastAsia="宋体" w:cs="宋体"/>
                <w:color w:val="auto"/>
                <w:spacing w:val="4"/>
                <w:sz w:val="21"/>
                <w:szCs w:val="21"/>
                <w:highlight w:val="none"/>
              </w:rPr>
              <w:t>法律服务热线等信息。</w:t>
            </w:r>
          </w:p>
          <w:p w14:paraId="5642B3D9">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10"/>
                <w:sz w:val="21"/>
                <w:szCs w:val="21"/>
                <w:highlight w:val="none"/>
              </w:rPr>
              <w:t>包</w:t>
            </w:r>
            <w:r>
              <w:rPr>
                <w:rFonts w:hint="eastAsia" w:ascii="宋体" w:hAnsi="宋体" w:eastAsia="宋体" w:cs="宋体"/>
                <w:color w:val="auto"/>
                <w:spacing w:val="6"/>
                <w:sz w:val="21"/>
                <w:szCs w:val="21"/>
                <w:highlight w:val="none"/>
              </w:rPr>
              <w:t>人在履行合同过程中出现拖欠或克扣农民工工资或与本工程有关的债务而导</w:t>
            </w:r>
            <w:r>
              <w:rPr>
                <w:rFonts w:hint="eastAsia" w:ascii="宋体" w:hAnsi="宋体" w:eastAsia="宋体" w:cs="宋体"/>
                <w:color w:val="auto"/>
                <w:spacing w:val="12"/>
                <w:sz w:val="21"/>
                <w:szCs w:val="21"/>
                <w:highlight w:val="none"/>
              </w:rPr>
              <w:t>致</w:t>
            </w:r>
            <w:r>
              <w:rPr>
                <w:rFonts w:hint="eastAsia" w:ascii="宋体" w:hAnsi="宋体" w:eastAsia="宋体" w:cs="宋体"/>
                <w:color w:val="auto"/>
                <w:spacing w:val="8"/>
                <w:sz w:val="21"/>
                <w:szCs w:val="21"/>
                <w:highlight w:val="none"/>
              </w:rPr>
              <w:t>阻</w:t>
            </w:r>
            <w:r>
              <w:rPr>
                <w:rFonts w:hint="eastAsia" w:ascii="宋体" w:hAnsi="宋体" w:eastAsia="宋体" w:cs="宋体"/>
                <w:color w:val="auto"/>
                <w:spacing w:val="6"/>
                <w:sz w:val="21"/>
                <w:szCs w:val="21"/>
                <w:highlight w:val="none"/>
              </w:rPr>
              <w:t>工、上访，经发包人、监理人及政府相关部门确认后，项目管理法人将停止对</w:t>
            </w:r>
            <w:r>
              <w:rPr>
                <w:rFonts w:hint="eastAsia" w:ascii="宋体" w:hAnsi="宋体" w:eastAsia="宋体" w:cs="宋体"/>
                <w:color w:val="auto"/>
                <w:spacing w:val="9"/>
                <w:sz w:val="21"/>
                <w:szCs w:val="21"/>
                <w:highlight w:val="none"/>
              </w:rPr>
              <w:t>承</w:t>
            </w:r>
            <w:r>
              <w:rPr>
                <w:rFonts w:hint="eastAsia" w:ascii="宋体" w:hAnsi="宋体" w:eastAsia="宋体" w:cs="宋体"/>
                <w:color w:val="auto"/>
                <w:spacing w:val="5"/>
                <w:sz w:val="21"/>
                <w:szCs w:val="21"/>
                <w:highlight w:val="none"/>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19D6080">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9"/>
                <w:sz w:val="21"/>
                <w:szCs w:val="21"/>
                <w:highlight w:val="none"/>
              </w:rPr>
              <w:t>1</w:t>
            </w:r>
          </w:p>
        </w:tc>
        <w:tc>
          <w:tcPr>
            <w:tcW w:w="1384" w:type="dxa"/>
            <w:vAlign w:val="center"/>
          </w:tcPr>
          <w:p w14:paraId="1F6436BE">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4.2</w:t>
            </w:r>
          </w:p>
        </w:tc>
        <w:tc>
          <w:tcPr>
            <w:tcW w:w="7054" w:type="dxa"/>
            <w:tcBorders>
              <w:right w:val="single" w:color="000000" w:sz="6" w:space="0"/>
            </w:tcBorders>
            <w:vAlign w:val="center"/>
          </w:tcPr>
          <w:p w14:paraId="02B84BD0">
            <w:pPr>
              <w:keepLines w:val="0"/>
              <w:pageBreakBefore w:val="0"/>
              <w:widowControl w:val="0"/>
              <w:kinsoku/>
              <w:overflowPunct/>
              <w:topLinePunct w:val="0"/>
              <w:autoSpaceDE/>
              <w:autoSpaceDN/>
              <w:bidi w:val="0"/>
              <w:snapToGrid w:val="0"/>
              <w:spacing w:before="10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履约保证金</w:t>
            </w:r>
            <w:r>
              <w:rPr>
                <w:rFonts w:hint="eastAsia" w:ascii="宋体" w:hAnsi="宋体" w:eastAsia="宋体" w:cs="宋体"/>
                <w:color w:val="auto"/>
                <w:spacing w:val="4"/>
                <w:sz w:val="21"/>
                <w:szCs w:val="21"/>
                <w:highlight w:val="none"/>
              </w:rPr>
              <w:t>额</w:t>
            </w:r>
            <w:r>
              <w:rPr>
                <w:rFonts w:hint="eastAsia" w:ascii="宋体" w:hAnsi="宋体" w:eastAsia="宋体" w:cs="宋体"/>
                <w:color w:val="auto"/>
                <w:spacing w:val="3"/>
                <w:sz w:val="21"/>
                <w:szCs w:val="21"/>
                <w:highlight w:val="none"/>
              </w:rPr>
              <w:t>度为</w:t>
            </w:r>
            <w:r>
              <w:rPr>
                <w:rFonts w:hint="eastAsia" w:ascii="宋体" w:hAnsi="宋体" w:eastAsia="宋体" w:cs="宋体"/>
                <w:color w:val="auto"/>
                <w:spacing w:val="3"/>
                <w:sz w:val="21"/>
                <w:szCs w:val="21"/>
                <w:highlight w:val="none"/>
                <w:u w:val="single" w:color="auto"/>
              </w:rPr>
              <w:t>签约合同价的5%</w:t>
            </w:r>
            <w:r>
              <w:rPr>
                <w:rFonts w:hint="eastAsia" w:ascii="宋体" w:hAnsi="宋体" w:eastAsia="宋体" w:cs="宋体"/>
                <w:color w:val="auto"/>
                <w:spacing w:val="3"/>
                <w:sz w:val="21"/>
                <w:szCs w:val="21"/>
                <w:highlight w:val="none"/>
              </w:rPr>
              <w:t>。</w:t>
            </w:r>
            <w:r>
              <w:rPr>
                <w:rFonts w:hint="eastAsia" w:ascii="宋体" w:hAnsi="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本项目不收取履约保证金</w:t>
            </w:r>
            <w:r>
              <w:rPr>
                <w:rFonts w:hint="eastAsia" w:ascii="宋体" w:hAnsi="宋体" w:cs="宋体"/>
                <w:b/>
                <w:bCs/>
                <w:color w:val="auto"/>
                <w:spacing w:val="3"/>
                <w:sz w:val="21"/>
                <w:szCs w:val="21"/>
                <w:highlight w:val="none"/>
                <w:lang w:eastAsia="zh-CN"/>
              </w:rPr>
              <w:t>）</w:t>
            </w:r>
          </w:p>
          <w:p w14:paraId="10AD4EF1">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10"/>
                <w:sz w:val="21"/>
                <w:szCs w:val="21"/>
                <w:highlight w:val="none"/>
              </w:rPr>
              <w:t>包</w:t>
            </w:r>
            <w:r>
              <w:rPr>
                <w:rFonts w:hint="eastAsia" w:ascii="宋体" w:hAnsi="宋体" w:eastAsia="宋体" w:cs="宋体"/>
                <w:color w:val="auto"/>
                <w:spacing w:val="6"/>
                <w:sz w:val="21"/>
                <w:szCs w:val="21"/>
                <w:highlight w:val="none"/>
              </w:rPr>
              <w:t>人应保证其履约保证金在发包人签发工程交工验收证书且承包人按照合同约</w:t>
            </w:r>
            <w:r>
              <w:rPr>
                <w:rFonts w:hint="eastAsia" w:ascii="宋体" w:hAnsi="宋体" w:eastAsia="宋体" w:cs="宋体"/>
                <w:color w:val="auto"/>
                <w:spacing w:val="2"/>
                <w:sz w:val="21"/>
                <w:szCs w:val="21"/>
                <w:highlight w:val="none"/>
              </w:rPr>
              <w:t>定缴纳质量保证金前一直有效。发包人应在收到承包人缴纳的质量保证金后28天</w:t>
            </w:r>
            <w:r>
              <w:rPr>
                <w:rFonts w:hint="eastAsia" w:ascii="宋体" w:hAnsi="宋体" w:eastAsia="宋体" w:cs="宋体"/>
                <w:color w:val="auto"/>
                <w:sz w:val="21"/>
                <w:szCs w:val="21"/>
                <w:highlight w:val="none"/>
              </w:rPr>
              <w:t>内</w:t>
            </w:r>
            <w:r>
              <w:rPr>
                <w:rFonts w:hint="eastAsia" w:ascii="宋体" w:hAnsi="宋体" w:eastAsia="宋体" w:cs="宋体"/>
                <w:color w:val="auto"/>
                <w:spacing w:val="8"/>
                <w:sz w:val="21"/>
                <w:szCs w:val="21"/>
                <w:highlight w:val="none"/>
              </w:rPr>
              <w:t>将</w:t>
            </w:r>
            <w:r>
              <w:rPr>
                <w:rFonts w:hint="eastAsia" w:ascii="宋体" w:hAnsi="宋体" w:eastAsia="宋体" w:cs="宋体"/>
                <w:color w:val="auto"/>
                <w:spacing w:val="5"/>
                <w:sz w:val="21"/>
                <w:szCs w:val="21"/>
                <w:highlight w:val="none"/>
              </w:rPr>
              <w:t>履约保证金退还给承包人。</w:t>
            </w:r>
          </w:p>
          <w:p w14:paraId="14745049">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10"/>
                <w:sz w:val="21"/>
                <w:szCs w:val="21"/>
                <w:highlight w:val="none"/>
              </w:rPr>
              <w:t>包</w:t>
            </w:r>
            <w:r>
              <w:rPr>
                <w:rFonts w:hint="eastAsia" w:ascii="宋体" w:hAnsi="宋体" w:eastAsia="宋体" w:cs="宋体"/>
                <w:color w:val="auto"/>
                <w:spacing w:val="6"/>
                <w:sz w:val="21"/>
                <w:szCs w:val="21"/>
                <w:highlight w:val="none"/>
              </w:rPr>
              <w:t>人拒绝按照本合同约定缴纳质量保证金的，发包人有权从应付工程款中扣留</w:t>
            </w:r>
            <w:r>
              <w:rPr>
                <w:rFonts w:hint="eastAsia" w:ascii="宋体" w:hAnsi="宋体" w:eastAsia="宋体" w:cs="宋体"/>
                <w:color w:val="auto"/>
                <w:spacing w:val="12"/>
                <w:sz w:val="21"/>
                <w:szCs w:val="21"/>
                <w:highlight w:val="none"/>
              </w:rPr>
              <w:t>相</w:t>
            </w:r>
            <w:r>
              <w:rPr>
                <w:rFonts w:hint="eastAsia" w:ascii="宋体" w:hAnsi="宋体" w:eastAsia="宋体" w:cs="宋体"/>
                <w:color w:val="auto"/>
                <w:spacing w:val="8"/>
                <w:sz w:val="21"/>
                <w:szCs w:val="21"/>
                <w:highlight w:val="none"/>
              </w:rPr>
              <w:t>应</w:t>
            </w:r>
            <w:r>
              <w:rPr>
                <w:rFonts w:hint="eastAsia" w:ascii="宋体" w:hAnsi="宋体" w:eastAsia="宋体" w:cs="宋体"/>
                <w:color w:val="auto"/>
                <w:spacing w:val="6"/>
                <w:sz w:val="21"/>
                <w:szCs w:val="21"/>
                <w:highlight w:val="none"/>
              </w:rPr>
              <w:t>金额作为质量保证金，或者直接将履约保证金金额用于保证承包人在缺陷责任</w:t>
            </w:r>
          </w:p>
          <w:p w14:paraId="5AF38A2F">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8"/>
                <w:sz w:val="21"/>
                <w:szCs w:val="21"/>
                <w:highlight w:val="none"/>
              </w:rPr>
              <w:t>期</w:t>
            </w:r>
            <w:r>
              <w:rPr>
                <w:rFonts w:hint="eastAsia" w:ascii="宋体" w:hAnsi="宋体" w:eastAsia="宋体" w:cs="宋体"/>
                <w:color w:val="auto"/>
                <w:spacing w:val="7"/>
                <w:sz w:val="21"/>
                <w:szCs w:val="21"/>
                <w:highlight w:val="none"/>
              </w:rPr>
              <w:t>内</w:t>
            </w:r>
            <w:r>
              <w:rPr>
                <w:rFonts w:hint="eastAsia" w:ascii="宋体" w:hAnsi="宋体" w:eastAsia="宋体" w:cs="宋体"/>
                <w:color w:val="auto"/>
                <w:spacing w:val="4"/>
                <w:sz w:val="21"/>
                <w:szCs w:val="21"/>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42079B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2</w:t>
            </w:r>
          </w:p>
        </w:tc>
        <w:tc>
          <w:tcPr>
            <w:tcW w:w="1384" w:type="dxa"/>
            <w:vAlign w:val="center"/>
          </w:tcPr>
          <w:p w14:paraId="2AB78202">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4.3.4</w:t>
            </w:r>
          </w:p>
        </w:tc>
        <w:tc>
          <w:tcPr>
            <w:tcW w:w="7054" w:type="dxa"/>
            <w:tcBorders>
              <w:right w:val="single" w:color="000000" w:sz="6" w:space="0"/>
            </w:tcBorders>
            <w:vAlign w:val="center"/>
          </w:tcPr>
          <w:p w14:paraId="099E8EDA">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4.3.4劳务分</w:t>
            </w:r>
            <w:r>
              <w:rPr>
                <w:rFonts w:hint="eastAsia" w:ascii="宋体" w:hAnsi="宋体" w:eastAsia="宋体" w:cs="宋体"/>
                <w:color w:val="auto"/>
                <w:spacing w:val="1"/>
                <w:sz w:val="21"/>
                <w:szCs w:val="21"/>
                <w:highlight w:val="none"/>
              </w:rPr>
              <w:t>包</w:t>
            </w:r>
          </w:p>
          <w:p w14:paraId="712DBF63">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本项补充：</w:t>
            </w:r>
          </w:p>
          <w:p w14:paraId="440C31DE">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劳务分包合同应当包括以下内容：劳务合同期限、工作内容和工作时间、劳动保护和劳动条件、劳务报酬(在劳动合同中要明确工资以货币形式按月支付，并约定支付的时间、标准和支付方式)、劳动纪律(在劳动合同中明确要求农民工遵守的用人单位依法制定的有关规章制度，用人单位应当在签订劳动合同前告知农民工)、违反劳务合同的责任(劳务合同中应当约定违约责任，一方违反劳务合同给对方造成经济损失的，要按《劳动法》等有关法律规定承担赔偿责任)。</w:t>
            </w:r>
          </w:p>
          <w:p w14:paraId="16EA4D20">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6"/>
                <w:sz w:val="21"/>
                <w:szCs w:val="21"/>
                <w:highlight w:val="none"/>
              </w:rPr>
              <w:t>(6)发包人批准的劳务分包并不免除本合同规定的承包人的任何责任或义</w:t>
            </w:r>
            <w:r>
              <w:rPr>
                <w:rFonts w:hint="eastAsia" w:ascii="宋体" w:hAnsi="宋体" w:eastAsia="宋体" w:cs="宋体"/>
                <w:color w:val="auto"/>
                <w:spacing w:val="6"/>
                <w:sz w:val="21"/>
                <w:szCs w:val="21"/>
                <w:highlight w:val="none"/>
                <w:lang w:val="en-US" w:eastAsia="zh-CN"/>
              </w:rPr>
              <w:t>务，发</w:t>
            </w:r>
            <w:r>
              <w:rPr>
                <w:rFonts w:hint="eastAsia" w:ascii="宋体" w:hAnsi="宋体" w:eastAsia="宋体" w:cs="宋体"/>
                <w:color w:val="auto"/>
                <w:spacing w:val="6"/>
                <w:sz w:val="21"/>
                <w:szCs w:val="21"/>
                <w:highlight w:val="none"/>
              </w:rPr>
              <w:t>包人对承包人与劳务分包人之间的法律与经济纠纷不承担任何责任和义务。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D296BC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3</w:t>
            </w:r>
          </w:p>
        </w:tc>
        <w:tc>
          <w:tcPr>
            <w:tcW w:w="1384" w:type="dxa"/>
            <w:vAlign w:val="center"/>
          </w:tcPr>
          <w:p w14:paraId="31A8741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rPr>
              <w:t>4</w:t>
            </w:r>
            <w:r>
              <w:rPr>
                <w:rFonts w:hint="eastAsia" w:ascii="宋体" w:hAnsi="宋体" w:eastAsia="宋体" w:cs="宋体"/>
                <w:color w:val="auto"/>
                <w:spacing w:val="3"/>
                <w:sz w:val="21"/>
                <w:szCs w:val="21"/>
                <w:highlight w:val="none"/>
              </w:rPr>
              <w:t>.3</w:t>
            </w:r>
          </w:p>
        </w:tc>
        <w:tc>
          <w:tcPr>
            <w:tcW w:w="7054" w:type="dxa"/>
            <w:tcBorders>
              <w:right w:val="single" w:color="000000" w:sz="6" w:space="0"/>
            </w:tcBorders>
            <w:vAlign w:val="center"/>
          </w:tcPr>
          <w:p w14:paraId="0A8A4781">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w:t>
            </w:r>
            <w:r>
              <w:rPr>
                <w:rFonts w:hint="eastAsia" w:ascii="宋体" w:hAnsi="宋体" w:eastAsia="宋体" w:cs="宋体"/>
                <w:color w:val="auto"/>
                <w:spacing w:val="3"/>
                <w:sz w:val="21"/>
                <w:szCs w:val="21"/>
                <w:highlight w:val="none"/>
              </w:rPr>
              <w:t>款补充：</w:t>
            </w:r>
          </w:p>
          <w:p w14:paraId="20CCCB93">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3"/>
                <w:sz w:val="21"/>
                <w:szCs w:val="21"/>
                <w:highlight w:val="none"/>
              </w:rPr>
              <w:t>.3.8本项目的分包合同及劳动合同应按照发包人的要求，按照住房和城乡建设部</w:t>
            </w:r>
            <w:r>
              <w:rPr>
                <w:rFonts w:hint="eastAsia" w:ascii="宋体" w:hAnsi="宋体" w:eastAsia="宋体" w:cs="宋体"/>
                <w:color w:val="auto"/>
                <w:spacing w:val="12"/>
                <w:sz w:val="21"/>
                <w:szCs w:val="21"/>
                <w:highlight w:val="none"/>
              </w:rPr>
              <w:t>和</w:t>
            </w:r>
            <w:r>
              <w:rPr>
                <w:rFonts w:hint="eastAsia" w:ascii="宋体" w:hAnsi="宋体" w:eastAsia="宋体" w:cs="宋体"/>
                <w:color w:val="auto"/>
                <w:spacing w:val="7"/>
                <w:sz w:val="21"/>
                <w:szCs w:val="21"/>
                <w:highlight w:val="none"/>
              </w:rPr>
              <w:t>劳</w:t>
            </w:r>
            <w:r>
              <w:rPr>
                <w:rFonts w:hint="eastAsia" w:ascii="宋体" w:hAnsi="宋体" w:eastAsia="宋体" w:cs="宋体"/>
                <w:color w:val="auto"/>
                <w:spacing w:val="6"/>
                <w:sz w:val="21"/>
                <w:szCs w:val="21"/>
                <w:highlight w:val="none"/>
              </w:rPr>
              <w:t>动社会保障部的示范合同文本，或交通运输主管部门颁发的示范合同文本编制</w:t>
            </w:r>
            <w:r>
              <w:rPr>
                <w:rFonts w:hint="eastAsia" w:ascii="宋体" w:hAnsi="宋体" w:eastAsia="宋体" w:cs="宋体"/>
                <w:color w:val="auto"/>
                <w:spacing w:val="3"/>
                <w:sz w:val="21"/>
                <w:szCs w:val="21"/>
                <w:highlight w:val="none"/>
              </w:rPr>
              <w:t>并签订。</w:t>
            </w:r>
          </w:p>
          <w:p w14:paraId="2577715B">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position w:val="14"/>
                <w:sz w:val="21"/>
                <w:szCs w:val="21"/>
                <w:highlight w:val="none"/>
              </w:rPr>
              <w:t>4.3.9承包人的分包应符合本项目招标文件第二章“投标人须知”第1.11款的</w:t>
            </w:r>
            <w:r>
              <w:rPr>
                <w:rFonts w:hint="eastAsia" w:ascii="宋体" w:hAnsi="宋体" w:eastAsia="宋体" w:cs="宋体"/>
                <w:color w:val="auto"/>
                <w:spacing w:val="1"/>
                <w:position w:val="14"/>
                <w:sz w:val="21"/>
                <w:szCs w:val="21"/>
                <w:highlight w:val="none"/>
              </w:rPr>
              <w:t>规</w:t>
            </w:r>
            <w:r>
              <w:rPr>
                <w:rFonts w:hint="eastAsia" w:ascii="宋体" w:hAnsi="宋体" w:cs="宋体"/>
                <w:color w:val="auto"/>
                <w:spacing w:val="1"/>
                <w:position w:val="14"/>
                <w:sz w:val="21"/>
                <w:szCs w:val="21"/>
                <w:highlight w:val="none"/>
                <w:lang w:val="en-US" w:eastAsia="zh-CN"/>
              </w:rPr>
              <w:t>定。</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64B6866">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4</w:t>
            </w:r>
          </w:p>
        </w:tc>
        <w:tc>
          <w:tcPr>
            <w:tcW w:w="1384" w:type="dxa"/>
            <w:vAlign w:val="center"/>
          </w:tcPr>
          <w:p w14:paraId="1D4CF663">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w:t>
            </w:r>
            <w:r>
              <w:rPr>
                <w:rFonts w:hint="eastAsia" w:ascii="宋体" w:hAnsi="宋体" w:eastAsia="宋体" w:cs="宋体"/>
                <w:color w:val="auto"/>
                <w:spacing w:val="4"/>
                <w:sz w:val="21"/>
                <w:szCs w:val="21"/>
                <w:highlight w:val="none"/>
              </w:rPr>
              <w:t>.9</w:t>
            </w:r>
          </w:p>
        </w:tc>
        <w:tc>
          <w:tcPr>
            <w:tcW w:w="7054" w:type="dxa"/>
            <w:tcBorders>
              <w:right w:val="single" w:color="000000" w:sz="6" w:space="0"/>
            </w:tcBorders>
            <w:vAlign w:val="center"/>
          </w:tcPr>
          <w:p w14:paraId="6A1DE2C6">
            <w:pPr>
              <w:keepLines w:val="0"/>
              <w:pageBreakBefore w:val="0"/>
              <w:widowControl w:val="0"/>
              <w:kinsoku/>
              <w:overflowPunct/>
              <w:topLinePunct w:val="0"/>
              <w:autoSpaceDE/>
              <w:autoSpaceDN/>
              <w:bidi w:val="0"/>
              <w:snapToGrid w:val="0"/>
              <w:spacing w:before="142" w:line="240" w:lineRule="auto"/>
              <w:ind w:left="105" w:leftChars="50" w:right="283" w:rightChars="0" w:firstLine="0" w:firstLineChars="0"/>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12"/>
                <w:sz w:val="21"/>
                <w:szCs w:val="21"/>
                <w:highlight w:val="none"/>
              </w:rPr>
              <w:t>工</w:t>
            </w:r>
            <w:r>
              <w:rPr>
                <w:rFonts w:hint="eastAsia" w:ascii="宋体" w:hAnsi="宋体" w:eastAsia="宋体" w:cs="宋体"/>
                <w:color w:val="auto"/>
                <w:spacing w:val="8"/>
                <w:sz w:val="21"/>
                <w:szCs w:val="21"/>
                <w:highlight w:val="none"/>
              </w:rPr>
              <w:t>程</w:t>
            </w:r>
            <w:r>
              <w:rPr>
                <w:rFonts w:hint="eastAsia" w:ascii="宋体" w:hAnsi="宋体" w:eastAsia="宋体" w:cs="宋体"/>
                <w:color w:val="auto"/>
                <w:spacing w:val="6"/>
                <w:sz w:val="21"/>
                <w:szCs w:val="21"/>
                <w:highlight w:val="none"/>
              </w:rPr>
              <w:t>价款应专款专用：经发包人提出申请后，发包人按合同约定支付给承包人的</w:t>
            </w:r>
            <w:r>
              <w:rPr>
                <w:rFonts w:hint="eastAsia" w:ascii="宋体" w:hAnsi="宋体" w:eastAsia="宋体" w:cs="宋体"/>
                <w:color w:val="auto"/>
                <w:spacing w:val="4"/>
                <w:sz w:val="21"/>
                <w:szCs w:val="21"/>
                <w:highlight w:val="none"/>
              </w:rPr>
              <w:t>各</w:t>
            </w:r>
            <w:r>
              <w:rPr>
                <w:rFonts w:hint="eastAsia" w:ascii="宋体" w:hAnsi="宋体" w:eastAsia="宋体" w:cs="宋体"/>
                <w:color w:val="auto"/>
                <w:spacing w:val="2"/>
                <w:sz w:val="21"/>
                <w:szCs w:val="21"/>
                <w:highlight w:val="none"/>
              </w:rPr>
              <w:t>项价款应专用于合同工程。发包人支付的工程进度款应为本工程的专款专用资金，</w:t>
            </w:r>
            <w:r>
              <w:rPr>
                <w:rFonts w:hint="eastAsia" w:ascii="宋体" w:hAnsi="宋体" w:eastAsia="宋体" w:cs="宋体"/>
                <w:color w:val="auto"/>
                <w:spacing w:val="12"/>
                <w:sz w:val="21"/>
                <w:szCs w:val="21"/>
                <w:highlight w:val="none"/>
              </w:rPr>
              <w:t>不</w:t>
            </w:r>
            <w:r>
              <w:rPr>
                <w:rFonts w:hint="eastAsia" w:ascii="宋体" w:hAnsi="宋体" w:eastAsia="宋体" w:cs="宋体"/>
                <w:color w:val="auto"/>
                <w:spacing w:val="7"/>
                <w:sz w:val="21"/>
                <w:szCs w:val="21"/>
                <w:highlight w:val="none"/>
              </w:rPr>
              <w:t>得</w:t>
            </w:r>
            <w:r>
              <w:rPr>
                <w:rFonts w:hint="eastAsia" w:ascii="宋体" w:hAnsi="宋体" w:eastAsia="宋体" w:cs="宋体"/>
                <w:color w:val="auto"/>
                <w:spacing w:val="6"/>
                <w:sz w:val="21"/>
                <w:szCs w:val="21"/>
                <w:highlight w:val="none"/>
              </w:rPr>
              <w:t>转移或用于其他工程。发包人及其派出机构有权不定期对承包人工程资金使用</w:t>
            </w:r>
            <w:r>
              <w:rPr>
                <w:rFonts w:hint="eastAsia" w:ascii="宋体" w:hAnsi="宋体" w:eastAsia="宋体" w:cs="宋体"/>
                <w:color w:val="auto"/>
                <w:spacing w:val="12"/>
                <w:sz w:val="21"/>
                <w:szCs w:val="21"/>
                <w:highlight w:val="none"/>
              </w:rPr>
              <w:t>情</w:t>
            </w:r>
            <w:r>
              <w:rPr>
                <w:rFonts w:hint="eastAsia" w:ascii="宋体" w:hAnsi="宋体" w:eastAsia="宋体" w:cs="宋体"/>
                <w:color w:val="auto"/>
                <w:spacing w:val="7"/>
                <w:sz w:val="21"/>
                <w:szCs w:val="21"/>
                <w:highlight w:val="none"/>
              </w:rPr>
              <w:t>况</w:t>
            </w:r>
            <w:r>
              <w:rPr>
                <w:rFonts w:hint="eastAsia" w:ascii="宋体" w:hAnsi="宋体" w:eastAsia="宋体" w:cs="宋体"/>
                <w:color w:val="auto"/>
                <w:spacing w:val="6"/>
                <w:sz w:val="21"/>
                <w:szCs w:val="21"/>
                <w:highlight w:val="none"/>
              </w:rPr>
              <w:t>进行检查，发现问题及时责令承包人限期改正，否则，将终止支付，直至承包</w:t>
            </w:r>
            <w:r>
              <w:rPr>
                <w:rFonts w:hint="eastAsia" w:ascii="宋体" w:hAnsi="宋体" w:cs="宋体"/>
                <w:color w:val="auto"/>
                <w:spacing w:val="6"/>
                <w:sz w:val="21"/>
                <w:szCs w:val="21"/>
                <w:highlight w:val="none"/>
                <w:lang w:val="en-US" w:eastAsia="zh-CN"/>
              </w:rPr>
              <w:t>人改正为止。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F7AC450">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5</w:t>
            </w:r>
          </w:p>
        </w:tc>
        <w:tc>
          <w:tcPr>
            <w:tcW w:w="1384" w:type="dxa"/>
            <w:vAlign w:val="center"/>
          </w:tcPr>
          <w:p w14:paraId="69BD1B5E">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7"/>
                <w:sz w:val="21"/>
                <w:szCs w:val="21"/>
                <w:highlight w:val="none"/>
              </w:rPr>
              <w:t>.13</w:t>
            </w:r>
          </w:p>
        </w:tc>
        <w:tc>
          <w:tcPr>
            <w:tcW w:w="7054" w:type="dxa"/>
            <w:tcBorders>
              <w:right w:val="single" w:color="000000" w:sz="6" w:space="0"/>
            </w:tcBorders>
            <w:vAlign w:val="center"/>
          </w:tcPr>
          <w:p w14:paraId="1D31B5B8">
            <w:pPr>
              <w:keepLines w:val="0"/>
              <w:pageBreakBefore w:val="0"/>
              <w:widowControl w:val="0"/>
              <w:kinsoku/>
              <w:overflowPunct/>
              <w:topLinePunct w:val="0"/>
              <w:autoSpaceDE/>
              <w:autoSpaceDN/>
              <w:bidi w:val="0"/>
              <w:snapToGrid w:val="0"/>
              <w:spacing w:before="15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承</w:t>
            </w:r>
            <w:r>
              <w:rPr>
                <w:rFonts w:hint="eastAsia" w:ascii="宋体" w:hAnsi="宋体" w:eastAsia="宋体" w:cs="宋体"/>
                <w:color w:val="auto"/>
                <w:spacing w:val="12"/>
                <w:sz w:val="21"/>
                <w:szCs w:val="21"/>
                <w:highlight w:val="none"/>
              </w:rPr>
              <w:t>包人为国有控股或参股企业的，承包人应按规定在项目现场设立基层党组</w:t>
            </w:r>
            <w:r>
              <w:rPr>
                <w:rFonts w:hint="eastAsia" w:ascii="宋体" w:hAnsi="宋体" w:eastAsia="宋体" w:cs="宋体"/>
                <w:color w:val="auto"/>
                <w:spacing w:val="14"/>
                <w:sz w:val="21"/>
                <w:szCs w:val="21"/>
                <w:highlight w:val="none"/>
              </w:rPr>
              <w:t>织</w:t>
            </w:r>
            <w:r>
              <w:rPr>
                <w:rFonts w:hint="eastAsia" w:ascii="宋体" w:hAnsi="宋体" w:eastAsia="宋体" w:cs="宋体"/>
                <w:color w:val="auto"/>
                <w:spacing w:val="12"/>
                <w:sz w:val="21"/>
                <w:szCs w:val="21"/>
                <w:highlight w:val="none"/>
              </w:rPr>
              <w:t>。承包人为非国有控股或参股企业的，承包人应创造条件使党员能够参加党组</w:t>
            </w:r>
            <w:r>
              <w:rPr>
                <w:rFonts w:hint="eastAsia" w:ascii="宋体" w:hAnsi="宋体" w:eastAsia="宋体" w:cs="宋体"/>
                <w:color w:val="auto"/>
                <w:spacing w:val="14"/>
                <w:sz w:val="21"/>
                <w:szCs w:val="21"/>
                <w:highlight w:val="none"/>
              </w:rPr>
              <w:t>织</w:t>
            </w:r>
            <w:r>
              <w:rPr>
                <w:rFonts w:hint="eastAsia" w:ascii="宋体" w:hAnsi="宋体" w:eastAsia="宋体" w:cs="宋体"/>
                <w:color w:val="auto"/>
                <w:spacing w:val="12"/>
                <w:sz w:val="21"/>
                <w:szCs w:val="21"/>
                <w:highlight w:val="none"/>
              </w:rPr>
              <w:t>生活并接受相应管理。承包人应在项目现场设立基层党组织，积极组织党员学</w:t>
            </w:r>
            <w:r>
              <w:rPr>
                <w:rFonts w:hint="eastAsia" w:ascii="宋体" w:hAnsi="宋体" w:eastAsia="宋体" w:cs="宋体"/>
                <w:color w:val="auto"/>
                <w:spacing w:val="22"/>
                <w:sz w:val="21"/>
                <w:szCs w:val="21"/>
                <w:highlight w:val="none"/>
              </w:rPr>
              <w:t>习</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1"/>
                <w:sz w:val="21"/>
                <w:szCs w:val="21"/>
                <w:highlight w:val="none"/>
              </w:rPr>
              <w:t>承办党建工作室(党员之家)，建立党建工作制度、明确“两学一做”常态</w:t>
            </w:r>
            <w:r>
              <w:rPr>
                <w:rFonts w:hint="eastAsia" w:ascii="宋体" w:hAnsi="宋体" w:eastAsia="宋体" w:cs="宋体"/>
                <w:color w:val="auto"/>
                <w:spacing w:val="14"/>
                <w:sz w:val="21"/>
                <w:szCs w:val="21"/>
                <w:highlight w:val="none"/>
              </w:rPr>
              <w:t>化</w:t>
            </w:r>
            <w:r>
              <w:rPr>
                <w:rFonts w:hint="eastAsia" w:ascii="宋体" w:hAnsi="宋体" w:eastAsia="宋体" w:cs="宋体"/>
                <w:color w:val="auto"/>
                <w:spacing w:val="12"/>
                <w:sz w:val="21"/>
                <w:szCs w:val="21"/>
                <w:highlight w:val="none"/>
              </w:rPr>
              <w:t>制度化建设目标和任务、明确党组织机构设置、党组织负责人及党务工作人员</w:t>
            </w:r>
            <w:r>
              <w:rPr>
                <w:rFonts w:hint="eastAsia" w:ascii="宋体" w:hAnsi="宋体" w:eastAsia="宋体" w:cs="宋体"/>
                <w:color w:val="auto"/>
                <w:spacing w:val="14"/>
                <w:sz w:val="21"/>
                <w:szCs w:val="21"/>
                <w:highlight w:val="none"/>
              </w:rPr>
              <w:t>配</w:t>
            </w:r>
            <w:r>
              <w:rPr>
                <w:rFonts w:hint="eastAsia" w:ascii="宋体" w:hAnsi="宋体" w:eastAsia="宋体" w:cs="宋体"/>
                <w:color w:val="auto"/>
                <w:spacing w:val="12"/>
                <w:sz w:val="21"/>
                <w:szCs w:val="21"/>
                <w:highlight w:val="none"/>
              </w:rPr>
              <w:t>备情况，编制党务工作开展预案，并按照预案要求在项目实施过程中同步开展</w:t>
            </w:r>
          </w:p>
          <w:p w14:paraId="7BFAF6DE">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12"/>
                <w:sz w:val="21"/>
                <w:szCs w:val="21"/>
                <w:highlight w:val="none"/>
              </w:rPr>
              <w:t>党</w:t>
            </w:r>
            <w:r>
              <w:rPr>
                <w:rFonts w:hint="eastAsia" w:ascii="宋体" w:hAnsi="宋体" w:eastAsia="宋体" w:cs="宋体"/>
                <w:color w:val="auto"/>
                <w:spacing w:val="9"/>
                <w:sz w:val="21"/>
                <w:szCs w:val="21"/>
                <w:highlight w:val="none"/>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145287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6</w:t>
            </w:r>
          </w:p>
        </w:tc>
        <w:tc>
          <w:tcPr>
            <w:tcW w:w="1384" w:type="dxa"/>
            <w:vAlign w:val="center"/>
          </w:tcPr>
          <w:p w14:paraId="2505E04A">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7"/>
                <w:sz w:val="21"/>
                <w:szCs w:val="21"/>
                <w:highlight w:val="none"/>
              </w:rPr>
              <w:t>5.1.2</w:t>
            </w:r>
          </w:p>
        </w:tc>
        <w:tc>
          <w:tcPr>
            <w:tcW w:w="7054" w:type="dxa"/>
            <w:tcBorders>
              <w:right w:val="single" w:color="000000" w:sz="6" w:space="0"/>
            </w:tcBorders>
            <w:vAlign w:val="center"/>
          </w:tcPr>
          <w:p w14:paraId="69714F4B">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1、为确保本合同工程的施工质量，在合同履行过程中，发包人将结合国</w:t>
            </w:r>
            <w:r>
              <w:rPr>
                <w:rFonts w:hint="eastAsia" w:ascii="宋体" w:hAnsi="宋体" w:eastAsia="宋体" w:cs="宋体"/>
                <w:color w:val="auto"/>
                <w:spacing w:val="2"/>
                <w:sz w:val="21"/>
                <w:szCs w:val="21"/>
                <w:highlight w:val="none"/>
              </w:rPr>
              <w:t>内</w:t>
            </w:r>
            <w:r>
              <w:rPr>
                <w:rFonts w:hint="eastAsia" w:ascii="宋体" w:hAnsi="宋体" w:eastAsia="宋体" w:cs="宋体"/>
                <w:color w:val="auto"/>
                <w:sz w:val="21"/>
                <w:szCs w:val="21"/>
                <w:highlight w:val="none"/>
              </w:rPr>
              <w:t>工程</w:t>
            </w:r>
            <w:r>
              <w:rPr>
                <w:rFonts w:hint="eastAsia" w:ascii="宋体" w:hAnsi="宋体" w:eastAsia="宋体" w:cs="宋体"/>
                <w:color w:val="auto"/>
                <w:spacing w:val="12"/>
                <w:sz w:val="21"/>
                <w:szCs w:val="21"/>
                <w:highlight w:val="none"/>
              </w:rPr>
              <w:t>施</w:t>
            </w:r>
            <w:r>
              <w:rPr>
                <w:rFonts w:hint="eastAsia" w:ascii="宋体" w:hAnsi="宋体" w:eastAsia="宋体" w:cs="宋体"/>
                <w:color w:val="auto"/>
                <w:spacing w:val="9"/>
                <w:sz w:val="21"/>
                <w:szCs w:val="21"/>
                <w:highlight w:val="none"/>
              </w:rPr>
              <w:t>工</w:t>
            </w:r>
            <w:r>
              <w:rPr>
                <w:rFonts w:hint="eastAsia" w:ascii="宋体" w:hAnsi="宋体" w:eastAsia="宋体" w:cs="宋体"/>
                <w:color w:val="auto"/>
                <w:spacing w:val="6"/>
                <w:sz w:val="21"/>
                <w:szCs w:val="21"/>
                <w:highlight w:val="none"/>
              </w:rPr>
              <w:t>现状，以及工程实际需要，对部分施工流程或工艺等提出特殊的设备要求，承包人应予实施，由此所增加的设备购置费或租赁费用(合同另有约定除外)发包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4"/>
                <w:sz w:val="21"/>
                <w:szCs w:val="21"/>
                <w:highlight w:val="none"/>
              </w:rPr>
              <w:t>不另行支付。</w:t>
            </w:r>
          </w:p>
          <w:p w14:paraId="64EEDC82">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2、为保</w:t>
            </w:r>
            <w:r>
              <w:rPr>
                <w:rFonts w:hint="eastAsia" w:ascii="宋体" w:hAnsi="宋体" w:eastAsia="宋体" w:cs="宋体"/>
                <w:color w:val="auto"/>
                <w:spacing w:val="4"/>
                <w:sz w:val="21"/>
                <w:szCs w:val="21"/>
                <w:highlight w:val="none"/>
              </w:rPr>
              <w:t>证</w:t>
            </w:r>
            <w:r>
              <w:rPr>
                <w:rFonts w:hint="eastAsia" w:ascii="宋体" w:hAnsi="宋体" w:eastAsia="宋体" w:cs="宋体"/>
                <w:color w:val="auto"/>
                <w:spacing w:val="3"/>
                <w:sz w:val="21"/>
                <w:szCs w:val="21"/>
                <w:highlight w:val="none"/>
              </w:rPr>
              <w:t>工程质量，对于本项目所需的主要工程材料，承包人应选择信誉良好</w:t>
            </w:r>
            <w:r>
              <w:rPr>
                <w:rFonts w:hint="eastAsia" w:ascii="宋体" w:hAnsi="宋体" w:eastAsia="宋体" w:cs="宋体"/>
                <w:color w:val="auto"/>
                <w:spacing w:val="12"/>
                <w:sz w:val="21"/>
                <w:szCs w:val="21"/>
                <w:highlight w:val="none"/>
              </w:rPr>
              <w:t>的</w:t>
            </w:r>
            <w:r>
              <w:rPr>
                <w:rFonts w:hint="eastAsia" w:ascii="宋体" w:hAnsi="宋体" w:eastAsia="宋体" w:cs="宋体"/>
                <w:color w:val="auto"/>
                <w:spacing w:val="8"/>
                <w:sz w:val="21"/>
                <w:szCs w:val="21"/>
                <w:highlight w:val="none"/>
              </w:rPr>
              <w:t>材</w:t>
            </w:r>
            <w:r>
              <w:rPr>
                <w:rFonts w:hint="eastAsia" w:ascii="宋体" w:hAnsi="宋体" w:eastAsia="宋体" w:cs="宋体"/>
                <w:color w:val="auto"/>
                <w:spacing w:val="6"/>
                <w:sz w:val="21"/>
                <w:szCs w:val="21"/>
                <w:highlight w:val="none"/>
              </w:rPr>
              <w:t>料供应商或制造商或加工生产商。在与主要工程材料供应商或制造商或加工生</w:t>
            </w:r>
            <w:r>
              <w:rPr>
                <w:rFonts w:hint="eastAsia" w:ascii="宋体" w:hAnsi="宋体" w:eastAsia="宋体" w:cs="宋体"/>
                <w:color w:val="auto"/>
                <w:spacing w:val="12"/>
                <w:sz w:val="21"/>
                <w:szCs w:val="21"/>
                <w:highlight w:val="none"/>
              </w:rPr>
              <w:t>产</w:t>
            </w:r>
            <w:r>
              <w:rPr>
                <w:rFonts w:hint="eastAsia" w:ascii="宋体" w:hAnsi="宋体" w:eastAsia="宋体" w:cs="宋体"/>
                <w:color w:val="auto"/>
                <w:spacing w:val="8"/>
                <w:sz w:val="21"/>
                <w:szCs w:val="21"/>
                <w:highlight w:val="none"/>
              </w:rPr>
              <w:t>商</w:t>
            </w:r>
            <w:r>
              <w:rPr>
                <w:rFonts w:hint="eastAsia" w:ascii="宋体" w:hAnsi="宋体" w:eastAsia="宋体" w:cs="宋体"/>
                <w:color w:val="auto"/>
                <w:spacing w:val="6"/>
                <w:sz w:val="21"/>
                <w:szCs w:val="21"/>
                <w:highlight w:val="none"/>
              </w:rPr>
              <w:t>签订供货合同前，承包人必须将供应商或制造商或加工生产商的名单、相应资</w:t>
            </w:r>
            <w:r>
              <w:rPr>
                <w:rFonts w:hint="eastAsia" w:ascii="宋体" w:hAnsi="宋体" w:eastAsia="宋体" w:cs="宋体"/>
                <w:color w:val="auto"/>
                <w:spacing w:val="12"/>
                <w:sz w:val="21"/>
                <w:szCs w:val="21"/>
                <w:highlight w:val="none"/>
              </w:rPr>
              <w:t>格</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材料品质报告等送发包人审查批准后，方可将主要工程材料用于实体工程，否</w:t>
            </w:r>
            <w:r>
              <w:rPr>
                <w:rFonts w:hint="eastAsia" w:ascii="宋体" w:hAnsi="宋体" w:eastAsia="宋体" w:cs="宋体"/>
                <w:color w:val="auto"/>
                <w:spacing w:val="12"/>
                <w:sz w:val="21"/>
                <w:szCs w:val="21"/>
                <w:highlight w:val="none"/>
              </w:rPr>
              <w:t>则</w:t>
            </w:r>
            <w:r>
              <w:rPr>
                <w:rFonts w:hint="eastAsia" w:ascii="宋体" w:hAnsi="宋体" w:eastAsia="宋体" w:cs="宋体"/>
                <w:color w:val="auto"/>
                <w:spacing w:val="8"/>
                <w:sz w:val="21"/>
                <w:szCs w:val="21"/>
                <w:highlight w:val="none"/>
              </w:rPr>
              <w:t>发</w:t>
            </w:r>
            <w:r>
              <w:rPr>
                <w:rFonts w:hint="eastAsia" w:ascii="宋体" w:hAnsi="宋体" w:eastAsia="宋体" w:cs="宋体"/>
                <w:color w:val="auto"/>
                <w:spacing w:val="6"/>
                <w:sz w:val="21"/>
                <w:szCs w:val="21"/>
                <w:highlight w:val="none"/>
              </w:rPr>
              <w:t>包人将视其为不合格工程并要求承包人返工重作或进行补救处理，由此造成的</w:t>
            </w:r>
            <w:r>
              <w:rPr>
                <w:rFonts w:hint="eastAsia" w:ascii="宋体" w:hAnsi="宋体" w:eastAsia="宋体" w:cs="宋体"/>
                <w:color w:val="auto"/>
                <w:spacing w:val="5"/>
                <w:sz w:val="21"/>
                <w:szCs w:val="21"/>
                <w:highlight w:val="none"/>
              </w:rPr>
              <w:t>费用增加和(或)工期延误由承包人承担</w:t>
            </w:r>
            <w:r>
              <w:rPr>
                <w:rFonts w:hint="eastAsia" w:ascii="宋体" w:hAnsi="宋体" w:eastAsia="宋体" w:cs="宋体"/>
                <w:color w:val="auto"/>
                <w:spacing w:val="2"/>
                <w:sz w:val="21"/>
                <w:szCs w:val="21"/>
                <w:highlight w:val="none"/>
              </w:rPr>
              <w:t>。</w:t>
            </w:r>
          </w:p>
          <w:p w14:paraId="5DB88539">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承包人应与供</w:t>
            </w:r>
            <w:r>
              <w:rPr>
                <w:rFonts w:hint="eastAsia" w:ascii="宋体" w:hAnsi="宋体" w:eastAsia="宋体" w:cs="宋体"/>
                <w:color w:val="auto"/>
                <w:spacing w:val="7"/>
                <w:sz w:val="21"/>
                <w:szCs w:val="21"/>
                <w:highlight w:val="none"/>
              </w:rPr>
              <w:t>应</w:t>
            </w:r>
            <w:r>
              <w:rPr>
                <w:rFonts w:hint="eastAsia" w:ascii="宋体" w:hAnsi="宋体" w:eastAsia="宋体" w:cs="宋体"/>
                <w:color w:val="auto"/>
                <w:spacing w:val="4"/>
                <w:sz w:val="21"/>
                <w:szCs w:val="21"/>
                <w:highlight w:val="none"/>
              </w:rPr>
              <w:t>商或制造商或加工生产商签订供货合同，明确双方的责权利，</w:t>
            </w:r>
            <w:r>
              <w:rPr>
                <w:rFonts w:hint="eastAsia" w:ascii="宋体" w:hAnsi="宋体" w:eastAsia="宋体" w:cs="宋体"/>
                <w:color w:val="auto"/>
                <w:spacing w:val="8"/>
                <w:sz w:val="21"/>
                <w:szCs w:val="21"/>
                <w:highlight w:val="none"/>
              </w:rPr>
              <w:t>以及供</w:t>
            </w:r>
            <w:r>
              <w:rPr>
                <w:rFonts w:hint="eastAsia" w:ascii="宋体" w:hAnsi="宋体" w:eastAsia="宋体" w:cs="宋体"/>
                <w:color w:val="auto"/>
                <w:spacing w:val="4"/>
                <w:sz w:val="21"/>
                <w:szCs w:val="21"/>
                <w:highlight w:val="none"/>
              </w:rPr>
              <w:t>货方的供货时间与供货质量的保证措施和要求。</w:t>
            </w:r>
          </w:p>
          <w:p w14:paraId="663D2244">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6"/>
                <w:position w:val="15"/>
                <w:sz w:val="21"/>
                <w:szCs w:val="21"/>
                <w:highlight w:val="none"/>
              </w:rPr>
              <w:t>3、</w:t>
            </w:r>
            <w:r>
              <w:rPr>
                <w:rFonts w:hint="eastAsia" w:ascii="宋体" w:hAnsi="宋体" w:eastAsia="宋体" w:cs="宋体"/>
                <w:color w:val="auto"/>
                <w:spacing w:val="5"/>
                <w:position w:val="15"/>
                <w:sz w:val="21"/>
                <w:szCs w:val="21"/>
                <w:highlight w:val="none"/>
              </w:rPr>
              <w:t>经</w:t>
            </w:r>
            <w:r>
              <w:rPr>
                <w:rFonts w:hint="eastAsia" w:ascii="宋体" w:hAnsi="宋体" w:eastAsia="宋体" w:cs="宋体"/>
                <w:color w:val="auto"/>
                <w:spacing w:val="3"/>
                <w:position w:val="15"/>
                <w:sz w:val="21"/>
                <w:szCs w:val="21"/>
                <w:highlight w:val="none"/>
              </w:rPr>
              <w:t>监理人鉴定质量不合格并令其清除出场的材料，其费用均应由承包人自</w:t>
            </w:r>
            <w:r>
              <w:rPr>
                <w:rFonts w:hint="eastAsia" w:ascii="宋体" w:hAnsi="宋体" w:cs="宋体"/>
                <w:color w:val="auto"/>
                <w:spacing w:val="3"/>
                <w:position w:val="15"/>
                <w:sz w:val="21"/>
                <w:szCs w:val="21"/>
                <w:highlight w:val="none"/>
                <w:lang w:val="en-US" w:eastAsia="zh-CN"/>
              </w:rPr>
              <w:t>行负责。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4E5B983">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7</w:t>
            </w:r>
          </w:p>
        </w:tc>
        <w:tc>
          <w:tcPr>
            <w:tcW w:w="1384" w:type="dxa"/>
            <w:vAlign w:val="center"/>
          </w:tcPr>
          <w:p w14:paraId="5EC8B1CA">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t>5</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2.1</w:t>
            </w:r>
          </w:p>
        </w:tc>
        <w:tc>
          <w:tcPr>
            <w:tcW w:w="7054" w:type="dxa"/>
            <w:tcBorders>
              <w:right w:val="single" w:color="000000" w:sz="6" w:space="0"/>
            </w:tcBorders>
            <w:vAlign w:val="center"/>
          </w:tcPr>
          <w:p w14:paraId="1CA938F0">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发</w:t>
            </w:r>
            <w:r>
              <w:rPr>
                <w:rFonts w:hint="eastAsia" w:ascii="宋体" w:hAnsi="宋体" w:eastAsia="宋体" w:cs="宋体"/>
                <w:color w:val="auto"/>
                <w:spacing w:val="13"/>
                <w:sz w:val="21"/>
                <w:szCs w:val="21"/>
                <w:highlight w:val="none"/>
              </w:rPr>
              <w:t>包</w:t>
            </w:r>
            <w:r>
              <w:rPr>
                <w:rFonts w:hint="eastAsia" w:ascii="宋体" w:hAnsi="宋体" w:eastAsia="宋体" w:cs="宋体"/>
                <w:color w:val="auto"/>
                <w:spacing w:val="8"/>
                <w:sz w:val="21"/>
                <w:szCs w:val="21"/>
                <w:highlight w:val="none"/>
              </w:rPr>
              <w:t>人是否提供材料或工程设备：</w:t>
            </w:r>
            <w:r>
              <w:rPr>
                <w:rFonts w:hint="eastAsia" w:ascii="宋体" w:hAnsi="宋体" w:eastAsia="宋体" w:cs="宋体"/>
                <w:color w:val="auto"/>
                <w:spacing w:val="8"/>
                <w:sz w:val="21"/>
                <w:szCs w:val="21"/>
                <w:highlight w:val="none"/>
                <w:u w:val="single" w:color="auto"/>
              </w:rPr>
              <w:t>否</w:t>
            </w:r>
          </w:p>
          <w:p w14:paraId="5FFA8584">
            <w:pPr>
              <w:keepLines w:val="0"/>
              <w:pageBreakBefore w:val="0"/>
              <w:widowControl w:val="0"/>
              <w:kinsoku/>
              <w:overflowPunct/>
              <w:topLinePunct w:val="0"/>
              <w:autoSpaceDE/>
              <w:autoSpaceDN/>
              <w:bidi w:val="0"/>
              <w:snapToGrid w:val="0"/>
              <w:spacing w:before="117" w:line="240" w:lineRule="auto"/>
              <w:ind w:left="105" w:leftChars="50" w:right="283" w:rightChars="0" w:firstLine="0" w:firstLineChars="0"/>
              <w:jc w:val="left"/>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10"/>
                <w:position w:val="1"/>
                <w:sz w:val="21"/>
                <w:szCs w:val="21"/>
                <w:highlight w:val="none"/>
              </w:rPr>
              <w:t>如</w:t>
            </w:r>
            <w:r>
              <w:rPr>
                <w:rFonts w:hint="eastAsia" w:ascii="宋体" w:hAnsi="宋体" w:eastAsia="宋体" w:cs="宋体"/>
                <w:color w:val="auto"/>
                <w:spacing w:val="8"/>
                <w:position w:val="1"/>
                <w:sz w:val="21"/>
                <w:szCs w:val="21"/>
                <w:highlight w:val="none"/>
              </w:rPr>
              <w:t>发</w:t>
            </w:r>
            <w:r>
              <w:rPr>
                <w:rFonts w:hint="eastAsia" w:ascii="宋体" w:hAnsi="宋体" w:eastAsia="宋体" w:cs="宋体"/>
                <w:color w:val="auto"/>
                <w:spacing w:val="5"/>
                <w:position w:val="1"/>
                <w:sz w:val="21"/>
                <w:szCs w:val="21"/>
                <w:highlight w:val="none"/>
              </w:rPr>
              <w:t>包人负责提供部分材料或工程设备，相关规定如下：</w:t>
            </w:r>
            <w:r>
              <w:rPr>
                <w:rFonts w:hint="eastAsia" w:ascii="宋体" w:hAnsi="宋体" w:cs="宋体"/>
                <w:color w:val="auto"/>
                <w:spacing w:val="5"/>
                <w:position w:val="1"/>
                <w:sz w:val="21"/>
                <w:szCs w:val="21"/>
                <w:highlight w:val="none"/>
                <w:u w:val="single"/>
                <w:lang w:val="en-US" w:eastAsia="zh-CN"/>
              </w:rPr>
              <w:t xml:space="preserve"> </w:t>
            </w:r>
            <w:r>
              <w:rPr>
                <w:rFonts w:hint="eastAsia" w:ascii="宋体" w:hAnsi="宋体" w:eastAsia="宋体" w:cs="宋体"/>
                <w:color w:val="auto"/>
                <w:spacing w:val="5"/>
                <w:position w:val="1"/>
                <w:sz w:val="21"/>
                <w:szCs w:val="21"/>
                <w:highlight w:val="none"/>
                <w:u w:val="single"/>
              </w:rPr>
              <w:t>/</w:t>
            </w:r>
            <w:r>
              <w:rPr>
                <w:rFonts w:hint="eastAsia" w:ascii="宋体" w:hAnsi="宋体" w:cs="宋体"/>
                <w:color w:val="auto"/>
                <w:spacing w:val="5"/>
                <w:position w:val="1"/>
                <w:sz w:val="21"/>
                <w:szCs w:val="21"/>
                <w:highlight w:val="none"/>
                <w:u w:val="single"/>
                <w:lang w:val="en-US" w:eastAsia="zh-CN"/>
              </w:rPr>
              <w:t xml:space="preserve"> </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0CCFDD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8</w:t>
            </w:r>
          </w:p>
        </w:tc>
        <w:tc>
          <w:tcPr>
            <w:tcW w:w="1384" w:type="dxa"/>
            <w:vAlign w:val="center"/>
          </w:tcPr>
          <w:p w14:paraId="0263D7E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6.2</w:t>
            </w:r>
          </w:p>
        </w:tc>
        <w:tc>
          <w:tcPr>
            <w:tcW w:w="7054" w:type="dxa"/>
            <w:tcBorders>
              <w:right w:val="single" w:color="000000" w:sz="6" w:space="0"/>
            </w:tcBorders>
            <w:vAlign w:val="center"/>
          </w:tcPr>
          <w:p w14:paraId="02C162B9">
            <w:pPr>
              <w:keepLines w:val="0"/>
              <w:pageBreakBefore w:val="0"/>
              <w:widowControl w:val="0"/>
              <w:kinsoku/>
              <w:overflowPunct/>
              <w:topLinePunct w:val="0"/>
              <w:autoSpaceDE/>
              <w:autoSpaceDN/>
              <w:bidi w:val="0"/>
              <w:snapToGrid w:val="0"/>
              <w:spacing w:before="15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发包人是否提供施工设备和临时设施：</w:t>
            </w:r>
            <w:r>
              <w:rPr>
                <w:rFonts w:hint="eastAsia" w:ascii="宋体" w:hAnsi="宋体" w:eastAsia="宋体" w:cs="宋体"/>
                <w:color w:val="auto"/>
                <w:spacing w:val="6"/>
                <w:sz w:val="21"/>
                <w:szCs w:val="21"/>
                <w:highlight w:val="none"/>
                <w:u w:val="single" w:color="auto"/>
              </w:rPr>
              <w:t>否</w:t>
            </w:r>
          </w:p>
          <w:p w14:paraId="64D8F05D">
            <w:pPr>
              <w:keepLines w:val="0"/>
              <w:pageBreakBefore w:val="0"/>
              <w:widowControl w:val="0"/>
              <w:kinsoku/>
              <w:overflowPunct/>
              <w:topLinePunct w:val="0"/>
              <w:autoSpaceDE/>
              <w:autoSpaceDN/>
              <w:bidi w:val="0"/>
              <w:snapToGrid w:val="0"/>
              <w:spacing w:before="117"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lang w:val="en-US" w:eastAsia="zh-CN"/>
              </w:rPr>
            </w:pPr>
            <w:r>
              <w:rPr>
                <w:rFonts w:hint="eastAsia" w:ascii="宋体" w:hAnsi="宋体" w:eastAsia="宋体" w:cs="宋体"/>
                <w:color w:val="auto"/>
                <w:spacing w:val="16"/>
                <w:sz w:val="21"/>
                <w:szCs w:val="21"/>
                <w:highlight w:val="none"/>
              </w:rPr>
              <w:t>如</w:t>
            </w:r>
            <w:r>
              <w:rPr>
                <w:rFonts w:hint="eastAsia" w:ascii="宋体" w:hAnsi="宋体" w:eastAsia="宋体" w:cs="宋体"/>
                <w:color w:val="auto"/>
                <w:spacing w:val="15"/>
                <w:sz w:val="21"/>
                <w:szCs w:val="21"/>
                <w:highlight w:val="none"/>
              </w:rPr>
              <w:t>发</w:t>
            </w:r>
            <w:r>
              <w:rPr>
                <w:rFonts w:hint="eastAsia" w:ascii="宋体" w:hAnsi="宋体" w:eastAsia="宋体" w:cs="宋体"/>
                <w:color w:val="auto"/>
                <w:spacing w:val="8"/>
                <w:sz w:val="21"/>
                <w:szCs w:val="21"/>
                <w:highlight w:val="none"/>
              </w:rPr>
              <w:t>包人负责提供部分施工设备和临时设施，相关规定如下：</w:t>
            </w:r>
            <w:r>
              <w:rPr>
                <w:rFonts w:hint="eastAsia" w:ascii="宋体" w:hAnsi="宋体" w:cs="宋体"/>
                <w:color w:val="auto"/>
                <w:spacing w:val="8"/>
                <w:sz w:val="21"/>
                <w:szCs w:val="21"/>
                <w:highlight w:val="none"/>
                <w:u w:val="single"/>
                <w:lang w:val="en-US" w:eastAsia="zh-CN"/>
              </w:rPr>
              <w:t xml:space="preserve"> </w:t>
            </w:r>
            <w:r>
              <w:rPr>
                <w:rFonts w:hint="eastAsia" w:ascii="宋体" w:hAnsi="宋体" w:eastAsia="宋体" w:cs="宋体"/>
                <w:color w:val="auto"/>
                <w:spacing w:val="8"/>
                <w:sz w:val="21"/>
                <w:szCs w:val="21"/>
                <w:highlight w:val="none"/>
                <w:u w:val="single" w:color="auto"/>
              </w:rPr>
              <w:t>/</w:t>
            </w:r>
            <w:r>
              <w:rPr>
                <w:rFonts w:hint="eastAsia" w:ascii="宋体" w:hAnsi="宋体" w:cs="宋体"/>
                <w:color w:val="auto"/>
                <w:spacing w:val="8"/>
                <w:sz w:val="21"/>
                <w:szCs w:val="21"/>
                <w:highlight w:val="none"/>
                <w:u w:val="single" w:color="auto"/>
                <w:lang w:val="en-US" w:eastAsia="zh-CN"/>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5B3708D">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9</w:t>
            </w:r>
          </w:p>
        </w:tc>
        <w:tc>
          <w:tcPr>
            <w:tcW w:w="1384" w:type="dxa"/>
            <w:vAlign w:val="center"/>
          </w:tcPr>
          <w:p w14:paraId="0F24131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8</w:t>
            </w:r>
            <w:r>
              <w:rPr>
                <w:rFonts w:hint="eastAsia" w:ascii="宋体" w:hAnsi="宋体" w:eastAsia="宋体" w:cs="宋体"/>
                <w:color w:val="auto"/>
                <w:spacing w:val="5"/>
                <w:sz w:val="21"/>
                <w:szCs w:val="21"/>
                <w:highlight w:val="none"/>
              </w:rPr>
              <w:t>.1.1</w:t>
            </w:r>
          </w:p>
        </w:tc>
        <w:tc>
          <w:tcPr>
            <w:tcW w:w="7054" w:type="dxa"/>
            <w:tcBorders>
              <w:right w:val="single" w:color="000000" w:sz="6" w:space="0"/>
            </w:tcBorders>
            <w:vAlign w:val="center"/>
          </w:tcPr>
          <w:p w14:paraId="1E12C45E">
            <w:pPr>
              <w:keepLines w:val="0"/>
              <w:pageBreakBefore w:val="0"/>
              <w:widowControl w:val="0"/>
              <w:kinsoku/>
              <w:overflowPunct/>
              <w:topLinePunct w:val="0"/>
              <w:autoSpaceDE/>
              <w:autoSpaceDN/>
              <w:bidi w:val="0"/>
              <w:snapToGrid w:val="0"/>
              <w:spacing w:before="104" w:line="240" w:lineRule="auto"/>
              <w:ind w:left="105" w:leftChars="50" w:right="283" w:rightChars="0" w:firstLine="0" w:firstLineChars="0"/>
              <w:jc w:val="left"/>
              <w:textAlignment w:val="auto"/>
              <w:rPr>
                <w:rFonts w:hint="eastAsia" w:ascii="宋体" w:hAnsi="宋体" w:eastAsia="宋体" w:cs="宋体"/>
                <w:color w:val="auto"/>
                <w:spacing w:val="8"/>
                <w:sz w:val="21"/>
                <w:szCs w:val="21"/>
                <w:highlight w:val="none"/>
                <w:u w:val="single" w:color="auto"/>
              </w:rPr>
            </w:pPr>
            <w:r>
              <w:rPr>
                <w:rFonts w:hint="eastAsia" w:ascii="宋体" w:hAnsi="宋体" w:eastAsia="宋体" w:cs="宋体"/>
                <w:color w:val="auto"/>
                <w:spacing w:val="8"/>
                <w:sz w:val="21"/>
                <w:szCs w:val="21"/>
                <w:highlight w:val="none"/>
              </w:rPr>
              <w:t>发包人提供测量基准点、基准线和水准点及其书面资料的期限：</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u w:val="single"/>
              </w:rPr>
              <w:t>/</w:t>
            </w:r>
            <w:r>
              <w:rPr>
                <w:rFonts w:hint="eastAsia" w:ascii="宋体" w:hAnsi="宋体" w:cs="宋体"/>
                <w:color w:val="auto"/>
                <w:spacing w:val="2"/>
                <w:position w:val="1"/>
                <w:sz w:val="21"/>
                <w:szCs w:val="21"/>
                <w:highlight w:val="none"/>
                <w:u w:val="single"/>
                <w:lang w:val="en-US" w:eastAsia="zh-CN"/>
              </w:rPr>
              <w:t xml:space="preserve"> </w:t>
            </w:r>
          </w:p>
          <w:p w14:paraId="4F10CAB6">
            <w:pPr>
              <w:keepLines w:val="0"/>
              <w:pageBreakBefore w:val="0"/>
              <w:widowControl w:val="0"/>
              <w:kinsoku/>
              <w:overflowPunct/>
              <w:topLinePunct w:val="0"/>
              <w:autoSpaceDE/>
              <w:autoSpaceDN/>
              <w:bidi w:val="0"/>
              <w:snapToGrid w:val="0"/>
              <w:spacing w:before="104"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lang w:eastAsia="zh-CN"/>
              </w:rPr>
            </w:pPr>
            <w:r>
              <w:rPr>
                <w:rFonts w:hint="eastAsia" w:ascii="宋体" w:hAnsi="宋体" w:eastAsia="宋体" w:cs="宋体"/>
                <w:color w:val="auto"/>
                <w:spacing w:val="16"/>
                <w:sz w:val="21"/>
                <w:szCs w:val="21"/>
                <w:highlight w:val="none"/>
              </w:rPr>
              <w:t>承</w:t>
            </w:r>
            <w:r>
              <w:rPr>
                <w:rFonts w:hint="eastAsia" w:ascii="宋体" w:hAnsi="宋体" w:eastAsia="宋体" w:cs="宋体"/>
                <w:color w:val="auto"/>
                <w:spacing w:val="10"/>
                <w:sz w:val="21"/>
                <w:szCs w:val="21"/>
                <w:highlight w:val="none"/>
              </w:rPr>
              <w:t>包</w:t>
            </w:r>
            <w:r>
              <w:rPr>
                <w:rFonts w:hint="eastAsia" w:ascii="宋体" w:hAnsi="宋体" w:eastAsia="宋体" w:cs="宋体"/>
                <w:color w:val="auto"/>
                <w:spacing w:val="8"/>
                <w:sz w:val="21"/>
                <w:szCs w:val="21"/>
                <w:highlight w:val="none"/>
              </w:rPr>
              <w:t>人将施工控制网资料报送监理人审批的期限：</w:t>
            </w:r>
            <w:r>
              <w:rPr>
                <w:rFonts w:hint="eastAsia" w:ascii="宋体" w:hAnsi="宋体" w:cs="宋体"/>
                <w:color w:val="auto"/>
                <w:spacing w:val="5"/>
                <w:position w:val="1"/>
                <w:sz w:val="21"/>
                <w:szCs w:val="21"/>
                <w:highlight w:val="none"/>
                <w:u w:val="single"/>
                <w:lang w:val="en-US" w:eastAsia="zh-CN"/>
              </w:rPr>
              <w:t xml:space="preserve"> </w:t>
            </w:r>
            <w:r>
              <w:rPr>
                <w:rFonts w:hint="eastAsia" w:ascii="宋体" w:hAnsi="宋体" w:eastAsia="宋体" w:cs="宋体"/>
                <w:color w:val="auto"/>
                <w:spacing w:val="5"/>
                <w:position w:val="1"/>
                <w:sz w:val="21"/>
                <w:szCs w:val="21"/>
                <w:highlight w:val="none"/>
                <w:u w:val="single"/>
              </w:rPr>
              <w:t>/</w:t>
            </w:r>
            <w:r>
              <w:rPr>
                <w:rFonts w:hint="eastAsia" w:ascii="宋体" w:hAnsi="宋体" w:cs="宋体"/>
                <w:color w:val="auto"/>
                <w:spacing w:val="5"/>
                <w:position w:val="1"/>
                <w:sz w:val="21"/>
                <w:szCs w:val="21"/>
                <w:highlight w:val="none"/>
                <w:u w:val="single"/>
                <w:lang w:val="en-US" w:eastAsia="zh-CN"/>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FD361EF">
            <w:pPr>
              <w:keepLines w:val="0"/>
              <w:pageBreakBefore w:val="0"/>
              <w:widowControl w:val="0"/>
              <w:kinsoku/>
              <w:overflowPunct/>
              <w:topLinePunct w:val="0"/>
              <w:autoSpaceDE/>
              <w:autoSpaceDN/>
              <w:bidi w:val="0"/>
              <w:snapToGrid w:val="0"/>
              <w:spacing w:before="132"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0</w:t>
            </w:r>
          </w:p>
        </w:tc>
        <w:tc>
          <w:tcPr>
            <w:tcW w:w="1384" w:type="dxa"/>
            <w:vAlign w:val="center"/>
          </w:tcPr>
          <w:p w14:paraId="6BFB490F">
            <w:pPr>
              <w:keepLines w:val="0"/>
              <w:pageBreakBefore w:val="0"/>
              <w:widowControl w:val="0"/>
              <w:kinsoku/>
              <w:overflowPunct/>
              <w:topLinePunct w:val="0"/>
              <w:autoSpaceDE/>
              <w:autoSpaceDN/>
              <w:bidi w:val="0"/>
              <w:snapToGrid w:val="0"/>
              <w:spacing w:before="95"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11</w:t>
            </w:r>
            <w:r>
              <w:rPr>
                <w:rFonts w:hint="eastAsia" w:ascii="宋体" w:hAnsi="宋体" w:eastAsia="宋体" w:cs="宋体"/>
                <w:color w:val="auto"/>
                <w:sz w:val="21"/>
                <w:szCs w:val="21"/>
                <w:highlight w:val="none"/>
              </w:rPr>
              <w:t>.5(3)</w:t>
            </w:r>
          </w:p>
        </w:tc>
        <w:tc>
          <w:tcPr>
            <w:tcW w:w="7054" w:type="dxa"/>
            <w:tcBorders>
              <w:right w:val="single" w:color="000000" w:sz="6" w:space="0"/>
            </w:tcBorders>
            <w:vAlign w:val="center"/>
          </w:tcPr>
          <w:p w14:paraId="68F0117F">
            <w:pPr>
              <w:keepLines w:val="0"/>
              <w:pageBreakBefore w:val="0"/>
              <w:widowControl w:val="0"/>
              <w:kinsoku/>
              <w:overflowPunct/>
              <w:topLinePunct w:val="0"/>
              <w:autoSpaceDE/>
              <w:autoSpaceDN/>
              <w:bidi w:val="0"/>
              <w:snapToGrid w:val="0"/>
              <w:spacing w:before="104"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12"/>
                <w:sz w:val="21"/>
                <w:szCs w:val="21"/>
                <w:highlight w:val="none"/>
              </w:rPr>
              <w:t>逾期</w:t>
            </w:r>
            <w:r>
              <w:rPr>
                <w:rFonts w:hint="eastAsia" w:ascii="宋体" w:hAnsi="宋体" w:eastAsia="宋体" w:cs="宋体"/>
                <w:color w:val="auto"/>
                <w:spacing w:val="7"/>
                <w:sz w:val="21"/>
                <w:szCs w:val="21"/>
                <w:highlight w:val="none"/>
              </w:rPr>
              <w:t>交</w:t>
            </w:r>
            <w:r>
              <w:rPr>
                <w:rFonts w:hint="eastAsia" w:ascii="宋体" w:hAnsi="宋体" w:eastAsia="宋体" w:cs="宋体"/>
                <w:color w:val="auto"/>
                <w:spacing w:val="6"/>
                <w:sz w:val="21"/>
                <w:szCs w:val="21"/>
                <w:highlight w:val="none"/>
              </w:rPr>
              <w:t>工违约金：</w:t>
            </w:r>
            <w:r>
              <w:rPr>
                <w:rFonts w:hint="eastAsia" w:ascii="宋体" w:hAnsi="宋体" w:eastAsia="宋体" w:cs="宋体"/>
                <w:color w:val="auto"/>
                <w:spacing w:val="6"/>
                <w:sz w:val="21"/>
                <w:szCs w:val="21"/>
                <w:highlight w:val="none"/>
                <w:u w:val="single" w:color="auto"/>
              </w:rPr>
              <w:t>2万</w:t>
            </w:r>
            <w:r>
              <w:rPr>
                <w:rFonts w:hint="eastAsia" w:ascii="宋体" w:hAnsi="宋体" w:eastAsia="宋体" w:cs="宋体"/>
                <w:color w:val="auto"/>
                <w:spacing w:val="6"/>
                <w:sz w:val="21"/>
                <w:szCs w:val="21"/>
                <w:highlight w:val="none"/>
              </w:rPr>
              <w:t>元/天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3E3CCA2D">
            <w:pPr>
              <w:keepLines w:val="0"/>
              <w:pageBreakBefore w:val="0"/>
              <w:widowControl w:val="0"/>
              <w:kinsoku/>
              <w:overflowPunct/>
              <w:topLinePunct w:val="0"/>
              <w:autoSpaceDE/>
              <w:autoSpaceDN/>
              <w:bidi w:val="0"/>
              <w:snapToGrid w:val="0"/>
              <w:spacing w:before="133"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1</w:t>
            </w:r>
          </w:p>
        </w:tc>
        <w:tc>
          <w:tcPr>
            <w:tcW w:w="1384" w:type="dxa"/>
            <w:vAlign w:val="center"/>
          </w:tcPr>
          <w:p w14:paraId="2D04DAB0">
            <w:pPr>
              <w:keepLines w:val="0"/>
              <w:pageBreakBefore w:val="0"/>
              <w:widowControl w:val="0"/>
              <w:kinsoku/>
              <w:overflowPunct/>
              <w:topLinePunct w:val="0"/>
              <w:autoSpaceDE/>
              <w:autoSpaceDN/>
              <w:bidi w:val="0"/>
              <w:snapToGrid w:val="0"/>
              <w:spacing w:before="96"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11</w:t>
            </w:r>
            <w:r>
              <w:rPr>
                <w:rFonts w:hint="eastAsia" w:ascii="宋体" w:hAnsi="宋体" w:eastAsia="宋体" w:cs="宋体"/>
                <w:color w:val="auto"/>
                <w:sz w:val="21"/>
                <w:szCs w:val="21"/>
                <w:highlight w:val="none"/>
              </w:rPr>
              <w:t>.5(3)</w:t>
            </w:r>
          </w:p>
        </w:tc>
        <w:tc>
          <w:tcPr>
            <w:tcW w:w="7054" w:type="dxa"/>
            <w:tcBorders>
              <w:right w:val="single" w:color="000000" w:sz="6" w:space="0"/>
            </w:tcBorders>
            <w:vAlign w:val="center"/>
          </w:tcPr>
          <w:p w14:paraId="44FE3CB5">
            <w:pPr>
              <w:keepLines w:val="0"/>
              <w:pageBreakBefore w:val="0"/>
              <w:widowControl w:val="0"/>
              <w:kinsoku/>
              <w:overflowPunct/>
              <w:topLinePunct w:val="0"/>
              <w:autoSpaceDE/>
              <w:autoSpaceDN/>
              <w:bidi w:val="0"/>
              <w:snapToGrid w:val="0"/>
              <w:spacing w:before="105"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8"/>
                <w:sz w:val="21"/>
                <w:szCs w:val="21"/>
                <w:highlight w:val="none"/>
              </w:rPr>
              <w:t>逾期交工违约金限额：</w:t>
            </w:r>
            <w:r>
              <w:rPr>
                <w:rFonts w:hint="eastAsia" w:ascii="宋体" w:hAnsi="宋体" w:eastAsia="宋体" w:cs="宋体"/>
                <w:color w:val="auto"/>
                <w:spacing w:val="8"/>
                <w:sz w:val="21"/>
                <w:szCs w:val="21"/>
                <w:highlight w:val="none"/>
                <w:u w:val="single" w:color="auto"/>
              </w:rPr>
              <w:t>10</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签约合同价</w:t>
            </w:r>
            <w:r>
              <w:rPr>
                <w:rStyle w:val="48"/>
                <w:rFonts w:hint="eastAsia" w:ascii="宋体" w:hAnsi="宋体" w:eastAsia="宋体" w:cs="宋体"/>
                <w:color w:val="auto"/>
                <w:sz w:val="21"/>
                <w:szCs w:val="21"/>
                <w:highlight w:val="none"/>
              </w:rPr>
              <w:footnoteReference w:id="34"/>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1E56F9D">
            <w:pPr>
              <w:keepLines w:val="0"/>
              <w:pageBreakBefore w:val="0"/>
              <w:widowControl w:val="0"/>
              <w:kinsoku/>
              <w:overflowPunct/>
              <w:topLinePunct w:val="0"/>
              <w:autoSpaceDE/>
              <w:autoSpaceDN/>
              <w:bidi w:val="0"/>
              <w:snapToGrid w:val="0"/>
              <w:spacing w:before="133"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2</w:t>
            </w:r>
          </w:p>
        </w:tc>
        <w:tc>
          <w:tcPr>
            <w:tcW w:w="1384" w:type="dxa"/>
            <w:vAlign w:val="center"/>
          </w:tcPr>
          <w:p w14:paraId="76F9AB1B">
            <w:pPr>
              <w:keepLines w:val="0"/>
              <w:pageBreakBefore w:val="0"/>
              <w:widowControl w:val="0"/>
              <w:kinsoku/>
              <w:overflowPunct/>
              <w:topLinePunct w:val="0"/>
              <w:autoSpaceDE/>
              <w:autoSpaceDN/>
              <w:bidi w:val="0"/>
              <w:snapToGrid w:val="0"/>
              <w:spacing w:before="133"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1.6</w:t>
            </w:r>
          </w:p>
        </w:tc>
        <w:tc>
          <w:tcPr>
            <w:tcW w:w="7054" w:type="dxa"/>
            <w:tcBorders>
              <w:right w:val="single" w:color="000000" w:sz="6" w:space="0"/>
            </w:tcBorders>
            <w:vAlign w:val="center"/>
          </w:tcPr>
          <w:p w14:paraId="32F29881">
            <w:pPr>
              <w:keepLines w:val="0"/>
              <w:pageBreakBefore w:val="0"/>
              <w:widowControl w:val="0"/>
              <w:kinsoku/>
              <w:overflowPunct/>
              <w:topLinePunct w:val="0"/>
              <w:autoSpaceDE/>
              <w:autoSpaceDN/>
              <w:bidi w:val="0"/>
              <w:snapToGrid w:val="0"/>
              <w:spacing w:before="105"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4"/>
                <w:position w:val="1"/>
                <w:sz w:val="21"/>
                <w:szCs w:val="21"/>
                <w:highlight w:val="none"/>
              </w:rPr>
              <w:t>提前完工</w:t>
            </w:r>
            <w:r>
              <w:rPr>
                <w:rFonts w:hint="eastAsia" w:ascii="宋体" w:hAnsi="宋体" w:eastAsia="宋体" w:cs="宋体"/>
                <w:color w:val="auto"/>
                <w:spacing w:val="3"/>
                <w:position w:val="1"/>
                <w:sz w:val="21"/>
                <w:szCs w:val="21"/>
                <w:highlight w:val="none"/>
              </w:rPr>
              <w:t>的</w:t>
            </w:r>
            <w:r>
              <w:rPr>
                <w:rFonts w:hint="eastAsia" w:ascii="宋体" w:hAnsi="宋体" w:eastAsia="宋体" w:cs="宋体"/>
                <w:color w:val="auto"/>
                <w:spacing w:val="2"/>
                <w:position w:val="1"/>
                <w:sz w:val="21"/>
                <w:szCs w:val="21"/>
                <w:highlight w:val="none"/>
              </w:rPr>
              <w:t>奖金，规定为：</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u w:val="single"/>
              </w:rPr>
              <w:t>/</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rPr>
              <w:t>元/天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D1DD4CD">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3</w:t>
            </w:r>
          </w:p>
        </w:tc>
        <w:tc>
          <w:tcPr>
            <w:tcW w:w="1384" w:type="dxa"/>
            <w:vAlign w:val="center"/>
          </w:tcPr>
          <w:p w14:paraId="735B5F20">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1.6</w:t>
            </w:r>
          </w:p>
        </w:tc>
        <w:tc>
          <w:tcPr>
            <w:tcW w:w="7054" w:type="dxa"/>
            <w:tcBorders>
              <w:right w:val="single" w:color="000000" w:sz="6" w:space="0"/>
            </w:tcBorders>
            <w:vAlign w:val="center"/>
          </w:tcPr>
          <w:p w14:paraId="09064676">
            <w:pPr>
              <w:keepLines w:val="0"/>
              <w:pageBreakBefore w:val="0"/>
              <w:widowControl w:val="0"/>
              <w:kinsoku/>
              <w:overflowPunct/>
              <w:topLinePunct w:val="0"/>
              <w:autoSpaceDE/>
              <w:autoSpaceDN/>
              <w:bidi w:val="0"/>
              <w:snapToGrid w:val="0"/>
              <w:spacing w:before="122"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4"/>
                <w:position w:val="1"/>
                <w:sz w:val="21"/>
                <w:szCs w:val="21"/>
                <w:highlight w:val="none"/>
              </w:rPr>
              <w:t>提前完工的奖金限额，规定为：</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u w:val="single"/>
              </w:rPr>
              <w:t>/</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4"/>
                <w:position w:val="1"/>
                <w:sz w:val="21"/>
                <w:szCs w:val="21"/>
                <w:highlight w:val="none"/>
              </w:rPr>
              <w:t>%签约合同</w:t>
            </w:r>
            <w:r>
              <w:rPr>
                <w:rFonts w:hint="eastAsia" w:ascii="宋体" w:hAnsi="宋体" w:eastAsia="宋体" w:cs="宋体"/>
                <w:color w:val="auto"/>
                <w:spacing w:val="2"/>
                <w:position w:val="1"/>
                <w:sz w:val="21"/>
                <w:szCs w:val="21"/>
                <w:highlight w:val="none"/>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BE8CBA9">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4</w:t>
            </w:r>
          </w:p>
        </w:tc>
        <w:tc>
          <w:tcPr>
            <w:tcW w:w="1384" w:type="dxa"/>
            <w:vAlign w:val="center"/>
          </w:tcPr>
          <w:p w14:paraId="596ACA97">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14.6</w:t>
            </w:r>
          </w:p>
        </w:tc>
        <w:tc>
          <w:tcPr>
            <w:tcW w:w="7054" w:type="dxa"/>
            <w:tcBorders>
              <w:right w:val="single" w:color="000000" w:sz="6" w:space="0"/>
            </w:tcBorders>
            <w:vAlign w:val="center"/>
          </w:tcPr>
          <w:p w14:paraId="01915B9A">
            <w:pPr>
              <w:keepLines w:val="0"/>
              <w:pageBreakBefore w:val="0"/>
              <w:widowControl w:val="0"/>
              <w:kinsoku/>
              <w:overflowPunct/>
              <w:topLinePunct w:val="0"/>
              <w:autoSpaceDE/>
              <w:autoSpaceDN/>
              <w:bidi w:val="0"/>
              <w:snapToGrid w:val="0"/>
              <w:spacing w:before="161"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14"/>
                <w:position w:val="15"/>
                <w:sz w:val="21"/>
                <w:szCs w:val="21"/>
                <w:highlight w:val="none"/>
              </w:rPr>
              <w:t>承</w:t>
            </w:r>
            <w:r>
              <w:rPr>
                <w:rFonts w:hint="eastAsia" w:ascii="宋体" w:hAnsi="宋体" w:eastAsia="宋体" w:cs="宋体"/>
                <w:color w:val="auto"/>
                <w:spacing w:val="12"/>
                <w:position w:val="15"/>
                <w:sz w:val="21"/>
                <w:szCs w:val="21"/>
                <w:highlight w:val="none"/>
              </w:rPr>
              <w:t>包人设立试验室的相关要求：必须满足《辽宁省公路水运工程建设项目工地试验室备案管理标准》(辽交工监市发〔2013〕133号)</w:t>
            </w:r>
            <w:r>
              <w:rPr>
                <w:rFonts w:hint="eastAsia" w:ascii="宋体" w:hAnsi="宋体" w:eastAsia="宋体" w:cs="宋体"/>
                <w:color w:val="auto"/>
                <w:spacing w:val="4"/>
                <w:sz w:val="21"/>
                <w:szCs w:val="21"/>
                <w:highlight w:val="none"/>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4B45929">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5</w:t>
            </w:r>
          </w:p>
        </w:tc>
        <w:tc>
          <w:tcPr>
            <w:tcW w:w="1384" w:type="dxa"/>
            <w:vAlign w:val="center"/>
          </w:tcPr>
          <w:p w14:paraId="5F049AB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5.2</w:t>
            </w:r>
          </w:p>
        </w:tc>
        <w:tc>
          <w:tcPr>
            <w:tcW w:w="7054" w:type="dxa"/>
            <w:tcBorders>
              <w:right w:val="single" w:color="000000" w:sz="6" w:space="0"/>
            </w:tcBorders>
            <w:vAlign w:val="center"/>
          </w:tcPr>
          <w:p w14:paraId="2A5831BB">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出</w:t>
            </w:r>
            <w:r>
              <w:rPr>
                <w:rFonts w:hint="eastAsia" w:ascii="宋体" w:hAnsi="宋体" w:eastAsia="宋体" w:cs="宋体"/>
                <w:color w:val="auto"/>
                <w:spacing w:val="18"/>
                <w:sz w:val="21"/>
                <w:szCs w:val="21"/>
                <w:highlight w:val="none"/>
              </w:rPr>
              <w:t>现</w:t>
            </w:r>
            <w:r>
              <w:rPr>
                <w:rFonts w:hint="eastAsia" w:ascii="宋体" w:hAnsi="宋体" w:eastAsia="宋体" w:cs="宋体"/>
                <w:color w:val="auto"/>
                <w:spacing w:val="11"/>
                <w:sz w:val="21"/>
                <w:szCs w:val="21"/>
                <w:highlight w:val="none"/>
              </w:rPr>
              <w:t>施工图设计文件本身存在错误和缺陷，导致施工图设计文件必须修改和补</w:t>
            </w:r>
            <w:r>
              <w:rPr>
                <w:rFonts w:hint="eastAsia" w:ascii="宋体" w:hAnsi="宋体" w:eastAsia="宋体" w:cs="宋体"/>
                <w:color w:val="auto"/>
                <w:spacing w:val="12"/>
                <w:sz w:val="21"/>
                <w:szCs w:val="21"/>
                <w:highlight w:val="none"/>
              </w:rPr>
              <w:t>充所导致的变更，仅当发包人对上述变更批准同意后，方可作为本合同工程的</w:t>
            </w:r>
            <w:r>
              <w:rPr>
                <w:rFonts w:hint="eastAsia" w:ascii="宋体" w:hAnsi="宋体" w:eastAsia="宋体" w:cs="宋体"/>
                <w:color w:val="auto"/>
                <w:spacing w:val="11"/>
                <w:sz w:val="21"/>
                <w:szCs w:val="21"/>
                <w:highlight w:val="none"/>
              </w:rPr>
              <w:t>变</w:t>
            </w:r>
            <w:r>
              <w:rPr>
                <w:rFonts w:hint="eastAsia" w:ascii="宋体" w:hAnsi="宋体" w:eastAsia="宋体" w:cs="宋体"/>
                <w:color w:val="auto"/>
                <w:spacing w:val="6"/>
                <w:sz w:val="21"/>
                <w:szCs w:val="21"/>
                <w:highlight w:val="none"/>
              </w:rPr>
              <w:t>更</w:t>
            </w:r>
            <w:r>
              <w:rPr>
                <w:rFonts w:hint="eastAsia" w:ascii="宋体" w:hAnsi="宋体" w:eastAsia="宋体" w:cs="宋体"/>
                <w:color w:val="auto"/>
                <w:spacing w:val="4"/>
                <w:sz w:val="21"/>
                <w:szCs w:val="21"/>
                <w:highlight w:val="none"/>
              </w:rPr>
              <w:t>情形。</w:t>
            </w:r>
          </w:p>
          <w:p w14:paraId="7911E231">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15"/>
                <w:sz w:val="21"/>
                <w:szCs w:val="21"/>
                <w:highlight w:val="none"/>
              </w:rPr>
              <w:t>在</w:t>
            </w:r>
            <w:r>
              <w:rPr>
                <w:rFonts w:hint="eastAsia" w:ascii="宋体" w:hAnsi="宋体" w:eastAsia="宋体" w:cs="宋体"/>
                <w:color w:val="auto"/>
                <w:spacing w:val="8"/>
                <w:sz w:val="21"/>
                <w:szCs w:val="21"/>
                <w:highlight w:val="none"/>
              </w:rPr>
              <w:t>履行合同过程中，经发包人同意，监理人可按第15.3款约定的变更程序向承</w:t>
            </w:r>
            <w:r>
              <w:rPr>
                <w:rFonts w:hint="eastAsia" w:ascii="宋体" w:hAnsi="宋体" w:eastAsia="宋体" w:cs="宋体"/>
                <w:color w:val="auto"/>
                <w:spacing w:val="14"/>
                <w:sz w:val="21"/>
                <w:szCs w:val="21"/>
                <w:highlight w:val="none"/>
              </w:rPr>
              <w:t>包</w:t>
            </w:r>
            <w:r>
              <w:rPr>
                <w:rFonts w:hint="eastAsia" w:ascii="宋体" w:hAnsi="宋体" w:eastAsia="宋体" w:cs="宋体"/>
                <w:color w:val="auto"/>
                <w:spacing w:val="12"/>
                <w:sz w:val="21"/>
                <w:szCs w:val="21"/>
                <w:highlight w:val="none"/>
              </w:rPr>
              <w:t>人作出变更指示，承包人应遵照执行。没有监理人的变更指示，承包人不得擅</w:t>
            </w:r>
            <w:r>
              <w:rPr>
                <w:rFonts w:hint="eastAsia" w:ascii="宋体" w:hAnsi="宋体" w:eastAsia="宋体" w:cs="宋体"/>
                <w:color w:val="auto"/>
                <w:spacing w:val="-5"/>
                <w:sz w:val="21"/>
                <w:szCs w:val="21"/>
                <w:highlight w:val="none"/>
              </w:rPr>
              <w:t>自</w:t>
            </w:r>
            <w:r>
              <w:rPr>
                <w:rFonts w:hint="eastAsia" w:ascii="宋体" w:hAnsi="宋体" w:eastAsia="宋体" w:cs="宋体"/>
                <w:color w:val="auto"/>
                <w:spacing w:val="-3"/>
                <w:sz w:val="21"/>
                <w:szCs w:val="21"/>
                <w:highlight w:val="none"/>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DF828C6">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6</w:t>
            </w:r>
          </w:p>
        </w:tc>
        <w:tc>
          <w:tcPr>
            <w:tcW w:w="1384" w:type="dxa"/>
            <w:vAlign w:val="center"/>
          </w:tcPr>
          <w:p w14:paraId="60F850C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15.3.4</w:t>
            </w:r>
          </w:p>
        </w:tc>
        <w:tc>
          <w:tcPr>
            <w:tcW w:w="7054" w:type="dxa"/>
            <w:tcBorders>
              <w:right w:val="single" w:color="000000" w:sz="6" w:space="0"/>
            </w:tcBorders>
            <w:vAlign w:val="center"/>
          </w:tcPr>
          <w:p w14:paraId="55630A09">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position w:val="14"/>
                <w:sz w:val="21"/>
                <w:szCs w:val="21"/>
                <w:highlight w:val="none"/>
              </w:rPr>
              <w:t>本</w:t>
            </w:r>
            <w:r>
              <w:rPr>
                <w:rFonts w:hint="eastAsia" w:ascii="宋体" w:hAnsi="宋体" w:eastAsia="宋体" w:cs="宋体"/>
                <w:color w:val="auto"/>
                <w:spacing w:val="11"/>
                <w:position w:val="14"/>
                <w:sz w:val="21"/>
                <w:szCs w:val="21"/>
                <w:highlight w:val="none"/>
              </w:rPr>
              <w:t>项</w:t>
            </w:r>
            <w:r>
              <w:rPr>
                <w:rFonts w:hint="eastAsia" w:ascii="宋体" w:hAnsi="宋体" w:eastAsia="宋体" w:cs="宋体"/>
                <w:color w:val="auto"/>
                <w:spacing w:val="9"/>
                <w:position w:val="14"/>
                <w:sz w:val="21"/>
                <w:szCs w:val="21"/>
                <w:highlight w:val="none"/>
              </w:rPr>
              <w:t>目设计变更的程序按行业主管部门、项目管理法人制定的规定执行。</w:t>
            </w:r>
          </w:p>
          <w:p w14:paraId="6B9A0938">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9"/>
                <w:sz w:val="21"/>
                <w:szCs w:val="21"/>
                <w:highlight w:val="none"/>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38315C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7</w:t>
            </w:r>
          </w:p>
        </w:tc>
        <w:tc>
          <w:tcPr>
            <w:tcW w:w="1384" w:type="dxa"/>
            <w:vAlign w:val="center"/>
          </w:tcPr>
          <w:p w14:paraId="01DE3935">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5.4</w:t>
            </w:r>
          </w:p>
        </w:tc>
        <w:tc>
          <w:tcPr>
            <w:tcW w:w="7054" w:type="dxa"/>
            <w:tcBorders>
              <w:right w:val="single" w:color="000000" w:sz="6" w:space="0"/>
            </w:tcBorders>
            <w:vAlign w:val="center"/>
          </w:tcPr>
          <w:p w14:paraId="09C5C616">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5"/>
                <w:sz w:val="21"/>
                <w:szCs w:val="21"/>
                <w:highlight w:val="none"/>
              </w:rPr>
              <w:t>5.4变更的估价原则</w:t>
            </w:r>
          </w:p>
          <w:p w14:paraId="1C526CF3">
            <w:pPr>
              <w:keepLines w:val="0"/>
              <w:pageBreakBefore w:val="0"/>
              <w:widowControl w:val="0"/>
              <w:kinsoku/>
              <w:overflowPunct/>
              <w:topLinePunct w:val="0"/>
              <w:autoSpaceDE/>
              <w:autoSpaceDN/>
              <w:bidi w:val="0"/>
              <w:snapToGrid w:val="0"/>
              <w:spacing w:before="155"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w:t>
            </w:r>
            <w:r>
              <w:rPr>
                <w:rFonts w:hint="eastAsia" w:ascii="宋体" w:hAnsi="宋体" w:eastAsia="宋体" w:cs="宋体"/>
                <w:color w:val="auto"/>
                <w:spacing w:val="6"/>
                <w:sz w:val="21"/>
                <w:szCs w:val="21"/>
                <w:highlight w:val="none"/>
              </w:rPr>
              <w:t>款细化为：</w:t>
            </w:r>
          </w:p>
          <w:p w14:paraId="30D46B6A">
            <w:pPr>
              <w:keepLines w:val="0"/>
              <w:pageBreakBefore w:val="0"/>
              <w:widowControl w:val="0"/>
              <w:kinsoku/>
              <w:overflowPunct/>
              <w:topLinePunct w:val="0"/>
              <w:autoSpaceDE/>
              <w:autoSpaceDN/>
              <w:bidi w:val="0"/>
              <w:snapToGrid w:val="0"/>
              <w:spacing w:before="154"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15</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4.1如果取消某项工作，则该项工作的总额价不予支付。</w:t>
            </w:r>
          </w:p>
          <w:p w14:paraId="68A4817D">
            <w:pPr>
              <w:keepLines w:val="0"/>
              <w:pageBreakBefore w:val="0"/>
              <w:widowControl w:val="0"/>
              <w:kinsoku/>
              <w:overflowPunct/>
              <w:topLinePunct w:val="0"/>
              <w:autoSpaceDE/>
              <w:autoSpaceDN/>
              <w:bidi w:val="0"/>
              <w:snapToGrid w:val="0"/>
              <w:spacing w:before="15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15.4.2已标价工程量清单中有适用于变更工作的子目的，采用该子目的单价</w:t>
            </w:r>
            <w:r>
              <w:rPr>
                <w:rFonts w:hint="eastAsia" w:ascii="宋体" w:hAnsi="宋体" w:eastAsia="宋体" w:cs="宋体"/>
                <w:color w:val="auto"/>
                <w:sz w:val="21"/>
                <w:szCs w:val="21"/>
                <w:highlight w:val="none"/>
              </w:rPr>
              <w:t>。</w:t>
            </w:r>
          </w:p>
          <w:p w14:paraId="7D7D91F1">
            <w:pPr>
              <w:keepLines w:val="0"/>
              <w:pageBreakBefore w:val="0"/>
              <w:widowControl w:val="0"/>
              <w:kinsoku/>
              <w:overflowPunct/>
              <w:topLinePunct w:val="0"/>
              <w:autoSpaceDE/>
              <w:autoSpaceDN/>
              <w:bidi w:val="0"/>
              <w:snapToGrid w:val="0"/>
              <w:spacing w:before="156"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1</w:t>
            </w:r>
            <w:r>
              <w:rPr>
                <w:rFonts w:hint="eastAsia" w:ascii="宋体" w:hAnsi="宋体" w:eastAsia="宋体" w:cs="宋体"/>
                <w:color w:val="auto"/>
                <w:spacing w:val="14"/>
                <w:sz w:val="21"/>
                <w:szCs w:val="21"/>
                <w:highlight w:val="none"/>
              </w:rPr>
              <w:t>5</w:t>
            </w:r>
            <w:r>
              <w:rPr>
                <w:rFonts w:hint="eastAsia" w:ascii="宋体" w:hAnsi="宋体" w:eastAsia="宋体" w:cs="宋体"/>
                <w:color w:val="auto"/>
                <w:spacing w:val="9"/>
                <w:sz w:val="21"/>
                <w:szCs w:val="21"/>
                <w:highlight w:val="none"/>
              </w:rPr>
              <w:t>.4.3已标价工程量清单中无适用于变更工作的子目，但有类似子目的，可在</w:t>
            </w:r>
            <w:r>
              <w:rPr>
                <w:rFonts w:hint="eastAsia" w:ascii="宋体" w:hAnsi="宋体" w:eastAsia="宋体" w:cs="宋体"/>
                <w:color w:val="auto"/>
                <w:spacing w:val="15"/>
                <w:sz w:val="21"/>
                <w:szCs w:val="21"/>
                <w:highlight w:val="none"/>
              </w:rPr>
              <w:t>合</w:t>
            </w:r>
            <w:r>
              <w:rPr>
                <w:rFonts w:hint="eastAsia" w:ascii="宋体" w:hAnsi="宋体" w:eastAsia="宋体" w:cs="宋体"/>
                <w:color w:val="auto"/>
                <w:spacing w:val="8"/>
                <w:sz w:val="21"/>
                <w:szCs w:val="21"/>
                <w:highlight w:val="none"/>
              </w:rPr>
              <w:t>理范围内参照类似子目的单价，由监理人按第3.5款商定或确定变更工作的单</w:t>
            </w:r>
            <w:r>
              <w:rPr>
                <w:rFonts w:hint="eastAsia" w:ascii="宋体" w:hAnsi="宋体" w:eastAsia="宋体" w:cs="宋体"/>
                <w:color w:val="auto"/>
                <w:sz w:val="21"/>
                <w:szCs w:val="21"/>
                <w:highlight w:val="none"/>
              </w:rPr>
              <w:t>价。</w:t>
            </w:r>
          </w:p>
          <w:p w14:paraId="0870E032">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1</w:t>
            </w:r>
            <w:r>
              <w:rPr>
                <w:rFonts w:hint="eastAsia" w:ascii="宋体" w:hAnsi="宋体" w:eastAsia="宋体" w:cs="宋体"/>
                <w:color w:val="auto"/>
                <w:spacing w:val="14"/>
                <w:sz w:val="21"/>
                <w:szCs w:val="21"/>
                <w:highlight w:val="none"/>
              </w:rPr>
              <w:t>5</w:t>
            </w:r>
            <w:r>
              <w:rPr>
                <w:rFonts w:hint="eastAsia" w:ascii="宋体" w:hAnsi="宋体" w:eastAsia="宋体" w:cs="宋体"/>
                <w:color w:val="auto"/>
                <w:spacing w:val="9"/>
                <w:sz w:val="21"/>
                <w:szCs w:val="21"/>
                <w:highlight w:val="none"/>
              </w:rPr>
              <w:t>.4.4已标价工程量清单中无适用或类似子目的单价，可在综合考虑承包人在</w:t>
            </w:r>
            <w:r>
              <w:rPr>
                <w:rFonts w:hint="eastAsia" w:ascii="宋体" w:hAnsi="宋体" w:eastAsia="宋体" w:cs="宋体"/>
                <w:color w:val="auto"/>
                <w:spacing w:val="13"/>
                <w:sz w:val="21"/>
                <w:szCs w:val="21"/>
                <w:highlight w:val="none"/>
              </w:rPr>
              <w:t>投</w:t>
            </w:r>
            <w:r>
              <w:rPr>
                <w:rFonts w:hint="eastAsia" w:ascii="宋体" w:hAnsi="宋体" w:eastAsia="宋体" w:cs="宋体"/>
                <w:color w:val="auto"/>
                <w:spacing w:val="12"/>
                <w:sz w:val="21"/>
                <w:szCs w:val="21"/>
                <w:highlight w:val="none"/>
              </w:rPr>
              <w:t>标时所提供的单价分析表的基础上，参照《公路工程建设项目概算预算编制办</w:t>
            </w:r>
            <w:r>
              <w:rPr>
                <w:rFonts w:hint="eastAsia" w:ascii="宋体" w:hAnsi="宋体" w:eastAsia="宋体" w:cs="宋体"/>
                <w:color w:val="auto"/>
                <w:spacing w:val="10"/>
                <w:sz w:val="21"/>
                <w:szCs w:val="21"/>
                <w:highlight w:val="none"/>
              </w:rPr>
              <w:t>法》和《</w:t>
            </w:r>
            <w:r>
              <w:rPr>
                <w:rFonts w:hint="eastAsia" w:ascii="宋体" w:hAnsi="宋体" w:eastAsia="宋体" w:cs="宋体"/>
                <w:color w:val="auto"/>
                <w:spacing w:val="9"/>
                <w:sz w:val="21"/>
                <w:szCs w:val="21"/>
                <w:highlight w:val="none"/>
              </w:rPr>
              <w:t>公</w:t>
            </w:r>
            <w:r>
              <w:rPr>
                <w:rFonts w:hint="eastAsia" w:ascii="宋体" w:hAnsi="宋体" w:eastAsia="宋体" w:cs="宋体"/>
                <w:color w:val="auto"/>
                <w:spacing w:val="5"/>
                <w:sz w:val="21"/>
                <w:szCs w:val="21"/>
                <w:highlight w:val="none"/>
              </w:rPr>
              <w:t>路工程预算定额》进行计算，由监理人按第3.5款商定或确定变更工作</w:t>
            </w:r>
            <w:r>
              <w:rPr>
                <w:rFonts w:hint="eastAsia" w:ascii="宋体" w:hAnsi="宋体" w:eastAsia="宋体" w:cs="宋体"/>
                <w:color w:val="auto"/>
                <w:spacing w:val="15"/>
                <w:sz w:val="21"/>
                <w:szCs w:val="21"/>
                <w:highlight w:val="none"/>
              </w:rPr>
              <w:t>的</w:t>
            </w:r>
            <w:r>
              <w:rPr>
                <w:rFonts w:hint="eastAsia" w:ascii="宋体" w:hAnsi="宋体" w:eastAsia="宋体" w:cs="宋体"/>
                <w:color w:val="auto"/>
                <w:spacing w:val="8"/>
                <w:sz w:val="21"/>
                <w:szCs w:val="21"/>
                <w:highlight w:val="none"/>
              </w:rPr>
              <w:t>单价，变更单价不计取利润。</w:t>
            </w:r>
          </w:p>
          <w:p w14:paraId="5FEC3E38">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18"/>
                <w:position w:val="14"/>
                <w:sz w:val="21"/>
                <w:szCs w:val="21"/>
                <w:highlight w:val="none"/>
              </w:rPr>
              <w:t>1</w:t>
            </w:r>
            <w:r>
              <w:rPr>
                <w:rFonts w:hint="eastAsia" w:ascii="宋体" w:hAnsi="宋体" w:eastAsia="宋体" w:cs="宋体"/>
                <w:color w:val="auto"/>
                <w:spacing w:val="14"/>
                <w:position w:val="14"/>
                <w:sz w:val="21"/>
                <w:szCs w:val="21"/>
                <w:highlight w:val="none"/>
              </w:rPr>
              <w:t>5</w:t>
            </w:r>
            <w:r>
              <w:rPr>
                <w:rFonts w:hint="eastAsia" w:ascii="宋体" w:hAnsi="宋体" w:eastAsia="宋体" w:cs="宋体"/>
                <w:color w:val="auto"/>
                <w:spacing w:val="9"/>
                <w:position w:val="14"/>
                <w:sz w:val="21"/>
                <w:szCs w:val="21"/>
                <w:highlight w:val="none"/>
              </w:rPr>
              <w:t>.4.5如果本工程的变更指示是因承包人过错、承包人违反合同或承包人责任造成的，则这种违约引起的任何额外费用应由承包人承担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2F2057E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8</w:t>
            </w:r>
          </w:p>
        </w:tc>
        <w:tc>
          <w:tcPr>
            <w:tcW w:w="1384" w:type="dxa"/>
            <w:vAlign w:val="center"/>
          </w:tcPr>
          <w:p w14:paraId="3422C59B">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15.5.2</w:t>
            </w:r>
          </w:p>
        </w:tc>
        <w:tc>
          <w:tcPr>
            <w:tcW w:w="7054" w:type="dxa"/>
            <w:tcBorders>
              <w:right w:val="single" w:color="000000" w:sz="6" w:space="0"/>
            </w:tcBorders>
            <w:vAlign w:val="center"/>
          </w:tcPr>
          <w:p w14:paraId="1F53DD10">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14"/>
                <w:sz w:val="21"/>
                <w:szCs w:val="21"/>
                <w:highlight w:val="none"/>
              </w:rPr>
              <w:t>承</w:t>
            </w:r>
            <w:r>
              <w:rPr>
                <w:rFonts w:hint="eastAsia" w:ascii="宋体" w:hAnsi="宋体" w:eastAsia="宋体" w:cs="宋体"/>
                <w:color w:val="auto"/>
                <w:spacing w:val="12"/>
                <w:sz w:val="21"/>
                <w:szCs w:val="21"/>
                <w:highlight w:val="none"/>
              </w:rPr>
              <w:t>包人提出的合理化建议降低了合同价格或者提高了工程经济效益的，发包人按所节</w:t>
            </w:r>
            <w:r>
              <w:rPr>
                <w:rFonts w:hint="eastAsia" w:ascii="宋体" w:hAnsi="宋体" w:eastAsia="宋体" w:cs="宋体"/>
                <w:color w:val="auto"/>
                <w:spacing w:val="8"/>
                <w:sz w:val="21"/>
                <w:szCs w:val="21"/>
                <w:highlight w:val="none"/>
              </w:rPr>
              <w:t>约</w:t>
            </w:r>
            <w:r>
              <w:rPr>
                <w:rFonts w:hint="eastAsia" w:ascii="宋体" w:hAnsi="宋体" w:eastAsia="宋体" w:cs="宋体"/>
                <w:color w:val="auto"/>
                <w:spacing w:val="6"/>
                <w:sz w:val="21"/>
                <w:szCs w:val="21"/>
                <w:highlight w:val="none"/>
              </w:rPr>
              <w:t>成本的</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u w:val="single"/>
              </w:rPr>
              <w:t>/</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%或增加收益的</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u w:val="single"/>
              </w:rPr>
              <w:t>/</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4DD947B1">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9</w:t>
            </w:r>
          </w:p>
        </w:tc>
        <w:tc>
          <w:tcPr>
            <w:tcW w:w="1384" w:type="dxa"/>
            <w:vAlign w:val="center"/>
          </w:tcPr>
          <w:p w14:paraId="2C3ACEFF">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7"/>
                <w:sz w:val="21"/>
                <w:szCs w:val="21"/>
                <w:highlight w:val="none"/>
              </w:rPr>
              <w:t>6.1</w:t>
            </w:r>
          </w:p>
        </w:tc>
        <w:tc>
          <w:tcPr>
            <w:tcW w:w="7054" w:type="dxa"/>
            <w:tcBorders>
              <w:right w:val="single" w:color="000000" w:sz="6" w:space="0"/>
            </w:tcBorders>
            <w:vAlign w:val="center"/>
          </w:tcPr>
          <w:p w14:paraId="01F3035F">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u w:val="none" w:color="auto"/>
              </w:rPr>
              <w:sym w:font="Wingdings 2" w:char="00A3"/>
            </w:r>
            <w:r>
              <w:rPr>
                <w:rFonts w:hint="eastAsia" w:ascii="宋体" w:hAnsi="宋体" w:eastAsia="宋体" w:cs="宋体"/>
                <w:color w:val="auto"/>
                <w:spacing w:val="7"/>
                <w:sz w:val="21"/>
                <w:szCs w:val="21"/>
                <w:highlight w:val="none"/>
              </w:rPr>
              <w:t>因物价波动引起的价格调整按照</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position w:val="1"/>
                <w:sz w:val="21"/>
                <w:szCs w:val="21"/>
                <w:highlight w:val="none"/>
                <w:u w:val="single"/>
              </w:rPr>
              <w:t>/</w:t>
            </w:r>
            <w:r>
              <w:rPr>
                <w:rFonts w:hint="eastAsia" w:ascii="宋体" w:hAnsi="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7"/>
                <w:sz w:val="21"/>
                <w:szCs w:val="21"/>
                <w:highlight w:val="none"/>
              </w:rPr>
              <w:t>约定的原则处理</w:t>
            </w:r>
          </w:p>
          <w:p w14:paraId="2646DAEF">
            <w:pPr>
              <w:keepLines w:val="0"/>
              <w:pageBreakBefore w:val="0"/>
              <w:widowControl w:val="0"/>
              <w:kinsoku/>
              <w:overflowPunct/>
              <w:topLinePunct w:val="0"/>
              <w:autoSpaceDE/>
              <w:autoSpaceDN/>
              <w:bidi w:val="0"/>
              <w:snapToGrid w:val="0"/>
              <w:spacing w:before="79"/>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b/>
                <w:bCs/>
                <w:color w:val="auto"/>
                <w:spacing w:val="11"/>
                <w:sz w:val="21"/>
                <w:szCs w:val="21"/>
                <w:highlight w:val="none"/>
                <w:u w:val="none" w:color="auto"/>
              </w:rPr>
              <w:sym w:font="Wingdings 2" w:char="0052"/>
            </w:r>
            <w:r>
              <w:rPr>
                <w:rFonts w:hint="eastAsia" w:ascii="宋体" w:hAnsi="宋体" w:eastAsia="宋体" w:cs="宋体"/>
                <w:b/>
                <w:bCs/>
                <w:color w:val="auto"/>
                <w:sz w:val="21"/>
                <w:szCs w:val="21"/>
                <w:highlight w:val="none"/>
              </w:rPr>
              <w:t>合同期内不调价</w:t>
            </w:r>
            <w:r>
              <w:rPr>
                <w:rStyle w:val="48"/>
                <w:rFonts w:hint="eastAsia" w:ascii="宋体" w:hAnsi="宋体" w:eastAsia="宋体" w:cs="宋体"/>
                <w:b/>
                <w:bCs/>
                <w:color w:val="auto"/>
                <w:sz w:val="21"/>
                <w:szCs w:val="21"/>
                <w:highlight w:val="none"/>
              </w:rPr>
              <w:footnoteReference w:id="35"/>
            </w:r>
            <w:r>
              <w:rPr>
                <w:rFonts w:hint="eastAsia" w:ascii="宋体" w:hAnsi="宋体" w:eastAsia="宋体" w:cs="宋体"/>
                <w:b/>
                <w:bCs/>
                <w:color w:val="auto"/>
                <w:spacing w:val="9"/>
                <w:sz w:val="21"/>
                <w:szCs w:val="21"/>
                <w:highlight w:val="none"/>
              </w:rPr>
              <w:t>，因物价波动引起的价格调整本合同不予考虑。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2E18350E">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z w:val="21"/>
                <w:szCs w:val="21"/>
                <w:highlight w:val="none"/>
              </w:rPr>
              <w:t>0</w:t>
            </w:r>
          </w:p>
        </w:tc>
        <w:tc>
          <w:tcPr>
            <w:tcW w:w="1384" w:type="dxa"/>
            <w:vAlign w:val="center"/>
          </w:tcPr>
          <w:p w14:paraId="5191ADEA">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2"/>
                <w:sz w:val="21"/>
                <w:szCs w:val="21"/>
                <w:highlight w:val="none"/>
              </w:rPr>
              <w:t>6.3</w:t>
            </w:r>
          </w:p>
        </w:tc>
        <w:tc>
          <w:tcPr>
            <w:tcW w:w="7054" w:type="dxa"/>
            <w:tcBorders>
              <w:right w:val="single" w:color="000000" w:sz="6" w:space="0"/>
            </w:tcBorders>
            <w:vAlign w:val="center"/>
          </w:tcPr>
          <w:p w14:paraId="3BF2F735">
            <w:pPr>
              <w:keepLines w:val="0"/>
              <w:pageBreakBefore w:val="0"/>
              <w:widowControl w:val="0"/>
              <w:kinsoku/>
              <w:overflowPunct/>
              <w:topLinePunct w:val="0"/>
              <w:autoSpaceDE/>
              <w:autoSpaceDN/>
              <w:bidi w:val="0"/>
              <w:snapToGrid w:val="0"/>
              <w:spacing w:before="148" w:line="240" w:lineRule="auto"/>
              <w:ind w:left="105" w:leftChars="50" w:right="283" w:rightChars="0" w:firstLine="0" w:firstLineChars="0"/>
              <w:jc w:val="left"/>
              <w:textAlignment w:val="auto"/>
              <w:rPr>
                <w:rFonts w:hint="eastAsia" w:ascii="宋体" w:hAnsi="宋体" w:eastAsia="宋体" w:cs="宋体"/>
                <w:color w:val="auto"/>
                <w:spacing w:val="10"/>
                <w:position w:val="1"/>
                <w:sz w:val="21"/>
                <w:szCs w:val="21"/>
                <w:highlight w:val="none"/>
              </w:rPr>
            </w:pPr>
            <w:r>
              <w:rPr>
                <w:rFonts w:hint="eastAsia" w:ascii="宋体" w:hAnsi="宋体" w:eastAsia="宋体" w:cs="宋体"/>
                <w:color w:val="auto"/>
                <w:spacing w:val="22"/>
                <w:sz w:val="21"/>
                <w:szCs w:val="21"/>
                <w:highlight w:val="none"/>
              </w:rPr>
              <w:t>除非</w:t>
            </w:r>
            <w:r>
              <w:rPr>
                <w:rFonts w:hint="eastAsia" w:ascii="宋体" w:hAnsi="宋体" w:eastAsia="宋体" w:cs="宋体"/>
                <w:color w:val="auto"/>
                <w:spacing w:val="13"/>
                <w:sz w:val="21"/>
                <w:szCs w:val="21"/>
                <w:highlight w:val="none"/>
              </w:rPr>
              <w:t>发</w:t>
            </w:r>
            <w:r>
              <w:rPr>
                <w:rFonts w:hint="eastAsia" w:ascii="宋体" w:hAnsi="宋体" w:eastAsia="宋体" w:cs="宋体"/>
                <w:color w:val="auto"/>
                <w:spacing w:val="11"/>
                <w:sz w:val="21"/>
                <w:szCs w:val="21"/>
                <w:highlight w:val="none"/>
              </w:rPr>
              <w:t>包人和监理人专门批准，如果本工程技术规范和图纸标准低于国家和行</w:t>
            </w:r>
            <w:r>
              <w:rPr>
                <w:rFonts w:hint="eastAsia" w:ascii="宋体" w:hAnsi="宋体" w:eastAsia="宋体" w:cs="宋体"/>
                <w:color w:val="auto"/>
                <w:spacing w:val="14"/>
                <w:sz w:val="21"/>
                <w:szCs w:val="21"/>
                <w:highlight w:val="none"/>
              </w:rPr>
              <w:t>业</w:t>
            </w:r>
            <w:r>
              <w:rPr>
                <w:rFonts w:hint="eastAsia" w:ascii="宋体" w:hAnsi="宋体" w:eastAsia="宋体" w:cs="宋体"/>
                <w:color w:val="auto"/>
                <w:spacing w:val="12"/>
                <w:sz w:val="21"/>
                <w:szCs w:val="21"/>
                <w:highlight w:val="none"/>
              </w:rPr>
              <w:t>标准，则应按国家和行业标准执行，承包人由此增加的费用，发包人不另行计</w:t>
            </w:r>
            <w:r>
              <w:rPr>
                <w:rFonts w:hint="eastAsia" w:ascii="宋体" w:hAnsi="宋体" w:eastAsia="宋体" w:cs="宋体"/>
                <w:color w:val="auto"/>
                <w:spacing w:val="5"/>
                <w:sz w:val="21"/>
                <w:szCs w:val="21"/>
                <w:highlight w:val="none"/>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582FD9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val="en-US" w:eastAsia="zh-CN"/>
              </w:rPr>
              <w:t>1</w:t>
            </w:r>
          </w:p>
        </w:tc>
        <w:tc>
          <w:tcPr>
            <w:tcW w:w="1384" w:type="dxa"/>
            <w:vAlign w:val="center"/>
          </w:tcPr>
          <w:p w14:paraId="59643150">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7.1.3</w:t>
            </w:r>
          </w:p>
        </w:tc>
        <w:tc>
          <w:tcPr>
            <w:tcW w:w="7054" w:type="dxa"/>
            <w:tcBorders>
              <w:right w:val="single" w:color="000000" w:sz="6" w:space="0"/>
            </w:tcBorders>
            <w:vAlign w:val="center"/>
          </w:tcPr>
          <w:p w14:paraId="7D3794B5">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pacing w:val="22"/>
                <w:sz w:val="21"/>
                <w:szCs w:val="21"/>
                <w:highlight w:val="none"/>
              </w:rPr>
            </w:pPr>
            <w:r>
              <w:rPr>
                <w:rFonts w:hint="eastAsia" w:ascii="宋体" w:hAnsi="宋体" w:eastAsia="宋体" w:cs="宋体"/>
                <w:color w:val="auto"/>
                <w:spacing w:val="14"/>
                <w:position w:val="14"/>
                <w:sz w:val="21"/>
                <w:szCs w:val="21"/>
                <w:highlight w:val="none"/>
              </w:rPr>
              <w:t>单</w:t>
            </w:r>
            <w:r>
              <w:rPr>
                <w:rFonts w:hint="eastAsia" w:ascii="宋体" w:hAnsi="宋体" w:eastAsia="宋体" w:cs="宋体"/>
                <w:color w:val="auto"/>
                <w:spacing w:val="11"/>
                <w:position w:val="14"/>
                <w:sz w:val="21"/>
                <w:szCs w:val="21"/>
                <w:highlight w:val="none"/>
              </w:rPr>
              <w:t>价</w:t>
            </w:r>
            <w:r>
              <w:rPr>
                <w:rFonts w:hint="eastAsia" w:ascii="宋体" w:hAnsi="宋体" w:eastAsia="宋体" w:cs="宋体"/>
                <w:color w:val="auto"/>
                <w:spacing w:val="7"/>
                <w:position w:val="14"/>
                <w:sz w:val="21"/>
                <w:szCs w:val="21"/>
                <w:highlight w:val="none"/>
              </w:rPr>
              <w:t>子目已完成工程量按月计量，总价子目按第17.1.5项(总价子目的计量)计量后，汇入当月计量。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050F2F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z w:val="21"/>
                <w:szCs w:val="21"/>
                <w:highlight w:val="none"/>
                <w:lang w:val="en-US" w:eastAsia="zh-CN"/>
              </w:rPr>
              <w:t>2</w:t>
            </w:r>
          </w:p>
        </w:tc>
        <w:tc>
          <w:tcPr>
            <w:tcW w:w="1384" w:type="dxa"/>
            <w:vAlign w:val="center"/>
          </w:tcPr>
          <w:p w14:paraId="33675F78">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7.1.4</w:t>
            </w:r>
          </w:p>
        </w:tc>
        <w:tc>
          <w:tcPr>
            <w:tcW w:w="7054" w:type="dxa"/>
            <w:tcBorders>
              <w:right w:val="single" w:color="000000" w:sz="6" w:space="0"/>
            </w:tcBorders>
            <w:vAlign w:val="center"/>
          </w:tcPr>
          <w:p w14:paraId="2604CA63">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17.1.4</w:t>
            </w:r>
            <w:r>
              <w:rPr>
                <w:rFonts w:hint="eastAsia" w:ascii="宋体" w:hAnsi="宋体" w:eastAsia="宋体" w:cs="宋体"/>
                <w:color w:val="auto"/>
                <w:spacing w:val="1"/>
                <w:sz w:val="21"/>
                <w:szCs w:val="21"/>
                <w:highlight w:val="none"/>
              </w:rPr>
              <w:t>单价子目的计量</w:t>
            </w:r>
            <w:r>
              <w:rPr>
                <w:rFonts w:hint="eastAsia" w:ascii="宋体" w:hAnsi="宋体" w:eastAsia="宋体" w:cs="宋体"/>
                <w:color w:val="auto"/>
                <w:spacing w:val="9"/>
                <w:sz w:val="21"/>
                <w:szCs w:val="21"/>
                <w:highlight w:val="none"/>
              </w:rPr>
              <w:t>本</w:t>
            </w:r>
            <w:r>
              <w:rPr>
                <w:rFonts w:hint="eastAsia" w:ascii="宋体" w:hAnsi="宋体" w:eastAsia="宋体" w:cs="宋体"/>
                <w:color w:val="auto"/>
                <w:spacing w:val="6"/>
                <w:sz w:val="21"/>
                <w:szCs w:val="21"/>
                <w:highlight w:val="none"/>
              </w:rPr>
              <w:t>项约定为：</w:t>
            </w:r>
          </w:p>
          <w:p w14:paraId="73085F40">
            <w:pPr>
              <w:keepLines w:val="0"/>
              <w:pageBreakBefore w:val="0"/>
              <w:widowControl w:val="0"/>
              <w:kinsoku/>
              <w:overflowPunct/>
              <w:topLinePunct w:val="0"/>
              <w:autoSpaceDE/>
              <w:autoSpaceDN/>
              <w:bidi w:val="0"/>
              <w:snapToGrid w:val="0"/>
              <w:spacing w:before="154"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1)已标价工程量清单中的单价子目工程量为估算工程量。结算工程量是承包</w:t>
            </w:r>
            <w:r>
              <w:rPr>
                <w:rFonts w:hint="eastAsia" w:ascii="宋体" w:hAnsi="宋体" w:eastAsia="宋体" w:cs="宋体"/>
                <w:color w:val="auto"/>
                <w:spacing w:val="13"/>
                <w:sz w:val="21"/>
                <w:szCs w:val="21"/>
                <w:highlight w:val="none"/>
              </w:rPr>
              <w:t>人</w:t>
            </w:r>
            <w:r>
              <w:rPr>
                <w:rFonts w:hint="eastAsia" w:ascii="宋体" w:hAnsi="宋体" w:eastAsia="宋体" w:cs="宋体"/>
                <w:color w:val="auto"/>
                <w:spacing w:val="9"/>
                <w:sz w:val="21"/>
                <w:szCs w:val="21"/>
                <w:highlight w:val="none"/>
              </w:rPr>
              <w:t>实际完成的，并按合同约定的计量方法进行计量的工程量。</w:t>
            </w:r>
          </w:p>
          <w:p w14:paraId="63D2E7B2">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2)承包人对已完成的工程进行计量，向监理人提交进度付款申请单、已完成工</w:t>
            </w:r>
            <w:r>
              <w:rPr>
                <w:rFonts w:hint="eastAsia" w:ascii="宋体" w:hAnsi="宋体" w:eastAsia="宋体" w:cs="宋体"/>
                <w:color w:val="auto"/>
                <w:spacing w:val="8"/>
                <w:sz w:val="21"/>
                <w:szCs w:val="21"/>
                <w:highlight w:val="none"/>
              </w:rPr>
              <w:t>程量报表和有关计量资料。</w:t>
            </w:r>
          </w:p>
          <w:p w14:paraId="1E5D85C1">
            <w:pPr>
              <w:keepLines w:val="0"/>
              <w:pageBreakBefore w:val="0"/>
              <w:widowControl w:val="0"/>
              <w:kinsoku/>
              <w:overflowPunct/>
              <w:topLinePunct w:val="0"/>
              <w:autoSpaceDE/>
              <w:autoSpaceDN/>
              <w:bidi w:val="0"/>
              <w:snapToGrid w:val="0"/>
              <w:spacing w:before="3"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1"/>
                <w:sz w:val="21"/>
                <w:szCs w:val="21"/>
                <w:highlight w:val="none"/>
              </w:rPr>
              <w:t>3)监理人对承包人提交的工程量报表进行复核，以确定实际完成的工程量。</w:t>
            </w:r>
            <w:r>
              <w:rPr>
                <w:rFonts w:hint="eastAsia" w:ascii="宋体" w:hAnsi="宋体" w:eastAsia="宋体" w:cs="宋体"/>
                <w:color w:val="auto"/>
                <w:spacing w:val="10"/>
                <w:sz w:val="21"/>
                <w:szCs w:val="21"/>
                <w:highlight w:val="none"/>
              </w:rPr>
              <w:t>对数量有异</w:t>
            </w:r>
            <w:r>
              <w:rPr>
                <w:rFonts w:hint="eastAsia" w:ascii="宋体" w:hAnsi="宋体" w:eastAsia="宋体" w:cs="宋体"/>
                <w:color w:val="auto"/>
                <w:spacing w:val="5"/>
                <w:sz w:val="21"/>
                <w:szCs w:val="21"/>
                <w:highlight w:val="none"/>
              </w:rPr>
              <w:t>议的，可要求承包人按第8.2款约定进行共同复核和抽样复测。承包人</w:t>
            </w:r>
            <w:r>
              <w:rPr>
                <w:rFonts w:hint="eastAsia" w:ascii="宋体" w:hAnsi="宋体" w:eastAsia="宋体" w:cs="宋体"/>
                <w:color w:val="auto"/>
                <w:spacing w:val="14"/>
                <w:sz w:val="21"/>
                <w:szCs w:val="21"/>
                <w:highlight w:val="none"/>
              </w:rPr>
              <w:t>应</w:t>
            </w:r>
            <w:r>
              <w:rPr>
                <w:rFonts w:hint="eastAsia" w:ascii="宋体" w:hAnsi="宋体" w:eastAsia="宋体" w:cs="宋体"/>
                <w:color w:val="auto"/>
                <w:spacing w:val="12"/>
                <w:sz w:val="21"/>
                <w:szCs w:val="21"/>
                <w:highlight w:val="none"/>
              </w:rPr>
              <w:t>协助监理人进行复核并按监理人要求提供补充计量资料。承包人未按监理人要</w:t>
            </w:r>
            <w:r>
              <w:rPr>
                <w:rFonts w:hint="eastAsia" w:ascii="宋体" w:hAnsi="宋体" w:eastAsia="宋体" w:cs="宋体"/>
                <w:color w:val="auto"/>
                <w:spacing w:val="18"/>
                <w:sz w:val="21"/>
                <w:szCs w:val="21"/>
                <w:highlight w:val="none"/>
              </w:rPr>
              <w:t>求</w:t>
            </w:r>
            <w:r>
              <w:rPr>
                <w:rFonts w:hint="eastAsia" w:ascii="宋体" w:hAnsi="宋体" w:eastAsia="宋体" w:cs="宋体"/>
                <w:color w:val="auto"/>
                <w:spacing w:val="13"/>
                <w:sz w:val="21"/>
                <w:szCs w:val="21"/>
                <w:highlight w:val="none"/>
              </w:rPr>
              <w:t>参</w:t>
            </w:r>
            <w:r>
              <w:rPr>
                <w:rFonts w:hint="eastAsia" w:ascii="宋体" w:hAnsi="宋体" w:eastAsia="宋体" w:cs="宋体"/>
                <w:color w:val="auto"/>
                <w:spacing w:val="9"/>
                <w:sz w:val="21"/>
                <w:szCs w:val="21"/>
                <w:highlight w:val="none"/>
              </w:rPr>
              <w:t>加复核，监理人复核或修正的工程量视为承包人实际完成的工程量。</w:t>
            </w:r>
          </w:p>
          <w:p w14:paraId="31C156A6">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4)监理人认为有必要时，可通知承包人共同进行联合测量、计量，承包人应</w:t>
            </w:r>
            <w:r>
              <w:rPr>
                <w:rFonts w:hint="eastAsia" w:ascii="宋体" w:hAnsi="宋体" w:eastAsia="宋体" w:cs="宋体"/>
                <w:color w:val="auto"/>
                <w:spacing w:val="6"/>
                <w:sz w:val="21"/>
                <w:szCs w:val="21"/>
                <w:highlight w:val="none"/>
              </w:rPr>
              <w:t>遵照执行。</w:t>
            </w:r>
          </w:p>
          <w:p w14:paraId="313C2343">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5)承包人完成工程量清单中每个子目的工程量后，监理人应要求承包人派员</w:t>
            </w:r>
            <w:r>
              <w:rPr>
                <w:rFonts w:hint="eastAsia" w:ascii="宋体" w:hAnsi="宋体" w:eastAsia="宋体" w:cs="宋体"/>
                <w:color w:val="auto"/>
                <w:spacing w:val="9"/>
                <w:sz w:val="21"/>
                <w:szCs w:val="21"/>
                <w:highlight w:val="none"/>
              </w:rPr>
              <w:t>共同对每个子目的历次计量报表进行汇总，以核实最终结算工程量。监理人可</w:t>
            </w:r>
            <w:r>
              <w:rPr>
                <w:rFonts w:hint="eastAsia" w:ascii="宋体" w:hAnsi="宋体" w:eastAsia="宋体" w:cs="宋体"/>
                <w:color w:val="auto"/>
                <w:spacing w:val="7"/>
                <w:sz w:val="21"/>
                <w:szCs w:val="21"/>
                <w:highlight w:val="none"/>
              </w:rPr>
              <w:t>要</w:t>
            </w:r>
            <w:r>
              <w:rPr>
                <w:rFonts w:hint="eastAsia" w:ascii="宋体" w:hAnsi="宋体" w:eastAsia="宋体" w:cs="宋体"/>
                <w:color w:val="auto"/>
                <w:spacing w:val="9"/>
                <w:sz w:val="21"/>
                <w:szCs w:val="21"/>
                <w:highlight w:val="none"/>
              </w:rPr>
              <w:t>求承包人提供补充计量资料，以确定最后一次进度付款的准确工程量。承包人</w:t>
            </w:r>
            <w:r>
              <w:rPr>
                <w:rFonts w:hint="eastAsia" w:ascii="宋体" w:hAnsi="宋体" w:eastAsia="宋体" w:cs="宋体"/>
                <w:color w:val="auto"/>
                <w:spacing w:val="7"/>
                <w:sz w:val="21"/>
                <w:szCs w:val="21"/>
                <w:highlight w:val="none"/>
              </w:rPr>
              <w:t>未</w:t>
            </w:r>
            <w:r>
              <w:rPr>
                <w:rFonts w:hint="eastAsia" w:ascii="宋体" w:hAnsi="宋体" w:eastAsia="宋体" w:cs="宋体"/>
                <w:color w:val="auto"/>
                <w:spacing w:val="14"/>
                <w:sz w:val="21"/>
                <w:szCs w:val="21"/>
                <w:highlight w:val="none"/>
              </w:rPr>
              <w:t>按</w:t>
            </w:r>
            <w:r>
              <w:rPr>
                <w:rFonts w:hint="eastAsia" w:ascii="宋体" w:hAnsi="宋体" w:eastAsia="宋体" w:cs="宋体"/>
                <w:color w:val="auto"/>
                <w:spacing w:val="12"/>
                <w:sz w:val="21"/>
                <w:szCs w:val="21"/>
                <w:highlight w:val="none"/>
              </w:rPr>
              <w:t>监理人要求派员参加的，监理人最终核实的工程量视为承包人完成该子目的准</w:t>
            </w:r>
            <w:r>
              <w:rPr>
                <w:rFonts w:hint="eastAsia" w:ascii="宋体" w:hAnsi="宋体" w:eastAsia="宋体" w:cs="宋体"/>
                <w:color w:val="auto"/>
                <w:spacing w:val="6"/>
                <w:sz w:val="21"/>
                <w:szCs w:val="21"/>
                <w:highlight w:val="none"/>
              </w:rPr>
              <w:t>确工程量。</w:t>
            </w:r>
          </w:p>
          <w:p w14:paraId="09AB1703">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9"/>
                <w:sz w:val="21"/>
                <w:szCs w:val="21"/>
                <w:highlight w:val="none"/>
              </w:rPr>
              <w:t>6)监理人应在收到承包人提交的工程量报表后的7天内进行复核，监理人未</w:t>
            </w:r>
            <w:r>
              <w:rPr>
                <w:rFonts w:hint="eastAsia" w:ascii="宋体" w:hAnsi="宋体" w:eastAsia="宋体" w:cs="宋体"/>
                <w:color w:val="auto"/>
                <w:spacing w:val="14"/>
                <w:sz w:val="21"/>
                <w:szCs w:val="21"/>
                <w:highlight w:val="none"/>
              </w:rPr>
              <w:t>在</w:t>
            </w:r>
            <w:r>
              <w:rPr>
                <w:rFonts w:hint="eastAsia" w:ascii="宋体" w:hAnsi="宋体" w:eastAsia="宋体" w:cs="宋体"/>
                <w:color w:val="auto"/>
                <w:spacing w:val="12"/>
                <w:sz w:val="21"/>
                <w:szCs w:val="21"/>
                <w:highlight w:val="none"/>
              </w:rPr>
              <w:t>约定时间内复核的，承包人提交的工程量报表中的工程量视为承包人实际完成</w:t>
            </w:r>
            <w:r>
              <w:rPr>
                <w:rFonts w:hint="eastAsia" w:ascii="宋体" w:hAnsi="宋体" w:eastAsia="宋体" w:cs="宋体"/>
                <w:color w:val="auto"/>
                <w:spacing w:val="16"/>
                <w:sz w:val="21"/>
                <w:szCs w:val="21"/>
                <w:highlight w:val="none"/>
              </w:rPr>
              <w:t>的</w:t>
            </w:r>
            <w:r>
              <w:rPr>
                <w:rFonts w:hint="eastAsia" w:ascii="宋体" w:hAnsi="宋体" w:eastAsia="宋体" w:cs="宋体"/>
                <w:color w:val="auto"/>
                <w:spacing w:val="9"/>
                <w:sz w:val="21"/>
                <w:szCs w:val="21"/>
                <w:highlight w:val="none"/>
              </w:rPr>
              <w:t>工</w:t>
            </w:r>
            <w:r>
              <w:rPr>
                <w:rFonts w:hint="eastAsia" w:ascii="宋体" w:hAnsi="宋体" w:eastAsia="宋体" w:cs="宋体"/>
                <w:color w:val="auto"/>
                <w:spacing w:val="8"/>
                <w:sz w:val="21"/>
                <w:szCs w:val="21"/>
                <w:highlight w:val="none"/>
              </w:rPr>
              <w:t>程量，据此计算工程价款。</w:t>
            </w:r>
          </w:p>
          <w:p w14:paraId="3639F8B2">
            <w:pPr>
              <w:keepLines w:val="0"/>
              <w:pageBreakBefore w:val="0"/>
              <w:widowControl w:val="0"/>
              <w:kinsoku/>
              <w:overflowPunct/>
              <w:topLinePunct w:val="0"/>
              <w:autoSpaceDE/>
              <w:autoSpaceDN/>
              <w:bidi w:val="0"/>
              <w:snapToGrid w:val="0"/>
              <w:spacing w:line="240" w:lineRule="auto"/>
              <w:ind w:left="105" w:leftChars="50" w:right="283"/>
              <w:jc w:val="left"/>
              <w:textAlignment w:val="auto"/>
              <w:rPr>
                <w:rFonts w:hint="eastAsia" w:ascii="宋体" w:hAnsi="宋体" w:eastAsia="宋体" w:cs="宋体"/>
                <w:color w:val="auto"/>
                <w:spacing w:val="22"/>
                <w:sz w:val="21"/>
                <w:szCs w:val="21"/>
                <w:highlight w:val="none"/>
              </w:rPr>
            </w:pPr>
            <w:r>
              <w:rPr>
                <w:rFonts w:hint="eastAsia" w:ascii="宋体" w:hAnsi="宋体" w:eastAsia="宋体" w:cs="宋体"/>
                <w:color w:val="auto"/>
                <w:spacing w:val="16"/>
                <w:position w:val="15"/>
                <w:sz w:val="21"/>
                <w:szCs w:val="21"/>
                <w:highlight w:val="none"/>
              </w:rPr>
              <w:t>(</w:t>
            </w:r>
            <w:r>
              <w:rPr>
                <w:rFonts w:hint="eastAsia" w:ascii="宋体" w:hAnsi="宋体" w:eastAsia="宋体" w:cs="宋体"/>
                <w:color w:val="auto"/>
                <w:spacing w:val="11"/>
                <w:position w:val="15"/>
                <w:sz w:val="21"/>
                <w:szCs w:val="21"/>
                <w:highlight w:val="none"/>
              </w:rPr>
              <w:t>7)承包人未在已标价工程量清单中填入单价或总额价的工程子目，将被认为其已包含在本合同的其他子目的单价和总额价中，发包人将不另行支付。</w:t>
            </w: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19C5EA44">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z w:val="21"/>
                <w:szCs w:val="21"/>
                <w:highlight w:val="none"/>
                <w:lang w:val="en-US" w:eastAsia="zh-CN"/>
              </w:rPr>
              <w:t>3</w:t>
            </w:r>
          </w:p>
        </w:tc>
        <w:tc>
          <w:tcPr>
            <w:tcW w:w="1384" w:type="dxa"/>
            <w:vAlign w:val="center"/>
          </w:tcPr>
          <w:p w14:paraId="44CD239E">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6"/>
                <w:sz w:val="21"/>
                <w:szCs w:val="21"/>
                <w:highlight w:val="none"/>
              </w:rPr>
              <w:t>7.1.5</w:t>
            </w:r>
          </w:p>
        </w:tc>
        <w:tc>
          <w:tcPr>
            <w:tcW w:w="7054" w:type="dxa"/>
            <w:tcBorders>
              <w:right w:val="single" w:color="000000" w:sz="6" w:space="0"/>
            </w:tcBorders>
            <w:vAlign w:val="center"/>
          </w:tcPr>
          <w:p w14:paraId="6F6AC6BF">
            <w:pPr>
              <w:keepLines w:val="0"/>
              <w:pageBreakBefore w:val="0"/>
              <w:widowControl w:val="0"/>
              <w:kinsoku/>
              <w:overflowPunct/>
              <w:topLinePunct w:val="0"/>
              <w:autoSpaceDE/>
              <w:autoSpaceDN/>
              <w:bidi w:val="0"/>
              <w:snapToGrid w:val="0"/>
              <w:spacing w:before="14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本</w:t>
            </w:r>
            <w:r>
              <w:rPr>
                <w:rFonts w:hint="eastAsia" w:ascii="宋体" w:hAnsi="宋体" w:eastAsia="宋体" w:cs="宋体"/>
                <w:color w:val="auto"/>
                <w:spacing w:val="9"/>
                <w:sz w:val="21"/>
                <w:szCs w:val="21"/>
                <w:highlight w:val="none"/>
              </w:rPr>
              <w:t>项目工程量清单中总价子目的分解和计量支付原则补充以下约定：</w:t>
            </w:r>
          </w:p>
          <w:p w14:paraId="0B66C528">
            <w:pPr>
              <w:keepLines w:val="0"/>
              <w:pageBreakBefore w:val="0"/>
              <w:widowControl w:val="0"/>
              <w:kinsoku/>
              <w:overflowPunct/>
              <w:topLinePunct w:val="0"/>
              <w:autoSpaceDE/>
              <w:autoSpaceDN/>
              <w:bidi w:val="0"/>
              <w:snapToGrid w:val="0"/>
              <w:spacing w:before="155"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1)工程一切险及第三方责任险在首次计量支付前必须按要求投保完成，并在</w:t>
            </w:r>
            <w:r>
              <w:rPr>
                <w:rFonts w:hint="eastAsia" w:ascii="宋体" w:hAnsi="宋体" w:eastAsia="宋体" w:cs="宋体"/>
                <w:color w:val="auto"/>
                <w:spacing w:val="18"/>
                <w:sz w:val="21"/>
                <w:szCs w:val="21"/>
                <w:highlight w:val="none"/>
              </w:rPr>
              <w:t>第</w:t>
            </w:r>
            <w:r>
              <w:rPr>
                <w:rFonts w:hint="eastAsia" w:ascii="宋体" w:hAnsi="宋体" w:eastAsia="宋体" w:cs="宋体"/>
                <w:color w:val="auto"/>
                <w:spacing w:val="14"/>
                <w:sz w:val="21"/>
                <w:szCs w:val="21"/>
                <w:highlight w:val="none"/>
              </w:rPr>
              <w:t>一</w:t>
            </w:r>
            <w:r>
              <w:rPr>
                <w:rFonts w:hint="eastAsia" w:ascii="宋体" w:hAnsi="宋体" w:eastAsia="宋体" w:cs="宋体"/>
                <w:color w:val="auto"/>
                <w:spacing w:val="9"/>
                <w:sz w:val="21"/>
                <w:szCs w:val="21"/>
                <w:highlight w:val="none"/>
              </w:rPr>
              <w:t>次支付时将保险单及发票原件送至发包人，并在计量支付凭证中附复印件。</w:t>
            </w:r>
          </w:p>
          <w:p w14:paraId="733CE18C">
            <w:pPr>
              <w:keepLines w:val="0"/>
              <w:pageBreakBefore w:val="0"/>
              <w:widowControl w:val="0"/>
              <w:kinsoku/>
              <w:overflowPunct/>
              <w:topLinePunct w:val="0"/>
              <w:autoSpaceDE/>
              <w:autoSpaceDN/>
              <w:bidi w:val="0"/>
              <w:snapToGrid w:val="0"/>
              <w:spacing w:before="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2)竣工文件在完成编制，上交给发包人后，经发包人验收合格后，由发包人</w:t>
            </w:r>
            <w:r>
              <w:rPr>
                <w:rFonts w:hint="eastAsia" w:ascii="宋体" w:hAnsi="宋体" w:eastAsia="宋体" w:cs="宋体"/>
                <w:color w:val="auto"/>
                <w:spacing w:val="7"/>
                <w:sz w:val="21"/>
                <w:szCs w:val="21"/>
                <w:highlight w:val="none"/>
              </w:rPr>
              <w:t>一</w:t>
            </w:r>
            <w:r>
              <w:rPr>
                <w:rFonts w:hint="eastAsia" w:ascii="宋体" w:hAnsi="宋体" w:eastAsia="宋体" w:cs="宋体"/>
                <w:color w:val="auto"/>
                <w:spacing w:val="6"/>
                <w:sz w:val="21"/>
                <w:szCs w:val="21"/>
                <w:highlight w:val="none"/>
              </w:rPr>
              <w:t>次性支付。</w:t>
            </w:r>
          </w:p>
          <w:p w14:paraId="0E072FEB">
            <w:pPr>
              <w:keepLines w:val="0"/>
              <w:pageBreakBefore w:val="0"/>
              <w:widowControl w:val="0"/>
              <w:kinsoku/>
              <w:overflowPunct/>
              <w:topLinePunct w:val="0"/>
              <w:autoSpaceDE/>
              <w:autoSpaceDN/>
              <w:bidi w:val="0"/>
              <w:snapToGrid w:val="0"/>
              <w:spacing w:before="13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1"/>
                <w:sz w:val="21"/>
                <w:szCs w:val="21"/>
                <w:highlight w:val="none"/>
              </w:rPr>
              <w:t>3)临时占地、临时供电、电信设施、工地建设及拌和站安装与拆除在首次计</w:t>
            </w:r>
            <w:r>
              <w:rPr>
                <w:rFonts w:hint="eastAsia" w:ascii="宋体" w:hAnsi="宋体" w:eastAsia="宋体" w:cs="宋体"/>
                <w:color w:val="auto"/>
                <w:spacing w:val="2"/>
                <w:sz w:val="21"/>
                <w:szCs w:val="21"/>
                <w:highlight w:val="none"/>
              </w:rPr>
              <w:t>量时支付50%，在工程交工验收前再</w:t>
            </w:r>
            <w:r>
              <w:rPr>
                <w:rFonts w:hint="eastAsia" w:ascii="宋体" w:hAnsi="宋体" w:eastAsia="宋体" w:cs="宋体"/>
                <w:color w:val="auto"/>
                <w:spacing w:val="1"/>
                <w:sz w:val="21"/>
                <w:szCs w:val="21"/>
                <w:highlight w:val="none"/>
              </w:rPr>
              <w:t>支付30%，另20%在交工验收后支付。</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4)施工环保费、安全生产费用、交通封闭费、供水与排污设施及临时道路修</w:t>
            </w:r>
            <w:r>
              <w:rPr>
                <w:rFonts w:hint="eastAsia" w:ascii="宋体" w:hAnsi="宋体" w:eastAsia="宋体" w:cs="宋体"/>
                <w:color w:val="auto"/>
                <w:spacing w:val="16"/>
                <w:sz w:val="21"/>
                <w:szCs w:val="21"/>
                <w:highlight w:val="none"/>
              </w:rPr>
              <w:t>建</w:t>
            </w:r>
            <w:r>
              <w:rPr>
                <w:rFonts w:hint="eastAsia" w:ascii="宋体" w:hAnsi="宋体" w:eastAsia="宋体" w:cs="宋体"/>
                <w:color w:val="auto"/>
                <w:spacing w:val="11"/>
                <w:sz w:val="21"/>
                <w:szCs w:val="21"/>
                <w:highlight w:val="none"/>
              </w:rPr>
              <w:t>均</w:t>
            </w:r>
            <w:r>
              <w:rPr>
                <w:rFonts w:hint="eastAsia" w:ascii="宋体" w:hAnsi="宋体" w:eastAsia="宋体" w:cs="宋体"/>
                <w:color w:val="auto"/>
                <w:spacing w:val="8"/>
                <w:sz w:val="21"/>
                <w:szCs w:val="21"/>
                <w:highlight w:val="none"/>
              </w:rPr>
              <w:t>按工程量完成比例进行计量支付。</w:t>
            </w:r>
          </w:p>
          <w:p w14:paraId="01EF674E">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default" w:ascii="宋体" w:hAnsi="宋体" w:eastAsia="宋体" w:cs="宋体"/>
                <w:color w:val="auto"/>
                <w:spacing w:val="22"/>
                <w:sz w:val="21"/>
                <w:szCs w:val="21"/>
                <w:highlight w:val="none"/>
                <w:lang w:val="en-US" w:eastAsia="zh-CN"/>
              </w:rPr>
            </w:pPr>
            <w:r>
              <w:rPr>
                <w:rFonts w:hint="eastAsia" w:ascii="宋体" w:hAnsi="宋体" w:eastAsia="宋体" w:cs="宋体"/>
                <w:color w:val="auto"/>
                <w:spacing w:val="22"/>
                <w:position w:val="14"/>
                <w:sz w:val="21"/>
                <w:szCs w:val="21"/>
                <w:highlight w:val="none"/>
              </w:rPr>
              <w:t>(</w:t>
            </w:r>
            <w:r>
              <w:rPr>
                <w:rFonts w:hint="eastAsia" w:ascii="宋体" w:hAnsi="宋体" w:eastAsia="宋体" w:cs="宋体"/>
                <w:color w:val="auto"/>
                <w:spacing w:val="17"/>
                <w:position w:val="14"/>
                <w:sz w:val="21"/>
                <w:szCs w:val="21"/>
                <w:highlight w:val="none"/>
              </w:rPr>
              <w:t>5</w:t>
            </w:r>
            <w:r>
              <w:rPr>
                <w:rFonts w:hint="eastAsia" w:ascii="宋体" w:hAnsi="宋体" w:eastAsia="宋体" w:cs="宋体"/>
                <w:color w:val="auto"/>
                <w:spacing w:val="11"/>
                <w:position w:val="14"/>
                <w:sz w:val="21"/>
                <w:szCs w:val="21"/>
                <w:highlight w:val="none"/>
              </w:rPr>
              <w:t>)安全生产费用需报送材料：安全生产费用需上报材料二份，总监办一份</w:t>
            </w:r>
            <w:r>
              <w:rPr>
                <w:rFonts w:hint="eastAsia" w:ascii="宋体" w:hAnsi="宋体" w:cs="宋体"/>
                <w:color w:val="auto"/>
                <w:spacing w:val="11"/>
                <w:position w:val="14"/>
                <w:sz w:val="21"/>
                <w:szCs w:val="21"/>
                <w:highlight w:val="none"/>
                <w:lang w:eastAsia="zh-CN"/>
              </w:rPr>
              <w:t>，</w:t>
            </w:r>
            <w:r>
              <w:rPr>
                <w:rFonts w:hint="eastAsia" w:ascii="宋体" w:hAnsi="宋体" w:cs="宋体"/>
                <w:color w:val="auto"/>
                <w:spacing w:val="11"/>
                <w:position w:val="14"/>
                <w:sz w:val="21"/>
                <w:szCs w:val="21"/>
                <w:highlight w:val="none"/>
                <w:lang w:val="en-US" w:eastAsia="zh-CN"/>
              </w:rPr>
              <w:t>发包人一份。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F55D4EE">
            <w:pPr>
              <w:keepLines w:val="0"/>
              <w:pageBreakBefore w:val="0"/>
              <w:widowControl w:val="0"/>
              <w:kinsoku/>
              <w:overflowPunct/>
              <w:topLinePunct w:val="0"/>
              <w:autoSpaceDE/>
              <w:autoSpaceDN/>
              <w:bidi w:val="0"/>
              <w:snapToGrid w:val="0"/>
              <w:spacing w:before="130"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z w:val="21"/>
                <w:szCs w:val="21"/>
                <w:highlight w:val="none"/>
                <w:lang w:val="en-US" w:eastAsia="zh-CN"/>
              </w:rPr>
              <w:t>4</w:t>
            </w:r>
          </w:p>
        </w:tc>
        <w:tc>
          <w:tcPr>
            <w:tcW w:w="1384" w:type="dxa"/>
            <w:vAlign w:val="center"/>
          </w:tcPr>
          <w:p w14:paraId="0C64465A">
            <w:pPr>
              <w:keepLines w:val="0"/>
              <w:pageBreakBefore w:val="0"/>
              <w:widowControl w:val="0"/>
              <w:kinsoku/>
              <w:overflowPunct/>
              <w:topLinePunct w:val="0"/>
              <w:autoSpaceDE/>
              <w:autoSpaceDN/>
              <w:bidi w:val="0"/>
              <w:snapToGrid w:val="0"/>
              <w:spacing w:before="92" w:line="240" w:lineRule="auto"/>
              <w:ind w:left="105" w:leftChars="50" w:right="283" w:rightChars="0" w:firstLine="0" w:firstLineChars="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3"/>
                <w:sz w:val="21"/>
                <w:szCs w:val="21"/>
                <w:highlight w:val="none"/>
              </w:rPr>
              <w:t>17.2.1(1</w:t>
            </w:r>
            <w:r>
              <w:rPr>
                <w:rFonts w:hint="eastAsia" w:ascii="宋体" w:hAnsi="宋体" w:eastAsia="宋体" w:cs="宋体"/>
                <w:color w:val="auto"/>
                <w:spacing w:val="-2"/>
                <w:sz w:val="21"/>
                <w:szCs w:val="21"/>
                <w:highlight w:val="none"/>
              </w:rPr>
              <w:t>)</w:t>
            </w:r>
          </w:p>
        </w:tc>
        <w:tc>
          <w:tcPr>
            <w:tcW w:w="7054" w:type="dxa"/>
            <w:tcBorders>
              <w:right w:val="single" w:color="000000" w:sz="6" w:space="0"/>
            </w:tcBorders>
            <w:vAlign w:val="center"/>
          </w:tcPr>
          <w:p w14:paraId="0B2810E2">
            <w:pPr>
              <w:keepLines w:val="0"/>
              <w:pageBreakBefore w:val="0"/>
              <w:widowControl w:val="0"/>
              <w:kinsoku/>
              <w:overflowPunct/>
              <w:topLinePunct w:val="0"/>
              <w:autoSpaceDE/>
              <w:autoSpaceDN/>
              <w:bidi w:val="0"/>
              <w:snapToGrid w:val="0"/>
              <w:spacing w:before="100" w:line="240" w:lineRule="auto"/>
              <w:ind w:left="105" w:leftChars="50" w:right="283" w:rightChars="0" w:firstLine="0" w:firstLineChars="0"/>
              <w:jc w:val="left"/>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8"/>
                <w:position w:val="1"/>
                <w:sz w:val="21"/>
                <w:szCs w:val="21"/>
                <w:highlight w:val="none"/>
              </w:rPr>
              <w:t>开工预付款</w:t>
            </w:r>
            <w:r>
              <w:rPr>
                <w:rFonts w:hint="eastAsia" w:ascii="宋体" w:hAnsi="宋体" w:eastAsia="宋体" w:cs="宋体"/>
                <w:color w:val="auto"/>
                <w:spacing w:val="5"/>
                <w:position w:val="1"/>
                <w:sz w:val="21"/>
                <w:szCs w:val="21"/>
                <w:highlight w:val="none"/>
              </w:rPr>
              <w:t>金</w:t>
            </w:r>
            <w:r>
              <w:rPr>
                <w:rFonts w:hint="eastAsia" w:ascii="宋体" w:hAnsi="宋体" w:eastAsia="宋体" w:cs="宋体"/>
                <w:color w:val="auto"/>
                <w:spacing w:val="4"/>
                <w:position w:val="1"/>
                <w:sz w:val="21"/>
                <w:szCs w:val="21"/>
                <w:highlight w:val="none"/>
              </w:rPr>
              <w:t>额，规定为：</w:t>
            </w:r>
            <w:r>
              <w:rPr>
                <w:rFonts w:hint="eastAsia" w:ascii="宋体" w:hAnsi="宋体" w:cs="宋体"/>
                <w:color w:val="auto"/>
                <w:spacing w:val="4"/>
                <w:position w:val="1"/>
                <w:sz w:val="21"/>
                <w:szCs w:val="21"/>
                <w:highlight w:val="none"/>
                <w:u w:val="single"/>
                <w:lang w:val="en-US" w:eastAsia="zh-CN"/>
              </w:rPr>
              <w:t xml:space="preserve">  /  </w:t>
            </w:r>
            <w:r>
              <w:rPr>
                <w:rFonts w:hint="eastAsia" w:ascii="宋体" w:hAnsi="宋体" w:eastAsia="宋体" w:cs="宋体"/>
                <w:color w:val="auto"/>
                <w:spacing w:val="4"/>
                <w:position w:val="1"/>
                <w:sz w:val="21"/>
                <w:szCs w:val="21"/>
                <w:highlight w:val="none"/>
              </w:rPr>
              <w:t>%签约</w:t>
            </w:r>
            <w:r>
              <w:rPr>
                <w:rFonts w:hint="eastAsia" w:ascii="宋体" w:hAnsi="宋体" w:eastAsia="宋体" w:cs="宋体"/>
                <w:color w:val="auto"/>
                <w:sz w:val="21"/>
                <w:szCs w:val="21"/>
                <w:highlight w:val="none"/>
              </w:rPr>
              <w:t>合同价</w:t>
            </w:r>
            <w:r>
              <w:rPr>
                <w:rStyle w:val="48"/>
                <w:rFonts w:hint="eastAsia" w:ascii="宋体" w:hAnsi="宋体" w:eastAsia="宋体" w:cs="宋体"/>
                <w:color w:val="auto"/>
                <w:sz w:val="21"/>
                <w:szCs w:val="21"/>
                <w:highlight w:val="none"/>
              </w:rPr>
              <w:footnoteReference w:id="36"/>
            </w:r>
            <w:r>
              <w:rPr>
                <w:rFonts w:hint="eastAsia" w:ascii="宋体" w:hAnsi="宋体" w:eastAsia="宋体" w:cs="宋体"/>
                <w:color w:val="auto"/>
                <w:spacing w:val="4"/>
                <w:position w:val="1"/>
                <w:sz w:val="21"/>
                <w:szCs w:val="21"/>
                <w:highlight w:val="none"/>
              </w:rPr>
              <w:t>(不含暂列金额)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549E2F8">
            <w:pPr>
              <w:keepLines w:val="0"/>
              <w:pageBreakBefore w:val="0"/>
              <w:widowControl w:val="0"/>
              <w:kinsoku/>
              <w:overflowPunct/>
              <w:topLinePunct w:val="0"/>
              <w:autoSpaceDE/>
              <w:autoSpaceDN/>
              <w:bidi w:val="0"/>
              <w:snapToGrid w:val="0"/>
              <w:spacing w:before="148"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35</w:t>
            </w:r>
          </w:p>
        </w:tc>
        <w:tc>
          <w:tcPr>
            <w:tcW w:w="1384" w:type="dxa"/>
            <w:vAlign w:val="center"/>
          </w:tcPr>
          <w:p w14:paraId="632C94DD">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3"/>
                <w:sz w:val="21"/>
                <w:szCs w:val="21"/>
                <w:highlight w:val="none"/>
              </w:rPr>
              <w:t>17.2.1(2</w:t>
            </w:r>
            <w:r>
              <w:rPr>
                <w:rFonts w:hint="eastAsia" w:ascii="宋体" w:hAnsi="宋体" w:eastAsia="宋体" w:cs="宋体"/>
                <w:color w:val="auto"/>
                <w:spacing w:val="-2"/>
                <w:sz w:val="21"/>
                <w:szCs w:val="21"/>
                <w:highlight w:val="none"/>
              </w:rPr>
              <w:t>)</w:t>
            </w:r>
          </w:p>
        </w:tc>
        <w:tc>
          <w:tcPr>
            <w:tcW w:w="7054" w:type="dxa"/>
            <w:tcBorders>
              <w:right w:val="single" w:color="000000" w:sz="6" w:space="0"/>
            </w:tcBorders>
            <w:vAlign w:val="center"/>
          </w:tcPr>
          <w:p w14:paraId="2F29E69F">
            <w:pPr>
              <w:keepLines w:val="0"/>
              <w:pageBreakBefore w:val="0"/>
              <w:widowControl w:val="0"/>
              <w:kinsoku/>
              <w:overflowPunct/>
              <w:topLinePunct w:val="0"/>
              <w:autoSpaceDE/>
              <w:autoSpaceDN/>
              <w:bidi w:val="0"/>
              <w:snapToGrid w:val="0"/>
              <w:spacing w:before="120" w:line="240" w:lineRule="auto"/>
              <w:ind w:left="105" w:leftChars="50" w:right="283" w:rightChars="0" w:firstLine="0" w:firstLineChars="0"/>
              <w:jc w:val="left"/>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1"/>
                <w:position w:val="1"/>
                <w:sz w:val="21"/>
                <w:szCs w:val="21"/>
                <w:highlight w:val="none"/>
              </w:rPr>
              <w:t>材料、设备预付款比例，规定为：/等主要材料、设备单据所</w:t>
            </w:r>
            <w:r>
              <w:rPr>
                <w:rFonts w:hint="eastAsia" w:ascii="宋体" w:hAnsi="宋体" w:eastAsia="宋体" w:cs="宋体"/>
                <w:color w:val="auto"/>
                <w:position w:val="1"/>
                <w:sz w:val="21"/>
                <w:szCs w:val="21"/>
                <w:highlight w:val="none"/>
              </w:rPr>
              <w:t>列费用</w:t>
            </w:r>
            <w:r>
              <w:rPr>
                <w:rFonts w:hint="eastAsia" w:ascii="宋体" w:hAnsi="宋体" w:eastAsia="宋体" w:cs="宋体"/>
                <w:color w:val="auto"/>
                <w:sz w:val="21"/>
                <w:szCs w:val="21"/>
                <w:highlight w:val="none"/>
              </w:rPr>
              <w:t>的</w:t>
            </w:r>
            <w:r>
              <w:rPr>
                <w:rFonts w:hint="eastAsia" w:ascii="宋体" w:hAnsi="宋体" w:cs="宋体"/>
                <w:color w:val="auto"/>
                <w:spacing w:val="4"/>
                <w:position w:val="1"/>
                <w:sz w:val="21"/>
                <w:szCs w:val="21"/>
                <w:highlight w:val="none"/>
                <w:u w:val="single"/>
                <w:lang w:val="en-US" w:eastAsia="zh-CN"/>
              </w:rPr>
              <w:t xml:space="preserve"> / </w:t>
            </w: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footnoteReference w:id="37"/>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0A5F2955">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36</w:t>
            </w:r>
          </w:p>
        </w:tc>
        <w:tc>
          <w:tcPr>
            <w:tcW w:w="1384" w:type="dxa"/>
            <w:vAlign w:val="center"/>
          </w:tcPr>
          <w:p w14:paraId="77882117">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
                <w:sz w:val="21"/>
                <w:szCs w:val="21"/>
                <w:highlight w:val="none"/>
              </w:rPr>
              <w:t>7.3.1</w:t>
            </w:r>
          </w:p>
        </w:tc>
        <w:tc>
          <w:tcPr>
            <w:tcW w:w="7054" w:type="dxa"/>
            <w:tcBorders>
              <w:right w:val="single" w:color="000000" w:sz="6" w:space="0"/>
            </w:tcBorders>
            <w:vAlign w:val="center"/>
          </w:tcPr>
          <w:p w14:paraId="3ACC9D36">
            <w:pPr>
              <w:keepLines w:val="0"/>
              <w:pageBreakBefore w:val="0"/>
              <w:widowControl w:val="0"/>
              <w:kinsoku/>
              <w:overflowPunct/>
              <w:topLinePunct w:val="0"/>
              <w:autoSpaceDE/>
              <w:autoSpaceDN/>
              <w:bidi w:val="0"/>
              <w:snapToGrid w:val="0"/>
              <w:spacing w:before="120" w:line="240" w:lineRule="auto"/>
              <w:ind w:left="105" w:leftChars="50" w:right="283" w:rightChars="0" w:firstLine="0" w:firstLineChars="0"/>
              <w:jc w:val="left"/>
              <w:textAlignment w:val="auto"/>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rPr>
              <w:t>付款周期及方式：根据财政拨款进度，按工程</w:t>
            </w:r>
            <w:r>
              <w:rPr>
                <w:rFonts w:hint="eastAsia" w:ascii="宋体" w:hAnsi="宋体" w:cs="宋体"/>
                <w:b/>
                <w:bCs/>
                <w:color w:val="auto"/>
                <w:spacing w:val="1"/>
                <w:position w:val="1"/>
                <w:sz w:val="21"/>
                <w:szCs w:val="21"/>
                <w:highlight w:val="none"/>
                <w:lang w:eastAsia="zh-CN"/>
              </w:rPr>
              <w:t>计量</w:t>
            </w:r>
            <w:r>
              <w:rPr>
                <w:rFonts w:hint="eastAsia" w:ascii="宋体" w:hAnsi="宋体" w:eastAsia="宋体" w:cs="宋体"/>
                <w:b/>
                <w:bCs/>
                <w:color w:val="auto"/>
                <w:spacing w:val="1"/>
                <w:position w:val="1"/>
                <w:sz w:val="21"/>
                <w:szCs w:val="21"/>
                <w:highlight w:val="none"/>
              </w:rPr>
              <w:t>支付工程款。</w:t>
            </w:r>
          </w:p>
          <w:p w14:paraId="038AA5D1">
            <w:pPr>
              <w:keepLines w:val="0"/>
              <w:pageBreakBefore w:val="0"/>
              <w:widowControl w:val="0"/>
              <w:kinsoku/>
              <w:overflowPunct/>
              <w:topLinePunct w:val="0"/>
              <w:autoSpaceDE/>
              <w:autoSpaceDN/>
              <w:bidi w:val="0"/>
              <w:snapToGrid w:val="0"/>
              <w:spacing w:before="120" w:line="240" w:lineRule="auto"/>
              <w:ind w:left="105" w:leftChars="50" w:right="283" w:rightChars="0" w:firstLine="0" w:firstLineChars="0"/>
              <w:jc w:val="left"/>
              <w:textAlignment w:val="auto"/>
              <w:rPr>
                <w:rFonts w:hint="eastAsia" w:ascii="宋体" w:hAnsi="宋体" w:eastAsia="宋体" w:cs="宋体"/>
                <w:color w:val="auto"/>
                <w:spacing w:val="7"/>
                <w:sz w:val="21"/>
                <w:szCs w:val="21"/>
                <w:highlight w:val="none"/>
              </w:rPr>
            </w:pPr>
            <w:r>
              <w:rPr>
                <w:rFonts w:hint="eastAsia" w:ascii="宋体" w:hAnsi="宋体" w:eastAsia="宋体" w:cs="宋体"/>
                <w:b/>
                <w:bCs/>
                <w:color w:val="auto"/>
                <w:spacing w:val="1"/>
                <w:position w:val="1"/>
                <w:sz w:val="21"/>
                <w:szCs w:val="21"/>
                <w:highlight w:val="none"/>
              </w:rPr>
              <w:t>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26947FBD">
            <w:pPr>
              <w:keepLines w:val="0"/>
              <w:pageBreakBefore w:val="0"/>
              <w:widowControl w:val="0"/>
              <w:kinsoku/>
              <w:overflowPunct/>
              <w:topLinePunct w:val="0"/>
              <w:autoSpaceDE/>
              <w:autoSpaceDN/>
              <w:bidi w:val="0"/>
              <w:snapToGrid w:val="0"/>
              <w:spacing w:before="130"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val="en-US" w:eastAsia="zh-CN"/>
              </w:rPr>
              <w:t>7</w:t>
            </w:r>
          </w:p>
        </w:tc>
        <w:tc>
          <w:tcPr>
            <w:tcW w:w="1384" w:type="dxa"/>
            <w:vAlign w:val="center"/>
          </w:tcPr>
          <w:p w14:paraId="24D2DA3F">
            <w:pPr>
              <w:keepLines w:val="0"/>
              <w:pageBreakBefore w:val="0"/>
              <w:widowControl w:val="0"/>
              <w:kinsoku/>
              <w:overflowPunct/>
              <w:topLinePunct w:val="0"/>
              <w:autoSpaceDE/>
              <w:autoSpaceDN/>
              <w:bidi w:val="0"/>
              <w:snapToGrid w:val="0"/>
              <w:spacing w:before="94" w:line="240" w:lineRule="auto"/>
              <w:ind w:left="105" w:leftChars="50" w:right="283" w:rightChars="0" w:firstLine="0" w:firstLineChars="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2"/>
                <w:sz w:val="21"/>
                <w:szCs w:val="21"/>
                <w:highlight w:val="none"/>
              </w:rPr>
              <w:t>17.3.3(1</w:t>
            </w:r>
            <w:r>
              <w:rPr>
                <w:rFonts w:hint="eastAsia" w:ascii="宋体" w:hAnsi="宋体" w:eastAsia="宋体" w:cs="宋体"/>
                <w:color w:val="auto"/>
                <w:sz w:val="21"/>
                <w:szCs w:val="21"/>
                <w:highlight w:val="none"/>
              </w:rPr>
              <w:t>)</w:t>
            </w:r>
          </w:p>
        </w:tc>
        <w:tc>
          <w:tcPr>
            <w:tcW w:w="7054" w:type="dxa"/>
            <w:tcBorders>
              <w:right w:val="single" w:color="000000" w:sz="6" w:space="0"/>
            </w:tcBorders>
            <w:shd w:val="clear" w:color="auto" w:fill="auto"/>
            <w:vAlign w:val="center"/>
          </w:tcPr>
          <w:p w14:paraId="77EE56B5">
            <w:pPr>
              <w:keepLines w:val="0"/>
              <w:pageBreakBefore w:val="0"/>
              <w:widowControl w:val="0"/>
              <w:kinsoku/>
              <w:overflowPunct/>
              <w:topLinePunct w:val="0"/>
              <w:autoSpaceDE/>
              <w:autoSpaceDN/>
              <w:bidi w:val="0"/>
              <w:snapToGrid w:val="0"/>
              <w:spacing w:before="103" w:line="240" w:lineRule="auto"/>
              <w:ind w:left="105" w:leftChars="50" w:right="283" w:rightChars="0" w:firstLine="0" w:firstLineChars="0"/>
              <w:jc w:val="left"/>
              <w:textAlignment w:val="auto"/>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z w:val="21"/>
                <w:szCs w:val="21"/>
                <w:highlight w:val="none"/>
              </w:rPr>
              <w:t>进度付款证书最低限额：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%签约合同价或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Style w:val="48"/>
                <w:rFonts w:hint="eastAsia" w:ascii="宋体" w:hAnsi="宋体" w:eastAsia="宋体" w:cs="宋体"/>
                <w:color w:val="auto"/>
                <w:sz w:val="21"/>
                <w:szCs w:val="21"/>
                <w:highlight w:val="none"/>
              </w:rPr>
              <w:footnoteReference w:id="38"/>
            </w:r>
          </w:p>
        </w:tc>
      </w:tr>
      <w:tr w14:paraId="33CD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43BA1A8B">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val="en-US" w:eastAsia="zh-CN"/>
              </w:rPr>
              <w:t>8</w:t>
            </w:r>
          </w:p>
        </w:tc>
        <w:tc>
          <w:tcPr>
            <w:tcW w:w="1384" w:type="dxa"/>
            <w:vAlign w:val="center"/>
          </w:tcPr>
          <w:p w14:paraId="525DDE83">
            <w:pPr>
              <w:keepLines w:val="0"/>
              <w:pageBreakBefore w:val="0"/>
              <w:widowControl w:val="0"/>
              <w:kinsoku/>
              <w:wordWrap w:val="0"/>
              <w:overflowPunct/>
              <w:topLinePunct w:val="0"/>
              <w:autoSpaceDE/>
              <w:autoSpaceDN/>
              <w:bidi w:val="0"/>
              <w:snapToGrid w:val="0"/>
              <w:spacing w:line="240" w:lineRule="auto"/>
              <w:ind w:left="105" w:leftChars="50" w:right="283" w:rightChars="0" w:firstLine="0" w:firstLineChars="0"/>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17.3.3（2）</w:t>
            </w:r>
          </w:p>
        </w:tc>
        <w:tc>
          <w:tcPr>
            <w:tcW w:w="7054" w:type="dxa"/>
            <w:tcBorders>
              <w:right w:val="single" w:color="000000" w:sz="6" w:space="0"/>
            </w:tcBorders>
            <w:shd w:val="clear" w:color="auto" w:fill="auto"/>
            <w:vAlign w:val="center"/>
          </w:tcPr>
          <w:p w14:paraId="7FED5C4A">
            <w:pPr>
              <w:keepLines w:val="0"/>
              <w:pageBreakBefore w:val="0"/>
              <w:widowControl w:val="0"/>
              <w:kinsoku/>
              <w:wordWrap w:val="0"/>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逾期付款违约金的利率：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w:t>
            </w:r>
            <w:r>
              <w:rPr>
                <w:rStyle w:val="48"/>
                <w:rFonts w:hint="eastAsia" w:ascii="宋体" w:hAnsi="宋体" w:eastAsia="宋体" w:cs="宋体"/>
                <w:color w:val="auto"/>
                <w:sz w:val="21"/>
                <w:szCs w:val="21"/>
                <w:highlight w:val="none"/>
              </w:rPr>
              <w:footnoteReference w:id="39"/>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0262251E">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39</w:t>
            </w:r>
          </w:p>
        </w:tc>
        <w:tc>
          <w:tcPr>
            <w:tcW w:w="1384" w:type="dxa"/>
            <w:vAlign w:val="center"/>
          </w:tcPr>
          <w:p w14:paraId="05ECA2CB">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17.3.</w:t>
            </w:r>
            <w:r>
              <w:rPr>
                <w:rFonts w:hint="eastAsia" w:ascii="宋体" w:hAnsi="宋体" w:eastAsia="宋体" w:cs="宋体"/>
                <w:color w:val="auto"/>
                <w:sz w:val="21"/>
                <w:szCs w:val="21"/>
                <w:highlight w:val="none"/>
              </w:rPr>
              <w:t>5</w:t>
            </w:r>
          </w:p>
        </w:tc>
        <w:tc>
          <w:tcPr>
            <w:tcW w:w="7054" w:type="dxa"/>
            <w:tcBorders>
              <w:right w:val="single" w:color="000000" w:sz="6" w:space="0"/>
            </w:tcBorders>
            <w:vAlign w:val="center"/>
          </w:tcPr>
          <w:p w14:paraId="73F4D354">
            <w:pPr>
              <w:keepLines w:val="0"/>
              <w:pageBreakBefore w:val="0"/>
              <w:widowControl w:val="0"/>
              <w:kinsoku/>
              <w:overflowPunct/>
              <w:topLinePunct w:val="0"/>
              <w:autoSpaceDE/>
              <w:autoSpaceDN/>
              <w:bidi w:val="0"/>
              <w:snapToGrid w:val="0"/>
              <w:spacing w:before="121" w:line="240" w:lineRule="auto"/>
              <w:ind w:left="105" w:leftChars="50" w:right="283" w:rightChars="0" w:firstLine="0" w:firstLineChars="0"/>
              <w:jc w:val="left"/>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12"/>
                <w:sz w:val="21"/>
                <w:szCs w:val="21"/>
                <w:highlight w:val="none"/>
              </w:rPr>
              <w:t>农民工工资保证金的额度、提交形式、使用范围、扣留条件、返还时间：执</w:t>
            </w:r>
            <w:r>
              <w:rPr>
                <w:rFonts w:hint="eastAsia" w:ascii="宋体" w:hAnsi="宋体" w:eastAsia="宋体" w:cs="宋体"/>
                <w:color w:val="auto"/>
                <w:spacing w:val="12"/>
                <w:sz w:val="21"/>
                <w:szCs w:val="21"/>
                <w:highlight w:val="none"/>
                <w:lang w:val="en-US" w:eastAsia="zh-CN"/>
              </w:rPr>
              <w:t>行项</w:t>
            </w:r>
            <w:r>
              <w:rPr>
                <w:rFonts w:hint="eastAsia" w:ascii="宋体" w:hAnsi="宋体" w:eastAsia="宋体" w:cs="宋体"/>
                <w:color w:val="auto"/>
                <w:spacing w:val="12"/>
                <w:sz w:val="21"/>
                <w:szCs w:val="21"/>
                <w:highlight w:val="none"/>
              </w:rPr>
              <w:t>目所在省、市的人力资源社会保障行政部门、交通运输主管部门等施行的规定。</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76D657B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40</w:t>
            </w:r>
          </w:p>
        </w:tc>
        <w:tc>
          <w:tcPr>
            <w:tcW w:w="1384" w:type="dxa"/>
            <w:vAlign w:val="center"/>
          </w:tcPr>
          <w:p w14:paraId="72CC568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
                <w:sz w:val="21"/>
                <w:szCs w:val="21"/>
                <w:highlight w:val="none"/>
              </w:rPr>
              <w:t>7.4.1</w:t>
            </w:r>
          </w:p>
        </w:tc>
        <w:tc>
          <w:tcPr>
            <w:tcW w:w="7054" w:type="dxa"/>
            <w:tcBorders>
              <w:right w:val="single" w:color="000000" w:sz="6" w:space="0"/>
            </w:tcBorders>
            <w:vAlign w:val="center"/>
          </w:tcPr>
          <w:p w14:paraId="48A1A9CD">
            <w:pPr>
              <w:keepLines w:val="0"/>
              <w:pageBreakBefore w:val="0"/>
              <w:widowControl w:val="0"/>
              <w:kinsoku/>
              <w:overflowPunct/>
              <w:topLinePunct w:val="0"/>
              <w:autoSpaceDE/>
              <w:autoSpaceDN/>
              <w:bidi w:val="0"/>
              <w:snapToGrid w:val="0"/>
              <w:spacing w:before="102"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u w:val="none" w:color="auto"/>
              </w:rPr>
            </w:pPr>
            <w:r>
              <w:rPr>
                <w:rFonts w:hint="eastAsia" w:ascii="宋体" w:hAnsi="宋体" w:eastAsia="宋体" w:cs="宋体"/>
                <w:color w:val="auto"/>
                <w:spacing w:val="10"/>
                <w:sz w:val="21"/>
                <w:szCs w:val="21"/>
                <w:highlight w:val="none"/>
              </w:rPr>
              <w:t>质量保证金</w:t>
            </w:r>
            <w:r>
              <w:rPr>
                <w:rFonts w:hint="eastAsia" w:ascii="宋体" w:hAnsi="宋体" w:eastAsia="宋体" w:cs="宋体"/>
                <w:color w:val="auto"/>
                <w:spacing w:val="8"/>
                <w:sz w:val="21"/>
                <w:szCs w:val="21"/>
                <w:highlight w:val="none"/>
              </w:rPr>
              <w:t>金</w:t>
            </w:r>
            <w:r>
              <w:rPr>
                <w:rFonts w:hint="eastAsia" w:ascii="宋体" w:hAnsi="宋体" w:eastAsia="宋体" w:cs="宋体"/>
                <w:color w:val="auto"/>
                <w:spacing w:val="5"/>
                <w:sz w:val="21"/>
                <w:szCs w:val="21"/>
                <w:highlight w:val="none"/>
              </w:rPr>
              <w:t>额，规定为：</w:t>
            </w:r>
            <w:r>
              <w:rPr>
                <w:rFonts w:hint="eastAsia" w:ascii="宋体" w:hAnsi="宋体" w:cs="宋体"/>
                <w:color w:val="auto"/>
                <w:spacing w:val="5"/>
                <w:sz w:val="21"/>
                <w:szCs w:val="21"/>
                <w:highlight w:val="none"/>
                <w:u w:val="single" w:color="auto"/>
                <w:lang w:val="en-US" w:eastAsia="zh-CN"/>
              </w:rPr>
              <w:t xml:space="preserve"> </w:t>
            </w:r>
            <w:r>
              <w:rPr>
                <w:rFonts w:hint="eastAsia" w:ascii="宋体" w:hAnsi="宋体" w:eastAsia="宋体" w:cs="宋体"/>
                <w:color w:val="auto"/>
                <w:spacing w:val="5"/>
                <w:sz w:val="21"/>
                <w:szCs w:val="21"/>
                <w:highlight w:val="none"/>
                <w:u w:val="single" w:color="auto"/>
                <w:lang w:val="en-US" w:eastAsia="zh-CN"/>
              </w:rPr>
              <w:t>2</w:t>
            </w:r>
            <w:r>
              <w:rPr>
                <w:rFonts w:hint="eastAsia" w:ascii="宋体" w:hAnsi="宋体" w:eastAsia="宋体" w:cs="宋体"/>
                <w:color w:val="auto"/>
                <w:spacing w:val="5"/>
                <w:sz w:val="21"/>
                <w:szCs w:val="21"/>
                <w:highlight w:val="none"/>
                <w:u w:val="single" w:color="auto"/>
              </w:rPr>
              <w:t>%</w:t>
            </w:r>
            <w:r>
              <w:rPr>
                <w:rFonts w:hint="eastAsia" w:ascii="宋体" w:hAnsi="宋体" w:cs="宋体"/>
                <w:color w:val="auto"/>
                <w:spacing w:val="5"/>
                <w:sz w:val="21"/>
                <w:szCs w:val="21"/>
                <w:highlight w:val="none"/>
                <w:u w:val="single" w:color="auto"/>
                <w:lang w:val="en-US" w:eastAsia="zh-CN"/>
              </w:rPr>
              <w:t xml:space="preserve"> </w:t>
            </w:r>
            <w:r>
              <w:rPr>
                <w:rFonts w:hint="eastAsia" w:ascii="宋体" w:hAnsi="宋体" w:cs="宋体"/>
                <w:color w:val="auto"/>
                <w:spacing w:val="5"/>
                <w:sz w:val="21"/>
                <w:szCs w:val="21"/>
                <w:highlight w:val="none"/>
                <w:u w:val="none" w:color="auto"/>
                <w:lang w:val="en-US" w:eastAsia="zh-CN"/>
              </w:rPr>
              <w:t>工程价款结算总额，质量保证金不计付利息。</w:t>
            </w:r>
          </w:p>
          <w:p w14:paraId="74D0687F">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1)承包人</w:t>
            </w:r>
            <w:r>
              <w:rPr>
                <w:rFonts w:hint="eastAsia" w:ascii="宋体" w:hAnsi="宋体" w:cs="宋体"/>
                <w:color w:val="auto"/>
                <w:spacing w:val="11"/>
                <w:sz w:val="21"/>
                <w:szCs w:val="21"/>
                <w:highlight w:val="none"/>
                <w:lang w:eastAsia="zh-CN"/>
              </w:rPr>
              <w:t>质量保证金</w:t>
            </w:r>
            <w:r>
              <w:rPr>
                <w:rFonts w:hint="eastAsia" w:ascii="宋体" w:hAnsi="宋体" w:eastAsia="宋体" w:cs="宋体"/>
                <w:color w:val="auto"/>
                <w:spacing w:val="11"/>
                <w:sz w:val="21"/>
                <w:szCs w:val="21"/>
                <w:highlight w:val="none"/>
              </w:rPr>
              <w:t>采用银行保函形式的，在发包人与承包人完成本合同工程价款结算后，承包人应在工程验收证书颁发之前，按《项目专用合同条款数据表》中规定的额度向发包人提交</w:t>
            </w:r>
            <w:r>
              <w:rPr>
                <w:rFonts w:hint="eastAsia" w:ascii="宋体" w:hAnsi="宋体" w:cs="宋体"/>
                <w:color w:val="auto"/>
                <w:spacing w:val="11"/>
                <w:sz w:val="21"/>
                <w:szCs w:val="21"/>
                <w:highlight w:val="none"/>
                <w:lang w:eastAsia="zh-CN"/>
              </w:rPr>
              <w:t>质量保证金</w:t>
            </w:r>
            <w:r>
              <w:rPr>
                <w:rFonts w:hint="eastAsia" w:ascii="宋体" w:hAnsi="宋体" w:eastAsia="宋体" w:cs="宋体"/>
                <w:color w:val="auto"/>
                <w:spacing w:val="11"/>
                <w:sz w:val="21"/>
                <w:szCs w:val="21"/>
                <w:highlight w:val="none"/>
              </w:rPr>
              <w:t>银行保函，出具保函的银行须具有相应担保能力，且按照发包人批准的格式出具，所需费用由承包人承担，保函的有效期应至缺陷责任期满之日止。</w:t>
            </w:r>
          </w:p>
          <w:p w14:paraId="3F600CAF">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11"/>
                <w:position w:val="14"/>
                <w:sz w:val="21"/>
                <w:szCs w:val="21"/>
                <w:highlight w:val="none"/>
              </w:rPr>
            </w:pPr>
            <w:r>
              <w:rPr>
                <w:rFonts w:hint="eastAsia" w:ascii="宋体" w:hAnsi="宋体" w:eastAsia="宋体" w:cs="宋体"/>
                <w:color w:val="auto"/>
                <w:spacing w:val="11"/>
                <w:sz w:val="21"/>
                <w:szCs w:val="21"/>
                <w:highlight w:val="none"/>
              </w:rPr>
              <w:t>(2)承包人</w:t>
            </w:r>
            <w:r>
              <w:rPr>
                <w:rFonts w:hint="eastAsia" w:ascii="宋体" w:hAnsi="宋体" w:cs="宋体"/>
                <w:color w:val="auto"/>
                <w:spacing w:val="11"/>
                <w:sz w:val="21"/>
                <w:szCs w:val="21"/>
                <w:highlight w:val="none"/>
                <w:lang w:eastAsia="zh-CN"/>
              </w:rPr>
              <w:t>质量保证金</w:t>
            </w:r>
            <w:r>
              <w:rPr>
                <w:rFonts w:hint="eastAsia" w:ascii="宋体" w:hAnsi="宋体" w:eastAsia="宋体" w:cs="宋体"/>
                <w:color w:val="auto"/>
                <w:spacing w:val="11"/>
                <w:sz w:val="21"/>
                <w:szCs w:val="21"/>
                <w:highlight w:val="none"/>
              </w:rPr>
              <w:t>采用现金(电汇或银行汇票形式)的，承包人应在签发工程验收证书时，按《项目专用合同条款数据表》中的规定的金额向发包人提交</w:t>
            </w:r>
            <w:r>
              <w:rPr>
                <w:rFonts w:hint="eastAsia" w:ascii="宋体" w:hAnsi="宋体" w:cs="宋体"/>
                <w:color w:val="auto"/>
                <w:spacing w:val="11"/>
                <w:sz w:val="21"/>
                <w:szCs w:val="21"/>
                <w:highlight w:val="none"/>
                <w:lang w:eastAsia="zh-CN"/>
              </w:rPr>
              <w:t>质量保证金</w:t>
            </w:r>
            <w:r>
              <w:rPr>
                <w:rFonts w:hint="eastAsia" w:ascii="宋体" w:hAnsi="宋体" w:eastAsia="宋体" w:cs="宋体"/>
                <w:color w:val="auto"/>
                <w:spacing w:val="11"/>
                <w:sz w:val="21"/>
                <w:szCs w:val="21"/>
                <w:highlight w:val="none"/>
              </w:rPr>
              <w:t>。</w:t>
            </w:r>
          </w:p>
        </w:tc>
      </w:tr>
      <w:tr w14:paraId="35B0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2B0F42C8">
            <w:pPr>
              <w:keepLines w:val="0"/>
              <w:pageBreakBefore w:val="0"/>
              <w:widowControl w:val="0"/>
              <w:kinsoku/>
              <w:overflowPunct/>
              <w:topLinePunct w:val="0"/>
              <w:autoSpaceDE/>
              <w:autoSpaceDN/>
              <w:bidi w:val="0"/>
              <w:snapToGrid w:val="0"/>
              <w:spacing w:before="130" w:line="240" w:lineRule="auto"/>
              <w:ind w:left="105" w:leftChars="50" w:right="283"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1</w:t>
            </w:r>
          </w:p>
        </w:tc>
        <w:tc>
          <w:tcPr>
            <w:tcW w:w="1384" w:type="dxa"/>
            <w:vAlign w:val="center"/>
          </w:tcPr>
          <w:p w14:paraId="3DD4DFBC">
            <w:pPr>
              <w:keepLines w:val="0"/>
              <w:pageBreakBefore w:val="0"/>
              <w:widowControl w:val="0"/>
              <w:kinsoku/>
              <w:overflowPunct/>
              <w:topLinePunct w:val="0"/>
              <w:autoSpaceDE/>
              <w:autoSpaceDN/>
              <w:bidi w:val="0"/>
              <w:snapToGrid w:val="0"/>
              <w:spacing w:before="93"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17.5.1(1</w:t>
            </w:r>
            <w:r>
              <w:rPr>
                <w:rFonts w:hint="eastAsia" w:ascii="宋体" w:hAnsi="宋体" w:eastAsia="宋体" w:cs="宋体"/>
                <w:color w:val="auto"/>
                <w:spacing w:val="-2"/>
                <w:sz w:val="21"/>
                <w:szCs w:val="21"/>
                <w:highlight w:val="none"/>
              </w:rPr>
              <w:t>)</w:t>
            </w:r>
          </w:p>
        </w:tc>
        <w:tc>
          <w:tcPr>
            <w:tcW w:w="7054" w:type="dxa"/>
            <w:tcBorders>
              <w:right w:val="single" w:color="000000" w:sz="6" w:space="0"/>
            </w:tcBorders>
            <w:vAlign w:val="center"/>
          </w:tcPr>
          <w:p w14:paraId="015A0EAA">
            <w:pPr>
              <w:keepLines w:val="0"/>
              <w:pageBreakBefore w:val="0"/>
              <w:widowControl w:val="0"/>
              <w:kinsoku/>
              <w:overflowPunct/>
              <w:topLinePunct w:val="0"/>
              <w:autoSpaceDE/>
              <w:autoSpaceDN/>
              <w:bidi w:val="0"/>
              <w:snapToGrid w:val="0"/>
              <w:spacing w:before="13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承包人</w:t>
            </w:r>
            <w:r>
              <w:rPr>
                <w:rFonts w:hint="eastAsia" w:ascii="宋体" w:hAnsi="宋体" w:eastAsia="宋体" w:cs="宋体"/>
                <w:color w:val="auto"/>
                <w:spacing w:val="-7"/>
                <w:sz w:val="21"/>
                <w:szCs w:val="21"/>
                <w:highlight w:val="none"/>
              </w:rPr>
              <w:t>向</w:t>
            </w:r>
            <w:r>
              <w:rPr>
                <w:rFonts w:hint="eastAsia" w:ascii="宋体" w:hAnsi="宋体" w:eastAsia="宋体" w:cs="宋体"/>
                <w:color w:val="auto"/>
                <w:spacing w:val="-4"/>
                <w:sz w:val="21"/>
                <w:szCs w:val="21"/>
                <w:highlight w:val="none"/>
              </w:rPr>
              <w:t>监理人提交交工付款申请单(包括相关证明材料)的份数，规定为：</w:t>
            </w:r>
            <w:r>
              <w:rPr>
                <w:rFonts w:hint="eastAsia" w:ascii="宋体" w:hAnsi="宋体" w:cs="宋体"/>
                <w:color w:val="auto"/>
                <w:spacing w:val="-4"/>
                <w:sz w:val="21"/>
                <w:szCs w:val="21"/>
                <w:highlight w:val="none"/>
                <w:u w:val="none" w:color="auto"/>
                <w:lang w:val="en-US" w:eastAsia="zh-CN"/>
              </w:rPr>
              <w:t>7</w:t>
            </w:r>
            <w:r>
              <w:rPr>
                <w:rFonts w:hint="eastAsia" w:ascii="宋体" w:hAnsi="宋体" w:eastAsia="宋体" w:cs="宋体"/>
                <w:color w:val="auto"/>
                <w:spacing w:val="-4"/>
                <w:sz w:val="21"/>
                <w:szCs w:val="21"/>
                <w:highlight w:val="none"/>
                <w:u w:val="none" w:color="auto"/>
              </w:rPr>
              <w:t>份</w:t>
            </w:r>
          </w:p>
        </w:tc>
      </w:tr>
      <w:tr w14:paraId="0C59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7D7FD0A5">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2</w:t>
            </w:r>
          </w:p>
        </w:tc>
        <w:tc>
          <w:tcPr>
            <w:tcW w:w="1384" w:type="dxa"/>
            <w:vAlign w:val="center"/>
          </w:tcPr>
          <w:p w14:paraId="7FE774A6">
            <w:pPr>
              <w:keepLines w:val="0"/>
              <w:pageBreakBefore w:val="0"/>
              <w:widowControl w:val="0"/>
              <w:kinsoku/>
              <w:overflowPunct/>
              <w:topLinePunct w:val="0"/>
              <w:autoSpaceDE/>
              <w:autoSpaceDN/>
              <w:bidi w:val="0"/>
              <w:snapToGrid w:val="0"/>
              <w:spacing w:before="9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17.6.1(1</w:t>
            </w:r>
            <w:r>
              <w:rPr>
                <w:rFonts w:hint="eastAsia" w:ascii="宋体" w:hAnsi="宋体" w:eastAsia="宋体" w:cs="宋体"/>
                <w:color w:val="auto"/>
                <w:spacing w:val="-2"/>
                <w:sz w:val="21"/>
                <w:szCs w:val="21"/>
                <w:highlight w:val="none"/>
              </w:rPr>
              <w:t>)</w:t>
            </w:r>
          </w:p>
        </w:tc>
        <w:tc>
          <w:tcPr>
            <w:tcW w:w="7054" w:type="dxa"/>
            <w:tcBorders>
              <w:right w:val="single" w:color="000000" w:sz="6" w:space="0"/>
            </w:tcBorders>
            <w:vAlign w:val="center"/>
          </w:tcPr>
          <w:p w14:paraId="77867000">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承包人向监理人提交最终结清申请单(包括相关证明材料)的份数，规定为：</w:t>
            </w:r>
            <w:r>
              <w:rPr>
                <w:rFonts w:hint="eastAsia" w:ascii="宋体" w:hAnsi="宋体" w:cs="宋体"/>
                <w:color w:val="auto"/>
                <w:spacing w:val="-8"/>
                <w:sz w:val="21"/>
                <w:szCs w:val="21"/>
                <w:highlight w:val="none"/>
                <w:u w:val="none"/>
                <w:lang w:val="en-US" w:eastAsia="zh-CN"/>
              </w:rPr>
              <w:t>7</w:t>
            </w:r>
            <w:r>
              <w:rPr>
                <w:rFonts w:hint="eastAsia" w:ascii="宋体" w:hAnsi="宋体" w:eastAsia="宋体" w:cs="宋体"/>
                <w:color w:val="auto"/>
                <w:spacing w:val="-5"/>
                <w:sz w:val="21"/>
                <w:szCs w:val="21"/>
                <w:highlight w:val="none"/>
                <w:u w:val="none"/>
              </w:rPr>
              <w:t>份</w:t>
            </w:r>
          </w:p>
        </w:tc>
      </w:tr>
      <w:tr w14:paraId="6C4C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10CC7FE9">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3</w:t>
            </w:r>
          </w:p>
        </w:tc>
        <w:tc>
          <w:tcPr>
            <w:tcW w:w="1384" w:type="dxa"/>
            <w:vAlign w:val="center"/>
          </w:tcPr>
          <w:p w14:paraId="2BA2712E">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18.2(2</w:t>
            </w:r>
            <w:r>
              <w:rPr>
                <w:rFonts w:hint="eastAsia" w:ascii="宋体" w:hAnsi="宋体" w:eastAsia="宋体" w:cs="宋体"/>
                <w:color w:val="auto"/>
                <w:sz w:val="21"/>
                <w:szCs w:val="21"/>
                <w:highlight w:val="none"/>
              </w:rPr>
              <w:t>)</w:t>
            </w:r>
          </w:p>
        </w:tc>
        <w:tc>
          <w:tcPr>
            <w:tcW w:w="7054" w:type="dxa"/>
            <w:tcBorders>
              <w:right w:val="single" w:color="000000" w:sz="6" w:space="0"/>
            </w:tcBorders>
            <w:vAlign w:val="center"/>
          </w:tcPr>
          <w:p w14:paraId="4F4066FC">
            <w:pPr>
              <w:keepLines w:val="0"/>
              <w:pageBreakBefore w:val="0"/>
              <w:widowControl w:val="0"/>
              <w:kinsoku/>
              <w:overflowPunct/>
              <w:topLinePunct w:val="0"/>
              <w:autoSpaceDE/>
              <w:autoSpaceDN/>
              <w:bidi w:val="0"/>
              <w:snapToGrid w:val="0"/>
              <w:spacing w:before="157"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竣工资料的份数，规定为：</w:t>
            </w:r>
            <w:r>
              <w:rPr>
                <w:rFonts w:hint="eastAsia" w:ascii="宋体" w:hAnsi="宋体" w:cs="宋体"/>
                <w:color w:val="auto"/>
                <w:spacing w:val="-5"/>
                <w:sz w:val="21"/>
                <w:szCs w:val="21"/>
                <w:highlight w:val="none"/>
                <w:lang w:val="en-US" w:eastAsia="zh-CN"/>
              </w:rPr>
              <w:t>5</w:t>
            </w:r>
            <w:r>
              <w:rPr>
                <w:rFonts w:hint="eastAsia" w:ascii="宋体" w:hAnsi="宋体" w:eastAsia="宋体" w:cs="宋体"/>
                <w:color w:val="auto"/>
                <w:spacing w:val="-3"/>
                <w:sz w:val="21"/>
                <w:szCs w:val="21"/>
                <w:highlight w:val="none"/>
              </w:rPr>
              <w:t>份</w:t>
            </w:r>
          </w:p>
        </w:tc>
      </w:tr>
      <w:tr w14:paraId="0FAD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22DEFDB4">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4</w:t>
            </w:r>
          </w:p>
        </w:tc>
        <w:tc>
          <w:tcPr>
            <w:tcW w:w="1384" w:type="dxa"/>
            <w:vAlign w:val="center"/>
          </w:tcPr>
          <w:p w14:paraId="30FDF9BE">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
                <w:sz w:val="21"/>
                <w:szCs w:val="21"/>
                <w:highlight w:val="none"/>
              </w:rPr>
              <w:t>8.5.1</w:t>
            </w:r>
          </w:p>
        </w:tc>
        <w:tc>
          <w:tcPr>
            <w:tcW w:w="7054" w:type="dxa"/>
            <w:tcBorders>
              <w:right w:val="single" w:color="000000" w:sz="6" w:space="0"/>
            </w:tcBorders>
            <w:vAlign w:val="center"/>
          </w:tcPr>
          <w:p w14:paraId="10BEAEB2">
            <w:pPr>
              <w:keepLines w:val="0"/>
              <w:pageBreakBefore w:val="0"/>
              <w:widowControl w:val="0"/>
              <w:kinsoku/>
              <w:overflowPunct/>
              <w:topLinePunct w:val="0"/>
              <w:autoSpaceDE/>
              <w:autoSpaceDN/>
              <w:bidi w:val="0"/>
              <w:snapToGrid w:val="0"/>
              <w:spacing w:before="15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单</w:t>
            </w:r>
            <w:r>
              <w:rPr>
                <w:rFonts w:hint="eastAsia" w:ascii="宋体" w:hAnsi="宋体" w:eastAsia="宋体" w:cs="宋体"/>
                <w:color w:val="auto"/>
                <w:spacing w:val="9"/>
                <w:sz w:val="21"/>
                <w:szCs w:val="21"/>
                <w:highlight w:val="none"/>
              </w:rPr>
              <w:t>位工程或工程设备是否需投入施工期运行，规定为：</w:t>
            </w:r>
            <w:r>
              <w:rPr>
                <w:rFonts w:hint="eastAsia" w:ascii="宋体" w:hAnsi="宋体" w:eastAsia="宋体" w:cs="宋体"/>
                <w:color w:val="auto"/>
                <w:spacing w:val="9"/>
                <w:sz w:val="21"/>
                <w:szCs w:val="21"/>
                <w:highlight w:val="none"/>
                <w:u w:val="single" w:color="auto"/>
              </w:rPr>
              <w:t>否</w:t>
            </w:r>
          </w:p>
          <w:p w14:paraId="36D63BE0">
            <w:pPr>
              <w:keepLines w:val="0"/>
              <w:pageBreakBefore w:val="0"/>
              <w:widowControl w:val="0"/>
              <w:kinsoku/>
              <w:overflowPunct/>
              <w:topLinePunct w:val="0"/>
              <w:autoSpaceDE/>
              <w:autoSpaceDN/>
              <w:bidi w:val="0"/>
              <w:snapToGrid w:val="0"/>
              <w:spacing w:before="153"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如单位工程或工程设备需要进行施工期运行，需要施工期运行的单位工程或</w:t>
            </w:r>
            <w:r>
              <w:rPr>
                <w:rFonts w:hint="eastAsia" w:ascii="宋体" w:hAnsi="宋体" w:eastAsia="宋体" w:cs="宋体"/>
                <w:color w:val="auto"/>
                <w:spacing w:val="11"/>
                <w:sz w:val="21"/>
                <w:szCs w:val="21"/>
                <w:highlight w:val="none"/>
              </w:rPr>
              <w:t>工</w:t>
            </w:r>
            <w:r>
              <w:rPr>
                <w:rFonts w:hint="eastAsia" w:ascii="宋体" w:hAnsi="宋体" w:eastAsia="宋体" w:cs="宋体"/>
                <w:color w:val="auto"/>
                <w:spacing w:val="1"/>
                <w:sz w:val="21"/>
                <w:szCs w:val="21"/>
                <w:highlight w:val="none"/>
              </w:rPr>
              <w:t>程设备，具体规定为：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14:paraId="2B000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shd w:val="clear" w:color="auto" w:fill="auto"/>
            <w:vAlign w:val="center"/>
          </w:tcPr>
          <w:p w14:paraId="6C0115B0">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5</w:t>
            </w:r>
          </w:p>
        </w:tc>
        <w:tc>
          <w:tcPr>
            <w:tcW w:w="1384" w:type="dxa"/>
            <w:vAlign w:val="center"/>
          </w:tcPr>
          <w:p w14:paraId="6C3DA383">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4"/>
                <w:sz w:val="21"/>
                <w:szCs w:val="21"/>
                <w:highlight w:val="none"/>
              </w:rPr>
              <w:t>8.6.1</w:t>
            </w:r>
          </w:p>
        </w:tc>
        <w:tc>
          <w:tcPr>
            <w:tcW w:w="7054" w:type="dxa"/>
            <w:tcBorders>
              <w:right w:val="single" w:color="000000" w:sz="6" w:space="0"/>
            </w:tcBorders>
            <w:vAlign w:val="center"/>
          </w:tcPr>
          <w:p w14:paraId="0E7DA44F">
            <w:pPr>
              <w:keepLines w:val="0"/>
              <w:pageBreakBefore w:val="0"/>
              <w:widowControl w:val="0"/>
              <w:kinsoku/>
              <w:overflowPunct/>
              <w:topLinePunct w:val="0"/>
              <w:autoSpaceDE/>
              <w:autoSpaceDN/>
              <w:bidi w:val="0"/>
              <w:snapToGrid w:val="0"/>
              <w:spacing w:before="14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本工程及工程设备是否进行试运行，规定为：</w:t>
            </w:r>
            <w:r>
              <w:rPr>
                <w:rFonts w:hint="eastAsia" w:ascii="宋体" w:hAnsi="宋体" w:eastAsia="宋体" w:cs="宋体"/>
                <w:color w:val="auto"/>
                <w:spacing w:val="9"/>
                <w:sz w:val="21"/>
                <w:szCs w:val="21"/>
                <w:highlight w:val="none"/>
                <w:u w:val="single" w:color="auto"/>
              </w:rPr>
              <w:t>否</w:t>
            </w:r>
          </w:p>
          <w:p w14:paraId="65CEC337">
            <w:pPr>
              <w:keepLines w:val="0"/>
              <w:pageBreakBefore w:val="0"/>
              <w:widowControl w:val="0"/>
              <w:kinsoku/>
              <w:overflowPunct/>
              <w:topLinePunct w:val="0"/>
              <w:autoSpaceDE/>
              <w:autoSpaceDN/>
              <w:bidi w:val="0"/>
              <w:snapToGrid w:val="0"/>
              <w:spacing w:before="12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如本工程及工程设备需要进行试运行，试运行的</w:t>
            </w:r>
            <w:r>
              <w:rPr>
                <w:rFonts w:hint="eastAsia" w:ascii="宋体" w:hAnsi="宋体" w:eastAsia="宋体" w:cs="宋体"/>
                <w:color w:val="auto"/>
                <w:position w:val="1"/>
                <w:sz w:val="21"/>
                <w:szCs w:val="21"/>
                <w:highlight w:val="none"/>
              </w:rPr>
              <w:t>具体规定为：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14:paraId="5650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5788A905">
            <w:pPr>
              <w:keepLines w:val="0"/>
              <w:pageBreakBefore w:val="0"/>
              <w:widowControl w:val="0"/>
              <w:kinsoku/>
              <w:overflowPunct/>
              <w:topLinePunct w:val="0"/>
              <w:autoSpaceDE/>
              <w:autoSpaceDN/>
              <w:bidi w:val="0"/>
              <w:snapToGrid w:val="0"/>
              <w:spacing w:before="150"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6</w:t>
            </w:r>
          </w:p>
        </w:tc>
        <w:tc>
          <w:tcPr>
            <w:tcW w:w="1384" w:type="dxa"/>
            <w:vAlign w:val="center"/>
          </w:tcPr>
          <w:p w14:paraId="38B072A2">
            <w:pPr>
              <w:keepLines w:val="0"/>
              <w:pageBreakBefore w:val="0"/>
              <w:widowControl w:val="0"/>
              <w:kinsoku/>
              <w:overflowPunct/>
              <w:topLinePunct w:val="0"/>
              <w:autoSpaceDE/>
              <w:autoSpaceDN/>
              <w:bidi w:val="0"/>
              <w:snapToGrid w:val="0"/>
              <w:spacing w:before="111"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19.7(1</w:t>
            </w:r>
            <w:r>
              <w:rPr>
                <w:rFonts w:hint="eastAsia" w:ascii="宋体" w:hAnsi="宋体" w:eastAsia="宋体" w:cs="宋体"/>
                <w:color w:val="auto"/>
                <w:sz w:val="21"/>
                <w:szCs w:val="21"/>
                <w:highlight w:val="none"/>
              </w:rPr>
              <w:t>)</w:t>
            </w:r>
          </w:p>
        </w:tc>
        <w:tc>
          <w:tcPr>
            <w:tcW w:w="7054" w:type="dxa"/>
            <w:tcBorders>
              <w:right w:val="single" w:color="000000" w:sz="6" w:space="0"/>
            </w:tcBorders>
            <w:vAlign w:val="center"/>
          </w:tcPr>
          <w:p w14:paraId="73F2E9EB">
            <w:pPr>
              <w:keepLines w:val="0"/>
              <w:pageBreakBefore w:val="0"/>
              <w:widowControl w:val="0"/>
              <w:kinsoku/>
              <w:overflowPunct/>
              <w:topLinePunct w:val="0"/>
              <w:autoSpaceDE/>
              <w:autoSpaceDN/>
              <w:bidi w:val="0"/>
              <w:snapToGrid w:val="0"/>
              <w:spacing w:before="160"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保</w:t>
            </w:r>
            <w:r>
              <w:rPr>
                <w:rFonts w:hint="eastAsia" w:ascii="宋体" w:hAnsi="宋体" w:eastAsia="宋体" w:cs="宋体"/>
                <w:color w:val="auto"/>
                <w:spacing w:val="4"/>
                <w:sz w:val="21"/>
                <w:szCs w:val="21"/>
                <w:highlight w:val="none"/>
              </w:rPr>
              <w:t>修期：自实际交工验收合格之日起计算12个月</w:t>
            </w:r>
          </w:p>
        </w:tc>
      </w:tr>
      <w:tr w14:paraId="7B9B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center"/>
          </w:tcPr>
          <w:p w14:paraId="6666F1B5">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7</w:t>
            </w:r>
          </w:p>
        </w:tc>
        <w:tc>
          <w:tcPr>
            <w:tcW w:w="1384" w:type="dxa"/>
            <w:vAlign w:val="center"/>
          </w:tcPr>
          <w:p w14:paraId="0B37B48C">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0</w:t>
            </w:r>
            <w:r>
              <w:rPr>
                <w:rFonts w:hint="eastAsia" w:ascii="宋体" w:hAnsi="宋体" w:eastAsia="宋体" w:cs="宋体"/>
                <w:color w:val="auto"/>
                <w:spacing w:val="-3"/>
                <w:sz w:val="21"/>
                <w:szCs w:val="21"/>
                <w:highlight w:val="none"/>
              </w:rPr>
              <w:t>.1</w:t>
            </w:r>
          </w:p>
        </w:tc>
        <w:tc>
          <w:tcPr>
            <w:tcW w:w="7054" w:type="dxa"/>
            <w:tcBorders>
              <w:right w:val="single" w:color="000000" w:sz="6" w:space="0"/>
            </w:tcBorders>
            <w:vAlign w:val="center"/>
          </w:tcPr>
          <w:p w14:paraId="4DD3E63A">
            <w:pPr>
              <w:keepLines w:val="0"/>
              <w:pageBreakBefore w:val="0"/>
              <w:widowControl w:val="0"/>
              <w:kinsoku/>
              <w:overflowPunct/>
              <w:topLinePunct w:val="0"/>
              <w:autoSpaceDE/>
              <w:autoSpaceDN/>
              <w:bidi w:val="0"/>
              <w:snapToGrid w:val="0"/>
              <w:spacing w:before="158"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建筑工程一切险的投保内容：为本合同工程的永久工程、临时工程和设备及已</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9"/>
                <w:sz w:val="21"/>
                <w:szCs w:val="21"/>
                <w:highlight w:val="none"/>
              </w:rPr>
              <w:t>至施工工地用于永久工程的材料和设备所投的保险。</w:t>
            </w:r>
          </w:p>
          <w:p w14:paraId="4774F2C6">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保险金额：工程量清单全部章节的合计金额</w:t>
            </w:r>
            <w:r>
              <w:rPr>
                <w:rFonts w:hint="eastAsia" w:ascii="宋体" w:hAnsi="宋体" w:eastAsia="宋体" w:cs="宋体"/>
                <w:color w:val="auto"/>
                <w:spacing w:val="8"/>
                <w:sz w:val="21"/>
                <w:szCs w:val="21"/>
                <w:highlight w:val="none"/>
              </w:rPr>
              <w:t>。</w:t>
            </w:r>
          </w:p>
          <w:p w14:paraId="072C5567">
            <w:pPr>
              <w:keepLines w:val="0"/>
              <w:pageBreakBefore w:val="0"/>
              <w:widowControl w:val="0"/>
              <w:kinsoku/>
              <w:overflowPunct/>
              <w:topLinePunct w:val="0"/>
              <w:autoSpaceDE/>
              <w:autoSpaceDN/>
              <w:bidi w:val="0"/>
              <w:snapToGrid w:val="0"/>
              <w:spacing w:before="115"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保</w:t>
            </w:r>
            <w:r>
              <w:rPr>
                <w:rFonts w:hint="eastAsia" w:ascii="宋体" w:hAnsi="宋体" w:eastAsia="宋体" w:cs="宋体"/>
                <w:color w:val="auto"/>
                <w:spacing w:val="5"/>
                <w:sz w:val="21"/>
                <w:szCs w:val="21"/>
                <w:highlight w:val="none"/>
              </w:rPr>
              <w:t>险费率：</w:t>
            </w:r>
            <w:r>
              <w:rPr>
                <w:rFonts w:hint="eastAsia" w:ascii="宋体" w:hAnsi="宋体" w:eastAsia="宋体" w:cs="宋体"/>
                <w:color w:val="auto"/>
                <w:spacing w:val="5"/>
                <w:sz w:val="21"/>
                <w:szCs w:val="21"/>
                <w:highlight w:val="none"/>
                <w:u w:val="single" w:color="auto"/>
              </w:rPr>
              <w:t xml:space="preserve">  0.3%  </w:t>
            </w:r>
            <w:r>
              <w:rPr>
                <w:rFonts w:hint="eastAsia" w:ascii="宋体" w:hAnsi="宋体" w:eastAsia="宋体" w:cs="宋体"/>
                <w:color w:val="auto"/>
                <w:spacing w:val="5"/>
                <w:sz w:val="21"/>
                <w:szCs w:val="21"/>
                <w:highlight w:val="none"/>
              </w:rPr>
              <w:t>。</w:t>
            </w:r>
          </w:p>
          <w:p w14:paraId="75EB8673">
            <w:pPr>
              <w:keepLines w:val="0"/>
              <w:pageBreakBefore w:val="0"/>
              <w:widowControl w:val="0"/>
              <w:kinsoku/>
              <w:overflowPunct/>
              <w:topLinePunct w:val="0"/>
              <w:autoSpaceDE/>
              <w:autoSpaceDN/>
              <w:bidi w:val="0"/>
              <w:snapToGrid w:val="0"/>
              <w:spacing w:before="119"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保险</w:t>
            </w:r>
            <w:r>
              <w:rPr>
                <w:rFonts w:hint="eastAsia" w:ascii="宋体" w:hAnsi="宋体" w:eastAsia="宋体" w:cs="宋体"/>
                <w:color w:val="auto"/>
                <w:spacing w:val="14"/>
                <w:sz w:val="21"/>
                <w:szCs w:val="21"/>
                <w:highlight w:val="none"/>
              </w:rPr>
              <w:t>期</w:t>
            </w:r>
            <w:r>
              <w:rPr>
                <w:rFonts w:hint="eastAsia" w:ascii="宋体" w:hAnsi="宋体" w:eastAsia="宋体" w:cs="宋体"/>
                <w:color w:val="auto"/>
                <w:spacing w:val="11"/>
                <w:sz w:val="21"/>
                <w:szCs w:val="21"/>
                <w:highlight w:val="none"/>
              </w:rPr>
              <w:t>限：开工日起直至本合同工程签发缺陷责任期终止证书止(即合同工期</w:t>
            </w:r>
            <w:r>
              <w:rPr>
                <w:rFonts w:hint="eastAsia" w:ascii="宋体" w:hAnsi="宋体" w:eastAsia="宋体" w:cs="宋体"/>
                <w:color w:val="auto"/>
                <w:spacing w:val="5"/>
                <w:sz w:val="21"/>
                <w:szCs w:val="21"/>
                <w:highlight w:val="none"/>
              </w:rPr>
              <w:t>＋缺陷责任期)</w:t>
            </w:r>
            <w:r>
              <w:rPr>
                <w:rFonts w:hint="eastAsia" w:ascii="宋体" w:hAnsi="宋体" w:eastAsia="宋体" w:cs="宋体"/>
                <w:color w:val="auto"/>
                <w:spacing w:val="3"/>
                <w:sz w:val="21"/>
                <w:szCs w:val="21"/>
                <w:highlight w:val="none"/>
              </w:rPr>
              <w:t>。</w:t>
            </w:r>
          </w:p>
          <w:p w14:paraId="2B2334C0">
            <w:pPr>
              <w:keepLines w:val="0"/>
              <w:pageBreakBefore w:val="0"/>
              <w:widowControl w:val="0"/>
              <w:kinsoku/>
              <w:overflowPunct/>
              <w:topLinePunct w:val="0"/>
              <w:autoSpaceDE/>
              <w:autoSpaceDN/>
              <w:bidi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承</w:t>
            </w:r>
            <w:r>
              <w:rPr>
                <w:rFonts w:hint="eastAsia" w:ascii="宋体" w:hAnsi="宋体" w:eastAsia="宋体" w:cs="宋体"/>
                <w:color w:val="auto"/>
                <w:spacing w:val="12"/>
                <w:sz w:val="21"/>
                <w:szCs w:val="21"/>
                <w:highlight w:val="none"/>
              </w:rPr>
              <w:t>包人应以发包人和承包人的共同名义投保建筑工程一切险。承包人因办理建筑工程一切险所发生的费用</w:t>
            </w:r>
            <w:r>
              <w:rPr>
                <w:rFonts w:hint="eastAsia" w:ascii="宋体" w:hAnsi="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应认为已含入</w:t>
            </w:r>
            <w:r>
              <w:rPr>
                <w:rFonts w:hint="eastAsia" w:ascii="宋体" w:hAnsi="宋体" w:cs="宋体"/>
                <w:color w:val="auto"/>
                <w:spacing w:val="12"/>
                <w:sz w:val="21"/>
                <w:szCs w:val="21"/>
                <w:highlight w:val="none"/>
                <w:lang w:val="en-US" w:eastAsia="zh-CN"/>
              </w:rPr>
              <w:t>投标总价</w:t>
            </w:r>
            <w:r>
              <w:rPr>
                <w:rFonts w:hint="eastAsia" w:ascii="宋体" w:hAnsi="宋体" w:eastAsia="宋体" w:cs="宋体"/>
                <w:color w:val="auto"/>
                <w:spacing w:val="12"/>
                <w:sz w:val="21"/>
                <w:szCs w:val="21"/>
                <w:highlight w:val="none"/>
              </w:rPr>
              <w:t>中，</w:t>
            </w:r>
            <w:r>
              <w:rPr>
                <w:rFonts w:hint="eastAsia" w:ascii="宋体" w:hAnsi="宋体" w:cs="宋体"/>
                <w:color w:val="auto"/>
                <w:spacing w:val="12"/>
                <w:sz w:val="21"/>
                <w:szCs w:val="21"/>
                <w:highlight w:val="none"/>
                <w:lang w:val="en-US" w:eastAsia="zh-CN"/>
              </w:rPr>
              <w:t>不单独列项填报，</w:t>
            </w:r>
            <w:r>
              <w:rPr>
                <w:rFonts w:hint="eastAsia" w:ascii="宋体" w:hAnsi="宋体" w:eastAsia="宋体" w:cs="宋体"/>
                <w:color w:val="auto"/>
                <w:spacing w:val="12"/>
                <w:sz w:val="21"/>
                <w:szCs w:val="21"/>
                <w:highlight w:val="none"/>
              </w:rPr>
              <w:t>发包人不另行</w:t>
            </w:r>
            <w:r>
              <w:rPr>
                <w:rFonts w:hint="eastAsia" w:ascii="宋体" w:hAnsi="宋体" w:eastAsia="宋体" w:cs="宋体"/>
                <w:color w:val="auto"/>
                <w:spacing w:val="7"/>
                <w:sz w:val="21"/>
                <w:szCs w:val="21"/>
                <w:highlight w:val="none"/>
              </w:rPr>
              <w:t>支付。</w:t>
            </w:r>
          </w:p>
          <w:p w14:paraId="50C590BA">
            <w:pPr>
              <w:keepLines w:val="0"/>
              <w:pageBreakBefore w:val="0"/>
              <w:widowControl w:val="0"/>
              <w:kinsoku/>
              <w:overflowPunct/>
              <w:topLinePunct w:val="0"/>
              <w:autoSpaceDE/>
              <w:autoSpaceDN/>
              <w:bidi w:val="0"/>
              <w:snapToGrid w:val="0"/>
              <w:spacing w:before="1"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当本</w:t>
            </w:r>
            <w:r>
              <w:rPr>
                <w:rFonts w:hint="eastAsia" w:ascii="宋体" w:hAnsi="宋体" w:eastAsia="宋体" w:cs="宋体"/>
                <w:color w:val="auto"/>
                <w:spacing w:val="12"/>
                <w:sz w:val="21"/>
                <w:szCs w:val="21"/>
                <w:highlight w:val="none"/>
              </w:rPr>
              <w:t>合</w:t>
            </w:r>
            <w:r>
              <w:rPr>
                <w:rFonts w:hint="eastAsia" w:ascii="宋体" w:hAnsi="宋体" w:eastAsia="宋体" w:cs="宋体"/>
                <w:color w:val="auto"/>
                <w:spacing w:val="11"/>
                <w:sz w:val="21"/>
                <w:szCs w:val="21"/>
                <w:highlight w:val="none"/>
              </w:rPr>
              <w:t>同工程发生损失或损害时，承包人应按保险单规定的条件和期限及时向</w:t>
            </w:r>
            <w:r>
              <w:rPr>
                <w:rFonts w:hint="eastAsia" w:ascii="宋体" w:hAnsi="宋体" w:eastAsia="宋体" w:cs="宋体"/>
                <w:color w:val="auto"/>
                <w:spacing w:val="13"/>
                <w:sz w:val="21"/>
                <w:szCs w:val="21"/>
                <w:highlight w:val="none"/>
              </w:rPr>
              <w:t>保</w:t>
            </w:r>
            <w:r>
              <w:rPr>
                <w:rFonts w:hint="eastAsia" w:ascii="宋体" w:hAnsi="宋体" w:eastAsia="宋体" w:cs="宋体"/>
                <w:color w:val="auto"/>
                <w:spacing w:val="12"/>
                <w:sz w:val="21"/>
                <w:szCs w:val="21"/>
                <w:highlight w:val="none"/>
              </w:rPr>
              <w:t>险人报告，并抄送发包人和监理人。如损害继续发生，承包人在递交第一次报</w:t>
            </w:r>
            <w:r>
              <w:rPr>
                <w:rFonts w:hint="eastAsia" w:ascii="宋体" w:hAnsi="宋体" w:eastAsia="宋体" w:cs="宋体"/>
                <w:color w:val="auto"/>
                <w:spacing w:val="10"/>
                <w:sz w:val="21"/>
                <w:szCs w:val="21"/>
                <w:highlight w:val="none"/>
              </w:rPr>
              <w:t>告后，每7天报告一次，直到损害结束。办理本款所述的保险并不免除合同规</w:t>
            </w:r>
            <w:r>
              <w:rPr>
                <w:rFonts w:hint="eastAsia" w:ascii="宋体" w:hAnsi="宋体" w:eastAsia="宋体" w:cs="宋体"/>
                <w:color w:val="auto"/>
                <w:spacing w:val="8"/>
                <w:sz w:val="21"/>
                <w:szCs w:val="21"/>
                <w:highlight w:val="none"/>
              </w:rPr>
              <w:t>定</w:t>
            </w:r>
            <w:r>
              <w:rPr>
                <w:rFonts w:hint="eastAsia" w:ascii="宋体" w:hAnsi="宋体" w:eastAsia="宋体" w:cs="宋体"/>
                <w:color w:val="auto"/>
                <w:spacing w:val="12"/>
                <w:sz w:val="21"/>
                <w:szCs w:val="21"/>
                <w:highlight w:val="none"/>
              </w:rPr>
              <w:t>的</w:t>
            </w:r>
            <w:r>
              <w:rPr>
                <w:rFonts w:hint="eastAsia" w:ascii="宋体" w:hAnsi="宋体" w:eastAsia="宋体" w:cs="宋体"/>
                <w:color w:val="auto"/>
                <w:spacing w:val="6"/>
                <w:sz w:val="21"/>
                <w:szCs w:val="21"/>
                <w:highlight w:val="none"/>
              </w:rPr>
              <w:t>承包人的义务和责任。</w:t>
            </w:r>
          </w:p>
        </w:tc>
      </w:tr>
      <w:tr w14:paraId="1723C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jc w:val="center"/>
        </w:trPr>
        <w:tc>
          <w:tcPr>
            <w:tcW w:w="624" w:type="dxa"/>
            <w:tcBorders>
              <w:left w:val="single" w:color="000000" w:sz="6" w:space="0"/>
            </w:tcBorders>
            <w:vAlign w:val="center"/>
          </w:tcPr>
          <w:p w14:paraId="457A2633">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8</w:t>
            </w:r>
          </w:p>
        </w:tc>
        <w:tc>
          <w:tcPr>
            <w:tcW w:w="1384" w:type="dxa"/>
            <w:vAlign w:val="center"/>
          </w:tcPr>
          <w:p w14:paraId="41E2942D">
            <w:pPr>
              <w:keepLines w:val="0"/>
              <w:pageBreakBefore w:val="0"/>
              <w:widowControl w:val="0"/>
              <w:kinsoku/>
              <w:overflowPunct/>
              <w:topLinePunct w:val="0"/>
              <w:autoSpaceDE/>
              <w:autoSpaceDN/>
              <w:bidi w:val="0"/>
              <w:snapToGrid w:val="0"/>
              <w:spacing w:before="57" w:line="240" w:lineRule="auto"/>
              <w:ind w:left="105" w:leftChars="50" w:right="283"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pacing w:val="2"/>
                <w:sz w:val="21"/>
                <w:szCs w:val="21"/>
                <w:highlight w:val="none"/>
              </w:rPr>
              <w:t>4</w:t>
            </w:r>
          </w:p>
        </w:tc>
        <w:tc>
          <w:tcPr>
            <w:tcW w:w="7054" w:type="dxa"/>
            <w:tcBorders>
              <w:right w:val="single" w:color="000000" w:sz="6" w:space="0"/>
            </w:tcBorders>
            <w:vAlign w:val="center"/>
          </w:tcPr>
          <w:p w14:paraId="42D32D5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8"/>
                <w:position w:val="15"/>
                <w:sz w:val="21"/>
                <w:szCs w:val="21"/>
                <w:highlight w:val="none"/>
              </w:rPr>
              <w:t>20.4.1</w:t>
            </w:r>
            <w:r>
              <w:rPr>
                <w:rFonts w:hint="eastAsia" w:ascii="宋体" w:hAnsi="宋体" w:eastAsia="宋体" w:cs="宋体"/>
                <w:color w:val="auto"/>
                <w:spacing w:val="4"/>
                <w:position w:val="15"/>
                <w:sz w:val="21"/>
                <w:szCs w:val="21"/>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458B69D">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4"/>
                <w:position w:val="15"/>
                <w:sz w:val="21"/>
                <w:szCs w:val="21"/>
                <w:highlight w:val="none"/>
              </w:rPr>
              <w:t>20.4.2在缺陷责任期终止证书颁发前，承包人应以承包人和发包人的共同名义，投保第20.4.1项约定的第三者责任险，其中：</w:t>
            </w:r>
          </w:p>
          <w:p w14:paraId="6BB113F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4"/>
                <w:position w:val="15"/>
                <w:sz w:val="21"/>
                <w:szCs w:val="21"/>
                <w:highlight w:val="none"/>
              </w:rPr>
              <w:t>第三者责任险的最低投保金额，规定为：</w:t>
            </w:r>
            <w:r>
              <w:rPr>
                <w:rFonts w:hint="eastAsia" w:ascii="宋体" w:hAnsi="宋体" w:eastAsia="宋体" w:cs="宋体"/>
                <w:color w:val="auto"/>
                <w:spacing w:val="4"/>
                <w:position w:val="15"/>
                <w:sz w:val="21"/>
                <w:szCs w:val="21"/>
                <w:highlight w:val="none"/>
                <w:u w:val="single"/>
              </w:rPr>
              <w:t>100万元</w:t>
            </w:r>
            <w:r>
              <w:rPr>
                <w:rFonts w:hint="eastAsia" w:ascii="宋体" w:hAnsi="宋体" w:eastAsia="宋体" w:cs="宋体"/>
                <w:color w:val="auto"/>
                <w:spacing w:val="4"/>
                <w:position w:val="15"/>
                <w:sz w:val="21"/>
                <w:szCs w:val="21"/>
                <w:highlight w:val="none"/>
              </w:rPr>
              <w:t>。</w:t>
            </w:r>
          </w:p>
          <w:p w14:paraId="72CFD48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pacing w:val="4"/>
                <w:position w:val="15"/>
                <w:sz w:val="21"/>
                <w:szCs w:val="21"/>
                <w:highlight w:val="none"/>
              </w:rPr>
            </w:pPr>
            <w:r>
              <w:rPr>
                <w:rFonts w:hint="eastAsia" w:ascii="宋体" w:hAnsi="宋体" w:eastAsia="宋体" w:cs="宋体"/>
                <w:color w:val="auto"/>
                <w:spacing w:val="4"/>
                <w:position w:val="15"/>
                <w:sz w:val="21"/>
                <w:szCs w:val="21"/>
                <w:highlight w:val="none"/>
              </w:rPr>
              <w:t>保险费率：</w:t>
            </w:r>
            <w:r>
              <w:rPr>
                <w:rFonts w:hint="eastAsia" w:ascii="宋体" w:hAnsi="宋体" w:eastAsia="宋体" w:cs="宋体"/>
                <w:color w:val="auto"/>
                <w:spacing w:val="4"/>
                <w:position w:val="15"/>
                <w:sz w:val="21"/>
                <w:szCs w:val="21"/>
                <w:highlight w:val="none"/>
                <w:u w:val="single"/>
              </w:rPr>
              <w:t>0.1%</w:t>
            </w:r>
            <w:r>
              <w:rPr>
                <w:rFonts w:hint="eastAsia" w:ascii="宋体" w:hAnsi="宋体" w:eastAsia="宋体" w:cs="宋体"/>
                <w:color w:val="auto"/>
                <w:spacing w:val="4"/>
                <w:position w:val="15"/>
                <w:sz w:val="21"/>
                <w:szCs w:val="21"/>
                <w:highlight w:val="none"/>
              </w:rPr>
              <w:t>。</w:t>
            </w:r>
          </w:p>
          <w:p w14:paraId="44C0B79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283"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5"/>
                <w:sz w:val="21"/>
                <w:szCs w:val="21"/>
                <w:highlight w:val="none"/>
              </w:rPr>
              <w:t>20.4.3承包人因办理第三者责任险所发生的费用</w:t>
            </w:r>
            <w:r>
              <w:rPr>
                <w:rFonts w:hint="eastAsia" w:ascii="宋体" w:hAnsi="宋体" w:cs="宋体"/>
                <w:color w:val="auto"/>
                <w:spacing w:val="4"/>
                <w:position w:val="15"/>
                <w:sz w:val="21"/>
                <w:szCs w:val="21"/>
                <w:highlight w:val="none"/>
                <w:lang w:eastAsia="zh-CN"/>
              </w:rPr>
              <w:t>，应认为已含入</w:t>
            </w:r>
            <w:r>
              <w:rPr>
                <w:rFonts w:hint="eastAsia" w:ascii="宋体" w:hAnsi="宋体" w:cs="宋体"/>
                <w:color w:val="auto"/>
                <w:spacing w:val="4"/>
                <w:position w:val="15"/>
                <w:sz w:val="21"/>
                <w:szCs w:val="21"/>
                <w:highlight w:val="none"/>
                <w:lang w:val="en-US" w:eastAsia="zh-CN"/>
              </w:rPr>
              <w:t>投标总价</w:t>
            </w:r>
            <w:r>
              <w:rPr>
                <w:rFonts w:hint="eastAsia" w:ascii="宋体" w:hAnsi="宋体" w:cs="宋体"/>
                <w:color w:val="auto"/>
                <w:spacing w:val="4"/>
                <w:position w:val="15"/>
                <w:sz w:val="21"/>
                <w:szCs w:val="21"/>
                <w:highlight w:val="none"/>
                <w:lang w:eastAsia="zh-CN"/>
              </w:rPr>
              <w:t>中，</w:t>
            </w:r>
            <w:r>
              <w:rPr>
                <w:rFonts w:hint="eastAsia" w:ascii="宋体" w:hAnsi="宋体" w:cs="宋体"/>
                <w:color w:val="auto"/>
                <w:spacing w:val="4"/>
                <w:position w:val="15"/>
                <w:sz w:val="21"/>
                <w:szCs w:val="21"/>
                <w:highlight w:val="none"/>
                <w:lang w:val="en-US" w:eastAsia="zh-CN"/>
              </w:rPr>
              <w:t>不单独列项填报，</w:t>
            </w:r>
            <w:r>
              <w:rPr>
                <w:rFonts w:hint="eastAsia" w:ascii="宋体" w:hAnsi="宋体" w:cs="宋体"/>
                <w:color w:val="auto"/>
                <w:spacing w:val="4"/>
                <w:position w:val="15"/>
                <w:sz w:val="21"/>
                <w:szCs w:val="21"/>
                <w:highlight w:val="none"/>
                <w:lang w:eastAsia="zh-CN"/>
              </w:rPr>
              <w:t>发包人不另行支付。</w:t>
            </w:r>
          </w:p>
        </w:tc>
      </w:tr>
      <w:tr w14:paraId="2BCC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0" w:hRule="atLeast"/>
          <w:jc w:val="center"/>
        </w:trPr>
        <w:tc>
          <w:tcPr>
            <w:tcW w:w="624" w:type="dxa"/>
            <w:tcBorders>
              <w:left w:val="single" w:color="000000" w:sz="6" w:space="0"/>
            </w:tcBorders>
            <w:vAlign w:val="center"/>
          </w:tcPr>
          <w:p w14:paraId="2E4891DC">
            <w:pPr>
              <w:keepLines w:val="0"/>
              <w:pageBreakBefore w:val="0"/>
              <w:widowControl w:val="0"/>
              <w:kinsoku/>
              <w:overflowPunct/>
              <w:topLinePunct w:val="0"/>
              <w:autoSpaceDE/>
              <w:autoSpaceDN/>
              <w:bidi w:val="0"/>
              <w:snapToGrid w:val="0"/>
              <w:spacing w:before="58" w:line="240" w:lineRule="auto"/>
              <w:ind w:left="105" w:leftChars="50" w:right="283" w:rightChars="0" w:firstLine="0" w:firstLineChars="0"/>
              <w:jc w:val="center"/>
              <w:textAlignment w:val="auto"/>
              <w:rPr>
                <w:rFonts w:hint="default" w:ascii="宋体" w:hAnsi="宋体" w:eastAsia="宋体" w:cs="宋体"/>
                <w:color w:val="auto"/>
                <w:spacing w:val="3"/>
                <w:sz w:val="21"/>
                <w:szCs w:val="21"/>
                <w:highlight w:val="none"/>
                <w:lang w:val="en-US" w:eastAsia="zh-CN"/>
              </w:rPr>
            </w:pPr>
            <w:bookmarkStart w:id="1443" w:name="_Toc234833222"/>
            <w:r>
              <w:rPr>
                <w:rFonts w:hint="eastAsia" w:ascii="宋体" w:hAnsi="宋体" w:cs="宋体"/>
                <w:color w:val="auto"/>
                <w:spacing w:val="3"/>
                <w:sz w:val="21"/>
                <w:szCs w:val="21"/>
                <w:highlight w:val="none"/>
                <w:lang w:val="en-US" w:eastAsia="zh-CN"/>
              </w:rPr>
              <w:t>49</w:t>
            </w:r>
          </w:p>
        </w:tc>
        <w:tc>
          <w:tcPr>
            <w:tcW w:w="1384" w:type="dxa"/>
            <w:shd w:val="clear" w:color="auto" w:fill="auto"/>
            <w:vAlign w:val="top"/>
          </w:tcPr>
          <w:p w14:paraId="30B24759">
            <w:pPr>
              <w:keepNext/>
              <w:keepLines w:val="0"/>
              <w:pageBreakBefore w:val="0"/>
              <w:widowControl w:val="0"/>
              <w:kinsoku/>
              <w:overflowPunct/>
              <w:topLinePunct w:val="0"/>
              <w:autoSpaceDE/>
              <w:autoSpaceDN/>
              <w:bidi w:val="0"/>
              <w:snapToGrid w:val="0"/>
              <w:spacing w:line="266" w:lineRule="auto"/>
              <w:ind w:left="105" w:leftChars="50" w:right="283"/>
              <w:textAlignment w:val="auto"/>
              <w:rPr>
                <w:rFonts w:hint="eastAsia" w:ascii="宋体" w:hAnsi="宋体" w:eastAsia="宋体" w:cs="宋体"/>
                <w:color w:val="auto"/>
                <w:sz w:val="21"/>
                <w:szCs w:val="21"/>
                <w:highlight w:val="none"/>
              </w:rPr>
            </w:pPr>
          </w:p>
          <w:p w14:paraId="3108ECEA">
            <w:pPr>
              <w:keepNext/>
              <w:keepLines w:val="0"/>
              <w:pageBreakBefore w:val="0"/>
              <w:widowControl w:val="0"/>
              <w:kinsoku/>
              <w:overflowPunct/>
              <w:topLinePunct w:val="0"/>
              <w:autoSpaceDE/>
              <w:autoSpaceDN/>
              <w:bidi w:val="0"/>
              <w:snapToGrid w:val="0"/>
              <w:spacing w:line="266" w:lineRule="auto"/>
              <w:ind w:left="105" w:leftChars="50" w:right="283"/>
              <w:textAlignment w:val="auto"/>
              <w:rPr>
                <w:rFonts w:hint="eastAsia" w:ascii="宋体" w:hAnsi="宋体" w:eastAsia="宋体" w:cs="宋体"/>
                <w:color w:val="auto"/>
                <w:sz w:val="21"/>
                <w:szCs w:val="21"/>
                <w:highlight w:val="none"/>
              </w:rPr>
            </w:pPr>
          </w:p>
          <w:p w14:paraId="51196E0A">
            <w:pPr>
              <w:keepNext/>
              <w:keepLines w:val="0"/>
              <w:pageBreakBefore w:val="0"/>
              <w:widowControl w:val="0"/>
              <w:kinsoku/>
              <w:overflowPunct/>
              <w:topLinePunct w:val="0"/>
              <w:autoSpaceDE/>
              <w:autoSpaceDN/>
              <w:bidi w:val="0"/>
              <w:snapToGrid w:val="0"/>
              <w:spacing w:line="267" w:lineRule="auto"/>
              <w:ind w:left="105" w:leftChars="50" w:right="283"/>
              <w:textAlignment w:val="auto"/>
              <w:rPr>
                <w:rFonts w:hint="eastAsia" w:ascii="宋体" w:hAnsi="宋体" w:eastAsia="宋体" w:cs="宋体"/>
                <w:color w:val="auto"/>
                <w:sz w:val="21"/>
                <w:szCs w:val="21"/>
                <w:highlight w:val="none"/>
              </w:rPr>
            </w:pPr>
          </w:p>
          <w:p w14:paraId="4AF15A6D">
            <w:pPr>
              <w:keepNext/>
              <w:keepLines w:val="0"/>
              <w:pageBreakBefore w:val="0"/>
              <w:widowControl w:val="0"/>
              <w:kinsoku/>
              <w:overflowPunct/>
              <w:topLinePunct w:val="0"/>
              <w:autoSpaceDE/>
              <w:autoSpaceDN/>
              <w:bidi w:val="0"/>
              <w:snapToGrid w:val="0"/>
              <w:spacing w:line="267" w:lineRule="auto"/>
              <w:ind w:left="105" w:leftChars="50" w:right="283"/>
              <w:textAlignment w:val="auto"/>
              <w:rPr>
                <w:rFonts w:hint="eastAsia" w:ascii="宋体" w:hAnsi="宋体" w:eastAsia="宋体" w:cs="宋体"/>
                <w:color w:val="auto"/>
                <w:sz w:val="21"/>
                <w:szCs w:val="21"/>
                <w:highlight w:val="none"/>
              </w:rPr>
            </w:pPr>
          </w:p>
          <w:p w14:paraId="69BADC21">
            <w:pPr>
              <w:keepNext/>
              <w:keepLines w:val="0"/>
              <w:pageBreakBefore w:val="0"/>
              <w:widowControl w:val="0"/>
              <w:kinsoku/>
              <w:overflowPunct/>
              <w:topLinePunct w:val="0"/>
              <w:autoSpaceDE/>
              <w:autoSpaceDN/>
              <w:bidi w:val="0"/>
              <w:snapToGrid w:val="0"/>
              <w:spacing w:before="58" w:line="195" w:lineRule="auto"/>
              <w:ind w:left="105" w:leftChars="50" w:right="283"/>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4"/>
                <w:sz w:val="21"/>
                <w:szCs w:val="21"/>
                <w:highlight w:val="none"/>
              </w:rPr>
              <w:t>0.5</w:t>
            </w:r>
          </w:p>
        </w:tc>
        <w:tc>
          <w:tcPr>
            <w:tcW w:w="7054" w:type="dxa"/>
            <w:tcBorders>
              <w:right w:val="single" w:color="000000" w:sz="6" w:space="0"/>
            </w:tcBorders>
            <w:shd w:val="clear" w:color="auto" w:fill="auto"/>
            <w:vAlign w:val="top"/>
          </w:tcPr>
          <w:p w14:paraId="20B23E7C">
            <w:pPr>
              <w:keepNext w:val="0"/>
              <w:keepLines w:val="0"/>
              <w:pageBreakBefore w:val="0"/>
              <w:widowControl w:val="0"/>
              <w:kinsoku/>
              <w:wordWrap/>
              <w:overflowPunct/>
              <w:topLinePunct w:val="0"/>
              <w:autoSpaceDE/>
              <w:autoSpaceDN/>
              <w:bidi w:val="0"/>
              <w:adjustRightInd w:val="0"/>
              <w:snapToGrid w:val="0"/>
              <w:spacing w:line="369" w:lineRule="auto"/>
              <w:ind w:left="105" w:leftChars="50" w:right="283" w:firstLine="2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承包</w:t>
            </w:r>
            <w:r>
              <w:rPr>
                <w:rFonts w:hint="eastAsia" w:ascii="宋体" w:hAnsi="宋体" w:eastAsia="宋体" w:cs="宋体"/>
                <w:color w:val="auto"/>
                <w:spacing w:val="14"/>
                <w:sz w:val="21"/>
                <w:szCs w:val="21"/>
                <w:highlight w:val="none"/>
              </w:rPr>
              <w:t>人</w:t>
            </w:r>
            <w:r>
              <w:rPr>
                <w:rFonts w:hint="eastAsia" w:ascii="宋体" w:hAnsi="宋体" w:eastAsia="宋体" w:cs="宋体"/>
                <w:color w:val="auto"/>
                <w:spacing w:val="10"/>
                <w:sz w:val="21"/>
                <w:szCs w:val="21"/>
                <w:highlight w:val="none"/>
              </w:rPr>
              <w:t>职工的(人身)事故险及建筑意外伤害险由承包人自行投保，保险费应认为已含入</w:t>
            </w:r>
            <w:r>
              <w:rPr>
                <w:rFonts w:hint="eastAsia" w:ascii="宋体" w:hAnsi="宋体" w:eastAsia="宋体" w:cs="宋体"/>
                <w:color w:val="auto"/>
                <w:spacing w:val="10"/>
                <w:sz w:val="21"/>
                <w:szCs w:val="21"/>
                <w:highlight w:val="none"/>
                <w:lang w:val="en-US" w:eastAsia="zh-CN"/>
              </w:rPr>
              <w:t>投标总价</w:t>
            </w:r>
            <w:r>
              <w:rPr>
                <w:rFonts w:hint="eastAsia" w:ascii="宋体" w:hAnsi="宋体" w:eastAsia="宋体" w:cs="宋体"/>
                <w:color w:val="auto"/>
                <w:spacing w:val="10"/>
                <w:sz w:val="21"/>
                <w:szCs w:val="21"/>
                <w:highlight w:val="none"/>
              </w:rPr>
              <w:t>中，</w:t>
            </w:r>
            <w:r>
              <w:rPr>
                <w:rFonts w:hint="eastAsia" w:ascii="宋体" w:hAnsi="宋体" w:eastAsia="宋体" w:cs="宋体"/>
                <w:color w:val="auto"/>
                <w:spacing w:val="10"/>
                <w:sz w:val="21"/>
                <w:szCs w:val="21"/>
                <w:highlight w:val="none"/>
                <w:lang w:val="en-US" w:eastAsia="zh-CN"/>
              </w:rPr>
              <w:t>不单独列项填报，</w:t>
            </w:r>
            <w:r>
              <w:rPr>
                <w:rFonts w:hint="eastAsia" w:ascii="宋体" w:hAnsi="宋体" w:eastAsia="宋体" w:cs="宋体"/>
                <w:color w:val="auto"/>
                <w:spacing w:val="10"/>
                <w:sz w:val="21"/>
                <w:szCs w:val="21"/>
                <w:highlight w:val="none"/>
              </w:rPr>
              <w:t>发包人不另行支付。</w:t>
            </w:r>
          </w:p>
          <w:p w14:paraId="24B70A93">
            <w:pPr>
              <w:keepNext w:val="0"/>
              <w:keepLines w:val="0"/>
              <w:pageBreakBefore w:val="0"/>
              <w:widowControl w:val="0"/>
              <w:kinsoku/>
              <w:wordWrap/>
              <w:overflowPunct/>
              <w:topLinePunct w:val="0"/>
              <w:autoSpaceDE/>
              <w:autoSpaceDN/>
              <w:bidi w:val="0"/>
              <w:adjustRightInd w:val="0"/>
              <w:snapToGrid w:val="0"/>
              <w:spacing w:line="369" w:lineRule="auto"/>
              <w:ind w:left="105" w:leftChars="50" w:right="283" w:rightChars="0" w:firstLine="234"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2"/>
                <w:sz w:val="21"/>
                <w:szCs w:val="21"/>
                <w:highlight w:val="none"/>
              </w:rPr>
              <w:t>承</w:t>
            </w:r>
            <w:r>
              <w:rPr>
                <w:rFonts w:hint="eastAsia" w:ascii="宋体" w:hAnsi="宋体" w:eastAsia="宋体" w:cs="宋体"/>
                <w:color w:val="auto"/>
                <w:spacing w:val="12"/>
                <w:sz w:val="21"/>
                <w:szCs w:val="21"/>
                <w:highlight w:val="none"/>
              </w:rPr>
              <w:t>包</w:t>
            </w:r>
            <w:r>
              <w:rPr>
                <w:rFonts w:hint="eastAsia" w:ascii="宋体" w:hAnsi="宋体" w:eastAsia="宋体" w:cs="宋体"/>
                <w:color w:val="auto"/>
                <w:spacing w:val="11"/>
                <w:sz w:val="21"/>
                <w:szCs w:val="21"/>
                <w:highlight w:val="none"/>
              </w:rPr>
              <w:t>人应按《人力资源社会保障部、交通运输部、水利部、能源局、铁路局、</w:t>
            </w:r>
            <w:r>
              <w:rPr>
                <w:rFonts w:hint="eastAsia" w:ascii="宋体" w:hAnsi="宋体" w:eastAsia="宋体" w:cs="宋体"/>
                <w:color w:val="auto"/>
                <w:spacing w:val="13"/>
                <w:sz w:val="21"/>
                <w:szCs w:val="21"/>
                <w:highlight w:val="none"/>
              </w:rPr>
              <w:t>民</w:t>
            </w:r>
            <w:r>
              <w:rPr>
                <w:rFonts w:hint="eastAsia" w:ascii="宋体" w:hAnsi="宋体" w:eastAsia="宋体" w:cs="宋体"/>
                <w:color w:val="auto"/>
                <w:spacing w:val="12"/>
                <w:sz w:val="21"/>
                <w:szCs w:val="21"/>
                <w:highlight w:val="none"/>
              </w:rPr>
              <w:t>航局关于铁路、公路、水运、水利、能源、机场工程建设项目参加工伤保险工</w:t>
            </w:r>
            <w:r>
              <w:rPr>
                <w:rFonts w:hint="eastAsia" w:ascii="宋体" w:hAnsi="宋体" w:eastAsia="宋体" w:cs="宋体"/>
                <w:color w:val="auto"/>
                <w:spacing w:val="5"/>
                <w:sz w:val="21"/>
                <w:szCs w:val="21"/>
                <w:highlight w:val="none"/>
              </w:rPr>
              <w:t>作</w:t>
            </w:r>
            <w:r>
              <w:rPr>
                <w:rFonts w:hint="eastAsia" w:ascii="宋体" w:hAnsi="宋体" w:eastAsia="宋体" w:cs="宋体"/>
                <w:color w:val="auto"/>
                <w:spacing w:val="4"/>
                <w:sz w:val="21"/>
                <w:szCs w:val="21"/>
                <w:highlight w:val="none"/>
              </w:rPr>
              <w:t>的通知》(人社部发〔2018〕3号)文件的规定，在进场施工前，办理相关手续</w:t>
            </w:r>
            <w:r>
              <w:rPr>
                <w:rFonts w:hint="eastAsia" w:ascii="宋体" w:hAnsi="宋体" w:eastAsia="宋体" w:cs="宋体"/>
                <w:color w:val="auto"/>
                <w:spacing w:val="12"/>
                <w:sz w:val="21"/>
                <w:szCs w:val="21"/>
                <w:highlight w:val="none"/>
              </w:rPr>
              <w:t>并</w:t>
            </w:r>
            <w:r>
              <w:rPr>
                <w:rFonts w:hint="eastAsia" w:ascii="宋体" w:hAnsi="宋体" w:eastAsia="宋体" w:cs="宋体"/>
                <w:color w:val="auto"/>
                <w:spacing w:val="8"/>
                <w:sz w:val="21"/>
                <w:szCs w:val="21"/>
                <w:highlight w:val="none"/>
              </w:rPr>
              <w:t>提交人员参加工伤保险的证明</w:t>
            </w:r>
            <w:r>
              <w:rPr>
                <w:rFonts w:hint="eastAsia" w:ascii="宋体" w:hAnsi="宋体" w:eastAsia="宋体" w:cs="宋体"/>
                <w:color w:val="auto"/>
                <w:spacing w:val="8"/>
                <w:sz w:val="21"/>
                <w:szCs w:val="21"/>
                <w:highlight w:val="none"/>
                <w:lang w:eastAsia="zh-CN"/>
              </w:rPr>
              <w:t>。</w:t>
            </w:r>
          </w:p>
        </w:tc>
      </w:tr>
      <w:tr w14:paraId="021B2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0" w:hRule="atLeast"/>
          <w:jc w:val="center"/>
        </w:trPr>
        <w:tc>
          <w:tcPr>
            <w:tcW w:w="624" w:type="dxa"/>
            <w:tcBorders>
              <w:left w:val="single" w:color="000000" w:sz="6" w:space="0"/>
            </w:tcBorders>
            <w:vAlign w:val="top"/>
          </w:tcPr>
          <w:p w14:paraId="1EC6E847">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30A3D592">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694A25A9">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7B0F52E2">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5ACB19EB">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0590D014">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013B6284">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45C7AC70">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1D82DD3C">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1AA3CEAA">
            <w:pPr>
              <w:keepNext/>
              <w:keepLines w:val="0"/>
              <w:pageBreakBefore w:val="0"/>
              <w:widowControl w:val="0"/>
              <w:kinsoku/>
              <w:overflowPunct/>
              <w:topLinePunct w:val="0"/>
              <w:autoSpaceDE/>
              <w:autoSpaceDN/>
              <w:bidi w:val="0"/>
              <w:snapToGrid w:val="0"/>
              <w:spacing w:line="243" w:lineRule="auto"/>
              <w:ind w:left="105" w:leftChars="50" w:right="283"/>
              <w:textAlignment w:val="auto"/>
              <w:rPr>
                <w:rFonts w:hint="eastAsia" w:ascii="宋体" w:hAnsi="宋体" w:eastAsia="宋体" w:cs="宋体"/>
                <w:color w:val="auto"/>
                <w:sz w:val="21"/>
                <w:szCs w:val="21"/>
                <w:highlight w:val="none"/>
              </w:rPr>
            </w:pPr>
          </w:p>
          <w:p w14:paraId="21569045">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highlight w:val="none"/>
              </w:rPr>
            </w:pPr>
          </w:p>
          <w:p w14:paraId="5692ABEE">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highlight w:val="none"/>
              </w:rPr>
            </w:pPr>
          </w:p>
          <w:p w14:paraId="14AE560E">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highlight w:val="none"/>
              </w:rPr>
            </w:pPr>
          </w:p>
          <w:p w14:paraId="240741FE">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highlight w:val="none"/>
              </w:rPr>
            </w:pPr>
          </w:p>
          <w:p w14:paraId="1ED90067">
            <w:pPr>
              <w:keepNext/>
              <w:keepLines w:val="0"/>
              <w:pageBreakBefore w:val="0"/>
              <w:widowControl w:val="0"/>
              <w:kinsoku/>
              <w:overflowPunct/>
              <w:topLinePunct w:val="0"/>
              <w:autoSpaceDE/>
              <w:autoSpaceDN/>
              <w:bidi w:val="0"/>
              <w:snapToGrid w:val="0"/>
              <w:spacing w:line="244" w:lineRule="auto"/>
              <w:ind w:left="105" w:leftChars="50" w:right="283"/>
              <w:textAlignment w:val="auto"/>
              <w:rPr>
                <w:rFonts w:hint="eastAsia" w:ascii="宋体" w:hAnsi="宋体" w:eastAsia="宋体" w:cs="宋体"/>
                <w:color w:val="auto"/>
                <w:sz w:val="21"/>
                <w:szCs w:val="21"/>
                <w:highlight w:val="none"/>
              </w:rPr>
            </w:pPr>
          </w:p>
          <w:p w14:paraId="021DD61E">
            <w:pPr>
              <w:keepNext/>
              <w:keepLines w:val="0"/>
              <w:pageBreakBefore w:val="0"/>
              <w:widowControl w:val="0"/>
              <w:kinsoku/>
              <w:overflowPunct/>
              <w:topLinePunct w:val="0"/>
              <w:autoSpaceDE/>
              <w:autoSpaceDN/>
              <w:bidi w:val="0"/>
              <w:snapToGrid w:val="0"/>
              <w:spacing w:before="57" w:line="195"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1384" w:type="dxa"/>
            <w:vAlign w:val="top"/>
          </w:tcPr>
          <w:p w14:paraId="68D3D4A9">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0E5C4953">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78BCB41D">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3F65D1EB">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3A617FA0">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2C0EBA3D">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542263B3">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0CAB830F">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5635839B">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0B162E4C">
            <w:pPr>
              <w:keepNext w:val="0"/>
              <w:keepLines w:val="0"/>
              <w:pageBreakBefore w:val="0"/>
              <w:widowControl w:val="0"/>
              <w:kinsoku/>
              <w:wordWrap/>
              <w:overflowPunct/>
              <w:topLinePunct w:val="0"/>
              <w:autoSpaceDE/>
              <w:autoSpaceDN/>
              <w:bidi w:val="0"/>
              <w:adjustRightInd/>
              <w:snapToGrid w:val="0"/>
              <w:spacing w:line="243" w:lineRule="auto"/>
              <w:ind w:left="105" w:leftChars="50" w:right="283"/>
              <w:textAlignment w:val="auto"/>
              <w:rPr>
                <w:rFonts w:hint="eastAsia" w:ascii="宋体" w:hAnsi="宋体" w:eastAsia="宋体" w:cs="宋体"/>
                <w:color w:val="auto"/>
                <w:sz w:val="21"/>
                <w:szCs w:val="21"/>
                <w:highlight w:val="none"/>
              </w:rPr>
            </w:pPr>
          </w:p>
          <w:p w14:paraId="5812F716">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328A6B2E">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1B5A17EC">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6D68505C">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5256D2B1">
            <w:pPr>
              <w:keepNext w:val="0"/>
              <w:keepLines w:val="0"/>
              <w:pageBreakBefore w:val="0"/>
              <w:widowControl w:val="0"/>
              <w:kinsoku/>
              <w:wordWrap/>
              <w:overflowPunct/>
              <w:topLinePunct w:val="0"/>
              <w:autoSpaceDE/>
              <w:autoSpaceDN/>
              <w:bidi w:val="0"/>
              <w:adjustRightInd/>
              <w:snapToGrid w:val="0"/>
              <w:spacing w:line="244" w:lineRule="auto"/>
              <w:ind w:left="105" w:leftChars="50" w:right="283"/>
              <w:textAlignment w:val="auto"/>
              <w:rPr>
                <w:rFonts w:hint="eastAsia" w:ascii="宋体" w:hAnsi="宋体" w:eastAsia="宋体" w:cs="宋体"/>
                <w:color w:val="auto"/>
                <w:sz w:val="21"/>
                <w:szCs w:val="21"/>
                <w:highlight w:val="none"/>
              </w:rPr>
            </w:pPr>
          </w:p>
          <w:p w14:paraId="6588D675">
            <w:pPr>
              <w:keepNext w:val="0"/>
              <w:keepLines w:val="0"/>
              <w:pageBreakBefore w:val="0"/>
              <w:widowControl w:val="0"/>
              <w:kinsoku/>
              <w:wordWrap/>
              <w:overflowPunct/>
              <w:topLinePunct w:val="0"/>
              <w:autoSpaceDE/>
              <w:autoSpaceDN/>
              <w:bidi w:val="0"/>
              <w:adjustRightInd/>
              <w:snapToGrid w:val="0"/>
              <w:spacing w:before="57" w:line="19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2.1.2</w:t>
            </w:r>
          </w:p>
        </w:tc>
        <w:tc>
          <w:tcPr>
            <w:tcW w:w="7054" w:type="dxa"/>
            <w:tcBorders>
              <w:right w:val="single" w:color="000000" w:sz="6" w:space="0"/>
            </w:tcBorders>
            <w:vAlign w:val="top"/>
          </w:tcPr>
          <w:p w14:paraId="2CAD789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22.</w:t>
            </w:r>
            <w:r>
              <w:rPr>
                <w:rFonts w:hint="eastAsia" w:ascii="宋体" w:hAnsi="宋体" w:eastAsia="宋体" w:cs="宋体"/>
                <w:color w:val="auto"/>
                <w:spacing w:val="3"/>
                <w:sz w:val="21"/>
                <w:szCs w:val="21"/>
                <w:highlight w:val="none"/>
              </w:rPr>
              <w:t>1.2对承包人违约的处理</w:t>
            </w:r>
          </w:p>
          <w:p w14:paraId="66DA802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6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承包人发生第22.1.1项(1)至(10)目约定的违约情况时，发包人可视承包人违约的具体行</w:t>
            </w:r>
            <w:r>
              <w:rPr>
                <w:rFonts w:hint="eastAsia" w:ascii="宋体" w:hAnsi="宋体" w:eastAsia="宋体" w:cs="宋体"/>
                <w:color w:val="auto"/>
                <w:spacing w:val="9"/>
                <w:sz w:val="21"/>
                <w:szCs w:val="21"/>
                <w:highlight w:val="none"/>
              </w:rPr>
              <w:t>为和严重程度采取下列措施之一：</w:t>
            </w:r>
          </w:p>
          <w:p w14:paraId="65CBB0B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5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w:t>
            </w:r>
            <w:r>
              <w:rPr>
                <w:rFonts w:hint="eastAsia" w:ascii="宋体" w:hAnsi="宋体" w:eastAsia="宋体" w:cs="宋体"/>
                <w:color w:val="auto"/>
                <w:spacing w:val="10"/>
                <w:sz w:val="21"/>
                <w:szCs w:val="21"/>
                <w:highlight w:val="none"/>
              </w:rPr>
              <w:t>发包人可按不超过签约合同价10%的金额扣缴承包人违约金，即使交纳</w:t>
            </w:r>
            <w:r>
              <w:rPr>
                <w:rFonts w:hint="eastAsia" w:ascii="宋体" w:hAnsi="宋体" w:eastAsia="宋体" w:cs="宋体"/>
                <w:color w:val="auto"/>
                <w:spacing w:val="14"/>
                <w:sz w:val="21"/>
                <w:szCs w:val="21"/>
                <w:highlight w:val="none"/>
              </w:rPr>
              <w:t>了</w:t>
            </w:r>
            <w:r>
              <w:rPr>
                <w:rFonts w:hint="eastAsia" w:ascii="宋体" w:hAnsi="宋体" w:eastAsia="宋体" w:cs="宋体"/>
                <w:color w:val="auto"/>
                <w:spacing w:val="12"/>
                <w:sz w:val="21"/>
                <w:szCs w:val="21"/>
                <w:highlight w:val="none"/>
              </w:rPr>
              <w:t>违约金，承包人仍应按合同规定继续实施和完成本合同工程及其缺陷修复；若</w:t>
            </w:r>
            <w:r>
              <w:rPr>
                <w:rFonts w:hint="eastAsia" w:ascii="宋体" w:hAnsi="宋体" w:eastAsia="宋体" w:cs="宋体"/>
                <w:color w:val="auto"/>
                <w:spacing w:val="14"/>
                <w:sz w:val="21"/>
                <w:szCs w:val="21"/>
                <w:highlight w:val="none"/>
              </w:rPr>
              <w:t>承</w:t>
            </w:r>
            <w:r>
              <w:rPr>
                <w:rFonts w:hint="eastAsia" w:ascii="宋体" w:hAnsi="宋体" w:eastAsia="宋体" w:cs="宋体"/>
                <w:color w:val="auto"/>
                <w:spacing w:val="12"/>
                <w:sz w:val="21"/>
                <w:szCs w:val="21"/>
                <w:highlight w:val="none"/>
              </w:rPr>
              <w:t>包人未经批准擅自撤离工地，发包人除扣除承包人的全部履约担保和剩余工程</w:t>
            </w:r>
            <w:r>
              <w:rPr>
                <w:rFonts w:hint="eastAsia" w:ascii="宋体" w:hAnsi="宋体" w:eastAsia="宋体" w:cs="宋体"/>
                <w:color w:val="auto"/>
                <w:spacing w:val="14"/>
                <w:sz w:val="21"/>
                <w:szCs w:val="21"/>
                <w:highlight w:val="none"/>
              </w:rPr>
              <w:t>款</w:t>
            </w:r>
            <w:r>
              <w:rPr>
                <w:rFonts w:hint="eastAsia" w:ascii="宋体" w:hAnsi="宋体" w:eastAsia="宋体" w:cs="宋体"/>
                <w:color w:val="auto"/>
                <w:spacing w:val="12"/>
                <w:sz w:val="21"/>
                <w:szCs w:val="21"/>
                <w:highlight w:val="none"/>
              </w:rPr>
              <w:t>项之外，并不承担承包人与其它承包人、供货商等的经济纠纷和法律责任，也</w:t>
            </w:r>
            <w:r>
              <w:rPr>
                <w:rFonts w:hint="eastAsia" w:ascii="宋体" w:hAnsi="宋体" w:eastAsia="宋体" w:cs="宋体"/>
                <w:color w:val="auto"/>
                <w:spacing w:val="11"/>
                <w:sz w:val="21"/>
                <w:szCs w:val="21"/>
                <w:highlight w:val="none"/>
              </w:rPr>
              <w:t>不</w:t>
            </w:r>
            <w:r>
              <w:rPr>
                <w:rFonts w:hint="eastAsia" w:ascii="宋体" w:hAnsi="宋体" w:eastAsia="宋体" w:cs="宋体"/>
                <w:color w:val="auto"/>
                <w:spacing w:val="7"/>
                <w:sz w:val="21"/>
                <w:szCs w:val="21"/>
                <w:highlight w:val="none"/>
              </w:rPr>
              <w:t>赔偿任何费用。</w:t>
            </w:r>
          </w:p>
          <w:p w14:paraId="7ED40E4B">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9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3"/>
                <w:sz w:val="21"/>
                <w:szCs w:val="21"/>
                <w:highlight w:val="none"/>
              </w:rPr>
              <w:t>2)发包人可雇用其他承包人完成部分工程。承包人无权对此提出反对意见</w:t>
            </w:r>
            <w:r>
              <w:rPr>
                <w:rFonts w:hint="eastAsia" w:ascii="宋体" w:hAnsi="宋体" w:eastAsia="宋体" w:cs="宋体"/>
                <w:color w:val="auto"/>
                <w:spacing w:val="14"/>
                <w:sz w:val="21"/>
                <w:szCs w:val="21"/>
                <w:highlight w:val="none"/>
              </w:rPr>
              <w:t>并</w:t>
            </w:r>
            <w:r>
              <w:rPr>
                <w:rFonts w:hint="eastAsia" w:ascii="宋体" w:hAnsi="宋体" w:eastAsia="宋体" w:cs="宋体"/>
                <w:color w:val="auto"/>
                <w:spacing w:val="12"/>
                <w:sz w:val="21"/>
                <w:szCs w:val="21"/>
                <w:highlight w:val="none"/>
              </w:rPr>
              <w:t>应按合同规定完成合同工程其余部分的施工和缺陷修复。在这种情况下，发包</w:t>
            </w:r>
            <w:r>
              <w:rPr>
                <w:rFonts w:hint="eastAsia" w:ascii="宋体" w:hAnsi="宋体" w:eastAsia="宋体" w:cs="宋体"/>
                <w:color w:val="auto"/>
                <w:spacing w:val="14"/>
                <w:sz w:val="21"/>
                <w:szCs w:val="21"/>
                <w:highlight w:val="none"/>
              </w:rPr>
              <w:t>人</w:t>
            </w:r>
            <w:r>
              <w:rPr>
                <w:rFonts w:hint="eastAsia" w:ascii="宋体" w:hAnsi="宋体" w:eastAsia="宋体" w:cs="宋体"/>
                <w:color w:val="auto"/>
                <w:spacing w:val="12"/>
                <w:sz w:val="21"/>
                <w:szCs w:val="21"/>
                <w:highlight w:val="none"/>
              </w:rPr>
              <w:t>向承包人支付的合同价格中不应包括由其他承包人完成的那部分工程的价格。</w:t>
            </w:r>
            <w:r>
              <w:rPr>
                <w:rFonts w:hint="eastAsia" w:ascii="宋体" w:hAnsi="宋体" w:eastAsia="宋体" w:cs="宋体"/>
                <w:color w:val="auto"/>
                <w:spacing w:val="14"/>
                <w:sz w:val="21"/>
                <w:szCs w:val="21"/>
                <w:highlight w:val="none"/>
              </w:rPr>
              <w:t>发</w:t>
            </w:r>
            <w:r>
              <w:rPr>
                <w:rFonts w:hint="eastAsia" w:ascii="宋体" w:hAnsi="宋体" w:eastAsia="宋体" w:cs="宋体"/>
                <w:color w:val="auto"/>
                <w:spacing w:val="12"/>
                <w:sz w:val="21"/>
                <w:szCs w:val="21"/>
                <w:highlight w:val="none"/>
              </w:rPr>
              <w:t>包人有权扣除承包人的全部履约担保作为违约金，监理人还应确定由于承包人</w:t>
            </w:r>
            <w:r>
              <w:rPr>
                <w:rFonts w:hint="eastAsia" w:ascii="宋体" w:hAnsi="宋体" w:eastAsia="宋体" w:cs="宋体"/>
                <w:color w:val="auto"/>
                <w:spacing w:val="14"/>
                <w:sz w:val="21"/>
                <w:szCs w:val="21"/>
                <w:highlight w:val="none"/>
              </w:rPr>
              <w:t>违</w:t>
            </w:r>
            <w:r>
              <w:rPr>
                <w:rFonts w:hint="eastAsia" w:ascii="宋体" w:hAnsi="宋体" w:eastAsia="宋体" w:cs="宋体"/>
                <w:color w:val="auto"/>
                <w:spacing w:val="12"/>
                <w:sz w:val="21"/>
                <w:szCs w:val="21"/>
                <w:highlight w:val="none"/>
              </w:rPr>
              <w:t>约而给发包人造成的费用增加和其他损失，报发包人批准后从应付或到期应付</w:t>
            </w:r>
            <w:r>
              <w:rPr>
                <w:rFonts w:hint="eastAsia" w:ascii="宋体" w:hAnsi="宋体" w:eastAsia="宋体" w:cs="宋体"/>
                <w:color w:val="auto"/>
                <w:spacing w:val="18"/>
                <w:sz w:val="21"/>
                <w:szCs w:val="21"/>
                <w:highlight w:val="none"/>
              </w:rPr>
              <w:t>给</w:t>
            </w:r>
            <w:r>
              <w:rPr>
                <w:rFonts w:hint="eastAsia" w:ascii="宋体" w:hAnsi="宋体" w:eastAsia="宋体" w:cs="宋体"/>
                <w:color w:val="auto"/>
                <w:spacing w:val="12"/>
                <w:sz w:val="21"/>
                <w:szCs w:val="21"/>
                <w:highlight w:val="none"/>
              </w:rPr>
              <w:t>承</w:t>
            </w:r>
            <w:r>
              <w:rPr>
                <w:rFonts w:hint="eastAsia" w:ascii="宋体" w:hAnsi="宋体" w:eastAsia="宋体" w:cs="宋体"/>
                <w:color w:val="auto"/>
                <w:spacing w:val="9"/>
                <w:sz w:val="21"/>
                <w:szCs w:val="21"/>
                <w:highlight w:val="none"/>
              </w:rPr>
              <w:t>包人的款项中扣除，监理人应将上述决定通知承包人，并抄送发包人；</w:t>
            </w:r>
          </w:p>
          <w:p w14:paraId="09EA22E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8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8"/>
                <w:sz w:val="21"/>
                <w:szCs w:val="21"/>
                <w:highlight w:val="none"/>
              </w:rPr>
              <w:t>)发包人在向承包人发出书面通知的14天之后可以进驻现场和接管工程，</w:t>
            </w:r>
            <w:r>
              <w:rPr>
                <w:rFonts w:hint="eastAsia" w:ascii="宋体" w:hAnsi="宋体" w:eastAsia="宋体" w:cs="宋体"/>
                <w:color w:val="auto"/>
                <w:spacing w:val="12"/>
                <w:sz w:val="21"/>
                <w:szCs w:val="21"/>
                <w:highlight w:val="none"/>
              </w:rPr>
              <w:t>终止承包人对本合同工程的承包，但不因此解除合同规定的承包人的任何义务</w:t>
            </w:r>
            <w:r>
              <w:rPr>
                <w:rFonts w:hint="eastAsia" w:ascii="宋体" w:hAnsi="宋体" w:eastAsia="宋体" w:cs="宋体"/>
                <w:color w:val="auto"/>
                <w:spacing w:val="11"/>
                <w:sz w:val="21"/>
                <w:szCs w:val="21"/>
                <w:highlight w:val="none"/>
              </w:rPr>
              <w:t>和</w:t>
            </w:r>
            <w:r>
              <w:rPr>
                <w:rFonts w:hint="eastAsia" w:ascii="宋体" w:hAnsi="宋体" w:eastAsia="宋体" w:cs="宋体"/>
                <w:color w:val="auto"/>
                <w:spacing w:val="12"/>
                <w:sz w:val="21"/>
                <w:szCs w:val="21"/>
                <w:highlight w:val="none"/>
              </w:rPr>
              <w:t>责任，或影响合同赋予发包人或监理人的各种权利和权限。发包人可自行完成</w:t>
            </w:r>
            <w:r>
              <w:rPr>
                <w:rFonts w:hint="eastAsia" w:ascii="宋体" w:hAnsi="宋体" w:eastAsia="宋体" w:cs="宋体"/>
                <w:color w:val="auto"/>
                <w:spacing w:val="11"/>
                <w:sz w:val="21"/>
                <w:szCs w:val="21"/>
                <w:highlight w:val="none"/>
              </w:rPr>
              <w:t>该</w:t>
            </w:r>
            <w:r>
              <w:rPr>
                <w:rFonts w:hint="eastAsia" w:ascii="宋体" w:hAnsi="宋体" w:eastAsia="宋体" w:cs="宋体"/>
                <w:color w:val="auto"/>
                <w:spacing w:val="12"/>
                <w:sz w:val="21"/>
                <w:szCs w:val="21"/>
                <w:highlight w:val="none"/>
              </w:rPr>
              <w:t>工程，或邀请其他承包人完成该工程。发包人或其他承包人为了完成本工程可</w:t>
            </w:r>
            <w:r>
              <w:rPr>
                <w:rFonts w:hint="eastAsia" w:ascii="宋体" w:hAnsi="宋体" w:eastAsia="宋体" w:cs="宋体"/>
                <w:color w:val="auto"/>
                <w:spacing w:val="11"/>
                <w:sz w:val="21"/>
                <w:szCs w:val="21"/>
                <w:highlight w:val="none"/>
              </w:rPr>
              <w:t>以</w:t>
            </w:r>
            <w:r>
              <w:rPr>
                <w:rFonts w:hint="eastAsia" w:ascii="宋体" w:hAnsi="宋体" w:eastAsia="宋体" w:cs="宋体"/>
                <w:color w:val="auto"/>
                <w:spacing w:val="13"/>
                <w:sz w:val="21"/>
                <w:szCs w:val="21"/>
                <w:highlight w:val="none"/>
              </w:rPr>
              <w:t>使</w:t>
            </w:r>
            <w:r>
              <w:rPr>
                <w:rFonts w:hint="eastAsia" w:ascii="宋体" w:hAnsi="宋体" w:eastAsia="宋体" w:cs="宋体"/>
                <w:color w:val="auto"/>
                <w:spacing w:val="12"/>
                <w:sz w:val="21"/>
                <w:szCs w:val="21"/>
                <w:highlight w:val="none"/>
              </w:rPr>
              <w:t>用任何的承包人设备、临时工程和材料。发包人有权扣除承包人的全部履约担</w:t>
            </w:r>
            <w:r>
              <w:rPr>
                <w:rFonts w:hint="eastAsia" w:ascii="宋体" w:hAnsi="宋体" w:eastAsia="宋体" w:cs="宋体"/>
                <w:color w:val="auto"/>
                <w:spacing w:val="13"/>
                <w:sz w:val="21"/>
                <w:szCs w:val="21"/>
                <w:highlight w:val="none"/>
              </w:rPr>
              <w:t>保</w:t>
            </w:r>
            <w:r>
              <w:rPr>
                <w:rFonts w:hint="eastAsia" w:ascii="宋体" w:hAnsi="宋体" w:eastAsia="宋体" w:cs="宋体"/>
                <w:color w:val="auto"/>
                <w:spacing w:val="12"/>
                <w:sz w:val="21"/>
                <w:szCs w:val="21"/>
                <w:highlight w:val="none"/>
              </w:rPr>
              <w:t>作为违约金，监理人还应确定由于承包人违约而给发包人造成的费用增加和其</w:t>
            </w:r>
            <w:r>
              <w:rPr>
                <w:rFonts w:hint="eastAsia" w:ascii="宋体" w:hAnsi="宋体" w:eastAsia="宋体" w:cs="宋体"/>
                <w:color w:val="auto"/>
                <w:spacing w:val="17"/>
                <w:sz w:val="21"/>
                <w:szCs w:val="21"/>
                <w:highlight w:val="none"/>
              </w:rPr>
              <w:t>他</w:t>
            </w:r>
            <w:r>
              <w:rPr>
                <w:rFonts w:hint="eastAsia" w:ascii="宋体" w:hAnsi="宋体" w:eastAsia="宋体" w:cs="宋体"/>
                <w:color w:val="auto"/>
                <w:spacing w:val="12"/>
                <w:sz w:val="21"/>
                <w:szCs w:val="21"/>
                <w:highlight w:val="none"/>
              </w:rPr>
              <w:t>损失，报发包人批准后从应付或到期应付给承包人的款项中扣除，监理人应将</w:t>
            </w:r>
            <w:r>
              <w:rPr>
                <w:rFonts w:hint="eastAsia" w:ascii="宋体" w:hAnsi="宋体" w:eastAsia="宋体" w:cs="宋体"/>
                <w:color w:val="auto"/>
                <w:spacing w:val="8"/>
                <w:sz w:val="21"/>
                <w:szCs w:val="21"/>
                <w:highlight w:val="none"/>
              </w:rPr>
              <w:t>上述决定通知承包人，并抄送发包人。合同终止后的有关事宜应按照第22.1.4</w:t>
            </w:r>
            <w:r>
              <w:rPr>
                <w:rFonts w:hint="eastAsia" w:ascii="宋体" w:hAnsi="宋体" w:eastAsia="宋体" w:cs="宋体"/>
                <w:color w:val="auto"/>
                <w:spacing w:val="3"/>
                <w:sz w:val="21"/>
                <w:szCs w:val="21"/>
                <w:highlight w:val="none"/>
              </w:rPr>
              <w:t>和</w:t>
            </w:r>
            <w:r>
              <w:rPr>
                <w:rFonts w:hint="eastAsia" w:ascii="宋体" w:hAnsi="宋体" w:eastAsia="宋体" w:cs="宋体"/>
                <w:color w:val="auto"/>
                <w:spacing w:val="2"/>
                <w:sz w:val="21"/>
                <w:szCs w:val="21"/>
                <w:highlight w:val="none"/>
              </w:rPr>
              <w:t>22.1.5款的规定办理</w:t>
            </w:r>
            <w:r>
              <w:rPr>
                <w:rFonts w:hint="eastAsia" w:ascii="宋体" w:hAnsi="宋体" w:eastAsia="宋体" w:cs="宋体"/>
                <w:color w:val="auto"/>
                <w:spacing w:val="1"/>
                <w:sz w:val="21"/>
                <w:szCs w:val="21"/>
                <w:highlight w:val="none"/>
              </w:rPr>
              <w:t>。</w:t>
            </w:r>
          </w:p>
          <w:p w14:paraId="1906B5BE">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此外，当承包人发生了下述违约现象之后，发包人可依据下列具体情况扣除承包人的违约金：</w:t>
            </w:r>
          </w:p>
          <w:p w14:paraId="44909130">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在监理人规定的截止日前，项目经理、项目总工没有按时进场，或进场后未经发包人项目指挥部和总监办主任(或设驻地办的驻地办主任)批准又离开工地，发包人将按10000元/人·天扣除违约金；其他管理人员没有按时进场，或进场后未经总监办主任(或设驻地办的驻地办主任)和承包人项目经理批准又离开工地，发包人将按5000元/人·天扣除违约金，直至缺员进场为止。根据本项规定扣除的违约金累计不得超过签约合同价的2％。</w:t>
            </w:r>
          </w:p>
          <w:p w14:paraId="35BADA1A">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监理人规定进场的项目经理、项目总工及其他管理人员每人每月在岗时间不得少于22天，否则发包人将对项目经理、项目总工按10000元/人·天扣除违约金，对其他管理人员按5000元/人·天扣除违约金。根据本项规定扣除的违约金累计不得超过签约合同价的2％。</w:t>
            </w:r>
          </w:p>
          <w:p w14:paraId="4298FCC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承包人按照监理人规定进场的每个专业岗位人员同时离开工地人数不得超过1人，否则发包人将按5000元/人·天扣除违约金。根据本项规定扣除的违约金累计不得超过签约合同价的2％。</w:t>
            </w:r>
          </w:p>
          <w:p w14:paraId="57F7EE10">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(2)项目经理每更换一人次将向发包人提交违约金，违约金金额按5‰签约合同价计算，但违约金金额应不低于20万且不高于100万。</w:t>
            </w:r>
          </w:p>
          <w:p w14:paraId="5DC12B14">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(3)项目总工每更换一人次将向发包人提交违约金，违约金金额按3‰签约合同价计算，但违约金金额应不低于15万且不高于80万。</w:t>
            </w:r>
          </w:p>
          <w:p w14:paraId="0AFAEA5F">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承包人自身原因造成其进场的人员的替换，将按照本项(2)、(3)目的规定交纳违约金；由于相关人员不能胜任本职工作、行为不端或玩忽职守而被监理人按合同条款第4.7款规定要求撤换的，除按照本项(2)、(3)目的规定交纳违约金外，项目经理或项目总工每更换一人次还应向发包人另行支付10万元的违约金，其他管理人员每更换一人次还应向发包人另行支付5万元的违约金。</w:t>
            </w:r>
          </w:p>
          <w:p w14:paraId="0FD05F47">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在监理人规定的截止日前，合同谈判期间承包人所承诺的主要机械及试验、测量设备(如有)不能按时进场，每迟到1天，发包人可按照该设备的台班费(以交通运输部现行《预算定额》为准)的三倍扣除违约金，直到设备进场为止。</w:t>
            </w:r>
          </w:p>
          <w:p w14:paraId="0B1C06EC">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(6)在工程实施期间，未经监理人批准，承包人进场的施工机械和材料试验、质检仪器设备撤离现场，发包人可按该设备的重置价值从工程期中支付款中扣除违约金。</w:t>
            </w:r>
          </w:p>
          <w:p w14:paraId="3BF40893">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(7)在施工期间，承包人若违反施工操作及管理程序，则按5万元/次标准扣除承包人的违约金。</w:t>
            </w:r>
          </w:p>
          <w:p w14:paraId="2656439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(8)承包人在施工期间如果在各种报表及检查试验记录中自己作假或诱导监理人作假，发包人可按每次1万~10万元的标准扣除承包人的违约金。</w:t>
            </w:r>
          </w:p>
          <w:p w14:paraId="1BD17F74">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无条件接受上级交通主管部门、质量监督部门、发包人监理单位的质量检查或抽查，如发现承包人出现降低施工标准或偷工减料或出现较大质量问题，发包人将按每次10万元的标准扣除承包人的违约金。</w:t>
            </w:r>
          </w:p>
          <w:p w14:paraId="5BCC39C0">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(10)承包人在施工期间未能做好环境保护工作，使得周边环境遭到破坏或污染，经监理人认可后，每次按照10万元的标准扣除承包人的违约金。</w:t>
            </w:r>
          </w:p>
          <w:p w14:paraId="4FA68973">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(11)承包人存在安全问题或有违反安全管理规章制度的情况时，视其情节轻重，分别给予承包人通报批评、警告、责令停工等处罚，并可扣处1万~10万元的违约金。</w:t>
            </w:r>
          </w:p>
          <w:p w14:paraId="75B3C42B">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承包人应按劳动合同及时发放薪酬，不得因此影响工程的正常进展及发包人的声誉。因此造成的劳务纠纷，发包人在收到劳动部门的仲裁结果后，有权根据仲裁结果从应付给承包人的工程款中代为扣付。对工程的正常进展及发包人声誉造成影响的，发包人可以向承包人课以10万元以内的违约金。</w:t>
            </w:r>
          </w:p>
          <w:p w14:paraId="42F9BC5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(13)由于承包人原因导致本工程质量未达到合同约定的目标，将扣除质量保证金的20％作为违约金。</w:t>
            </w:r>
          </w:p>
          <w:p w14:paraId="06C207A9">
            <w:pPr>
              <w:keepNext w:val="0"/>
              <w:keepLines w:val="0"/>
              <w:pageBreakBefore w:val="0"/>
              <w:widowControl w:val="0"/>
              <w:kinsoku/>
              <w:wordWrap/>
              <w:overflowPunct/>
              <w:topLinePunct w:val="0"/>
              <w:autoSpaceDE/>
              <w:autoSpaceDN/>
              <w:bidi w:val="0"/>
              <w:adjustRightInd/>
              <w:snapToGrid w:val="0"/>
              <w:spacing w:line="360" w:lineRule="auto"/>
              <w:ind w:left="105" w:leftChars="50" w:right="28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提及的所有违约金(包括由于承包人违约而给发包人造成的费用增加和其他损失，下同)将从期中支付证书中扣除或通知履约保函开具银行支付，直至通过诉讼手段向承包人进行追索。所有扣缴的违约金将按照《中华人民共和国企业所得税法》(中华人民共和国主席令第63号)、《中华人民共和国企业所得税暂行条例》(中华人民共和国国务院令第512号)、《基本建设财务规则》(中华人民共和国财政部令第81号)的相关规定处理。</w:t>
            </w:r>
          </w:p>
        </w:tc>
      </w:tr>
      <w:tr w14:paraId="5C6E7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jc w:val="center"/>
        </w:trPr>
        <w:tc>
          <w:tcPr>
            <w:tcW w:w="624" w:type="dxa"/>
            <w:tcBorders>
              <w:left w:val="single" w:color="000000" w:sz="6" w:space="0"/>
            </w:tcBorders>
            <w:vAlign w:val="top"/>
          </w:tcPr>
          <w:p w14:paraId="64964F70">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highlight w:val="none"/>
              </w:rPr>
            </w:pPr>
          </w:p>
          <w:p w14:paraId="66C88C54">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highlight w:val="none"/>
              </w:rPr>
            </w:pPr>
          </w:p>
          <w:p w14:paraId="15297BE7">
            <w:pPr>
              <w:keepNext/>
              <w:keepLines w:val="0"/>
              <w:pageBreakBefore w:val="0"/>
              <w:widowControl w:val="0"/>
              <w:kinsoku/>
              <w:overflowPunct/>
              <w:topLinePunct w:val="0"/>
              <w:autoSpaceDE/>
              <w:autoSpaceDN/>
              <w:bidi w:val="0"/>
              <w:snapToGrid w:val="0"/>
              <w:spacing w:before="58" w:line="195"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1</w:t>
            </w:r>
          </w:p>
        </w:tc>
        <w:tc>
          <w:tcPr>
            <w:tcW w:w="1384" w:type="dxa"/>
            <w:vAlign w:val="top"/>
          </w:tcPr>
          <w:p w14:paraId="39961A6B">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highlight w:val="none"/>
              </w:rPr>
            </w:pPr>
          </w:p>
          <w:p w14:paraId="48315908">
            <w:pPr>
              <w:keepNext/>
              <w:keepLines w:val="0"/>
              <w:pageBreakBefore w:val="0"/>
              <w:widowControl w:val="0"/>
              <w:kinsoku/>
              <w:overflowPunct/>
              <w:topLinePunct w:val="0"/>
              <w:autoSpaceDE/>
              <w:autoSpaceDN/>
              <w:bidi w:val="0"/>
              <w:snapToGrid w:val="0"/>
              <w:spacing w:line="335" w:lineRule="auto"/>
              <w:ind w:left="105" w:leftChars="50" w:right="283"/>
              <w:textAlignment w:val="auto"/>
              <w:rPr>
                <w:rFonts w:hint="eastAsia" w:ascii="宋体" w:hAnsi="宋体" w:eastAsia="宋体" w:cs="宋体"/>
                <w:color w:val="auto"/>
                <w:sz w:val="21"/>
                <w:szCs w:val="21"/>
                <w:highlight w:val="none"/>
              </w:rPr>
            </w:pPr>
          </w:p>
          <w:p w14:paraId="3625ED81">
            <w:pPr>
              <w:keepNext/>
              <w:keepLines w:val="0"/>
              <w:pageBreakBefore w:val="0"/>
              <w:widowControl w:val="0"/>
              <w:kinsoku/>
              <w:overflowPunct/>
              <w:topLinePunct w:val="0"/>
              <w:autoSpaceDE/>
              <w:autoSpaceDN/>
              <w:bidi w:val="0"/>
              <w:snapToGrid w:val="0"/>
              <w:spacing w:before="58" w:line="198" w:lineRule="auto"/>
              <w:ind w:left="105" w:leftChars="50" w:right="283"/>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5"/>
                <w:sz w:val="21"/>
                <w:szCs w:val="21"/>
                <w:highlight w:val="none"/>
              </w:rPr>
              <w:t>2.2.2</w:t>
            </w:r>
          </w:p>
        </w:tc>
        <w:tc>
          <w:tcPr>
            <w:tcW w:w="7054" w:type="dxa"/>
            <w:tcBorders>
              <w:right w:val="single" w:color="000000" w:sz="6" w:space="0"/>
            </w:tcBorders>
            <w:vAlign w:val="top"/>
          </w:tcPr>
          <w:p w14:paraId="14858532">
            <w:pPr>
              <w:keepNext/>
              <w:keepLines w:val="0"/>
              <w:pageBreakBefore w:val="0"/>
              <w:widowControl w:val="0"/>
              <w:kinsoku/>
              <w:overflowPunct/>
              <w:topLinePunct w:val="0"/>
              <w:autoSpaceDE/>
              <w:autoSpaceDN/>
              <w:bidi w:val="0"/>
              <w:snapToGrid w:val="0"/>
              <w:spacing w:before="142" w:line="369" w:lineRule="auto"/>
              <w:ind w:left="105" w:leftChars="50" w:right="283" w:rightChars="0" w:firstLine="238"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如</w:t>
            </w:r>
            <w:r>
              <w:rPr>
                <w:rFonts w:hint="eastAsia" w:ascii="宋体" w:hAnsi="宋体" w:eastAsia="宋体" w:cs="宋体"/>
                <w:color w:val="auto"/>
                <w:spacing w:val="11"/>
                <w:sz w:val="21"/>
                <w:szCs w:val="21"/>
                <w:highlight w:val="none"/>
              </w:rPr>
              <w:t>承包人采用现金形式向发包人提交履约保证金或质量保证金时，发包人无正</w:t>
            </w:r>
            <w:r>
              <w:rPr>
                <w:rFonts w:hint="eastAsia" w:ascii="宋体" w:hAnsi="宋体" w:eastAsia="宋体" w:cs="宋体"/>
                <w:color w:val="auto"/>
                <w:spacing w:val="22"/>
                <w:sz w:val="21"/>
                <w:szCs w:val="21"/>
                <w:highlight w:val="none"/>
              </w:rPr>
              <w:t>当理</w:t>
            </w:r>
            <w:r>
              <w:rPr>
                <w:rFonts w:hint="eastAsia" w:ascii="宋体" w:hAnsi="宋体" w:eastAsia="宋体" w:cs="宋体"/>
                <w:color w:val="auto"/>
                <w:spacing w:val="15"/>
                <w:sz w:val="21"/>
                <w:szCs w:val="21"/>
                <w:highlight w:val="none"/>
              </w:rPr>
              <w:t>由</w:t>
            </w:r>
            <w:r>
              <w:rPr>
                <w:rFonts w:hint="eastAsia" w:ascii="宋体" w:hAnsi="宋体" w:eastAsia="宋体" w:cs="宋体"/>
                <w:color w:val="auto"/>
                <w:spacing w:val="11"/>
                <w:sz w:val="21"/>
                <w:szCs w:val="21"/>
                <w:highlight w:val="none"/>
              </w:rPr>
              <w:t>不按时返还的，发包人应向承包人支付的违约金：</w:t>
            </w:r>
            <w:r>
              <w:rPr>
                <w:rFonts w:hint="eastAsia" w:ascii="宋体" w:hAnsi="宋体" w:eastAsia="宋体" w:cs="宋体"/>
                <w:color w:val="auto"/>
                <w:spacing w:val="11"/>
                <w:sz w:val="21"/>
                <w:szCs w:val="21"/>
                <w:highlight w:val="none"/>
                <w:u w:val="single" w:color="auto"/>
              </w:rPr>
              <w:t>按照中国人民银行公布的一年以内(含一年)同期同类金融机构人民币贷款基准利率(不计复利)</w:t>
            </w:r>
            <w:r>
              <w:rPr>
                <w:rFonts w:hint="eastAsia" w:ascii="宋体" w:hAnsi="宋体" w:eastAsia="宋体" w:cs="宋体"/>
                <w:color w:val="auto"/>
                <w:spacing w:val="4"/>
                <w:sz w:val="21"/>
                <w:szCs w:val="21"/>
                <w:highlight w:val="none"/>
                <w:u w:val="single" w:color="auto"/>
              </w:rPr>
              <w:t>加</w:t>
            </w:r>
            <w:r>
              <w:rPr>
                <w:rFonts w:hint="eastAsia" w:ascii="宋体" w:hAnsi="宋体" w:eastAsia="宋体" w:cs="宋体"/>
                <w:color w:val="auto"/>
                <w:spacing w:val="13"/>
                <w:sz w:val="21"/>
                <w:szCs w:val="21"/>
                <w:highlight w:val="none"/>
                <w:u w:val="single" w:color="auto"/>
              </w:rPr>
              <w:t>手</w:t>
            </w:r>
            <w:r>
              <w:rPr>
                <w:rFonts w:hint="eastAsia" w:ascii="宋体" w:hAnsi="宋体" w:eastAsia="宋体" w:cs="宋体"/>
                <w:color w:val="auto"/>
                <w:spacing w:val="12"/>
                <w:sz w:val="21"/>
                <w:szCs w:val="21"/>
                <w:highlight w:val="none"/>
                <w:u w:val="single" w:color="auto"/>
              </w:rPr>
              <w:t>续费。</w:t>
            </w:r>
          </w:p>
        </w:tc>
      </w:tr>
      <w:tr w14:paraId="1FE4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top"/>
          </w:tcPr>
          <w:p w14:paraId="59F6902F">
            <w:pPr>
              <w:keepNext/>
              <w:keepLines w:val="0"/>
              <w:pageBreakBefore w:val="0"/>
              <w:widowControl w:val="0"/>
              <w:kinsoku/>
              <w:overflowPunct/>
              <w:topLinePunct w:val="0"/>
              <w:autoSpaceDE/>
              <w:autoSpaceDN/>
              <w:bidi w:val="0"/>
              <w:snapToGrid w:val="0"/>
              <w:spacing w:line="273" w:lineRule="auto"/>
              <w:ind w:left="105" w:leftChars="50" w:right="283"/>
              <w:textAlignment w:val="auto"/>
              <w:rPr>
                <w:rFonts w:hint="eastAsia" w:ascii="宋体" w:hAnsi="宋体" w:eastAsia="宋体" w:cs="宋体"/>
                <w:color w:val="auto"/>
                <w:sz w:val="21"/>
                <w:szCs w:val="21"/>
                <w:highlight w:val="none"/>
              </w:rPr>
            </w:pPr>
          </w:p>
          <w:p w14:paraId="6D5C4B63">
            <w:pPr>
              <w:keepNext/>
              <w:keepLines w:val="0"/>
              <w:pageBreakBefore w:val="0"/>
              <w:widowControl w:val="0"/>
              <w:kinsoku/>
              <w:overflowPunct/>
              <w:topLinePunct w:val="0"/>
              <w:autoSpaceDE/>
              <w:autoSpaceDN/>
              <w:bidi w:val="0"/>
              <w:snapToGrid w:val="0"/>
              <w:spacing w:before="58" w:line="195"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2</w:t>
            </w:r>
          </w:p>
        </w:tc>
        <w:tc>
          <w:tcPr>
            <w:tcW w:w="1384" w:type="dxa"/>
            <w:vAlign w:val="top"/>
          </w:tcPr>
          <w:p w14:paraId="6778A1D6">
            <w:pPr>
              <w:keepNext/>
              <w:keepLines w:val="0"/>
              <w:pageBreakBefore w:val="0"/>
              <w:widowControl w:val="0"/>
              <w:kinsoku/>
              <w:overflowPunct/>
              <w:topLinePunct w:val="0"/>
              <w:autoSpaceDE/>
              <w:autoSpaceDN/>
              <w:bidi w:val="0"/>
              <w:snapToGrid w:val="0"/>
              <w:spacing w:line="273" w:lineRule="auto"/>
              <w:ind w:left="105" w:leftChars="50" w:right="283"/>
              <w:textAlignment w:val="auto"/>
              <w:rPr>
                <w:rFonts w:hint="eastAsia" w:ascii="宋体" w:hAnsi="宋体" w:eastAsia="宋体" w:cs="宋体"/>
                <w:color w:val="auto"/>
                <w:sz w:val="21"/>
                <w:szCs w:val="21"/>
                <w:highlight w:val="none"/>
              </w:rPr>
            </w:pPr>
          </w:p>
          <w:p w14:paraId="2C20EF2F">
            <w:pPr>
              <w:keepNext/>
              <w:keepLines w:val="0"/>
              <w:pageBreakBefore w:val="0"/>
              <w:widowControl w:val="0"/>
              <w:kinsoku/>
              <w:overflowPunct/>
              <w:topLinePunct w:val="0"/>
              <w:autoSpaceDE/>
              <w:autoSpaceDN/>
              <w:bidi w:val="0"/>
              <w:snapToGrid w:val="0"/>
              <w:spacing w:before="58" w:line="198" w:lineRule="auto"/>
              <w:ind w:left="105" w:leftChars="50" w:right="283"/>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3"/>
                <w:sz w:val="21"/>
                <w:szCs w:val="21"/>
                <w:highlight w:val="none"/>
              </w:rPr>
              <w:t>.1</w:t>
            </w:r>
          </w:p>
        </w:tc>
        <w:tc>
          <w:tcPr>
            <w:tcW w:w="7054" w:type="dxa"/>
            <w:tcBorders>
              <w:right w:val="single" w:color="000000" w:sz="6" w:space="0"/>
            </w:tcBorders>
            <w:vAlign w:val="top"/>
          </w:tcPr>
          <w:p w14:paraId="68ECD16D">
            <w:pPr>
              <w:keepNext/>
              <w:keepLines w:val="0"/>
              <w:pageBreakBefore w:val="0"/>
              <w:widowControl w:val="0"/>
              <w:kinsoku/>
              <w:overflowPunct/>
              <w:topLinePunct w:val="0"/>
              <w:autoSpaceDE/>
              <w:autoSpaceDN/>
              <w:bidi w:val="0"/>
              <w:snapToGrid w:val="0"/>
              <w:spacing w:before="143" w:line="227" w:lineRule="auto"/>
              <w:ind w:left="105"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争</w:t>
            </w:r>
            <w:r>
              <w:rPr>
                <w:rFonts w:hint="eastAsia" w:ascii="宋体" w:hAnsi="宋体" w:eastAsia="宋体" w:cs="宋体"/>
                <w:color w:val="auto"/>
                <w:spacing w:val="5"/>
                <w:sz w:val="21"/>
                <w:szCs w:val="21"/>
                <w:highlight w:val="none"/>
              </w:rPr>
              <w:t>议的最终解决方式，规定为：</w:t>
            </w:r>
            <w:r>
              <w:rPr>
                <w:rFonts w:hint="eastAsia" w:ascii="宋体" w:hAnsi="宋体" w:eastAsia="宋体" w:cs="宋体"/>
                <w:color w:val="auto"/>
                <w:spacing w:val="5"/>
                <w:sz w:val="21"/>
                <w:szCs w:val="21"/>
                <w:highlight w:val="none"/>
                <w:u w:val="single" w:color="auto"/>
              </w:rPr>
              <w:t>仲裁</w:t>
            </w:r>
          </w:p>
          <w:p w14:paraId="4AE379C7">
            <w:pPr>
              <w:keepNext/>
              <w:keepLines w:val="0"/>
              <w:pageBreakBefore w:val="0"/>
              <w:widowControl w:val="0"/>
              <w:kinsoku/>
              <w:overflowPunct/>
              <w:topLinePunct w:val="0"/>
              <w:autoSpaceDE/>
              <w:autoSpaceDN/>
              <w:bidi w:val="0"/>
              <w:snapToGrid w:val="0"/>
              <w:spacing w:before="155" w:line="224" w:lineRule="auto"/>
              <w:ind w:left="105"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采</w:t>
            </w:r>
            <w:r>
              <w:rPr>
                <w:rFonts w:hint="eastAsia" w:ascii="宋体" w:hAnsi="宋体" w:eastAsia="宋体" w:cs="宋体"/>
                <w:color w:val="auto"/>
                <w:spacing w:val="9"/>
                <w:sz w:val="21"/>
                <w:szCs w:val="21"/>
                <w:highlight w:val="none"/>
              </w:rPr>
              <w:t>用</w:t>
            </w:r>
            <w:r>
              <w:rPr>
                <w:rFonts w:hint="eastAsia" w:ascii="宋体" w:hAnsi="宋体" w:eastAsia="宋体" w:cs="宋体"/>
                <w:color w:val="auto"/>
                <w:spacing w:val="7"/>
                <w:sz w:val="21"/>
                <w:szCs w:val="21"/>
                <w:highlight w:val="none"/>
              </w:rPr>
              <w:t>仲裁的仲裁委员会名称，规定为：</w:t>
            </w:r>
            <w:r>
              <w:rPr>
                <w:rFonts w:hint="eastAsia" w:ascii="宋体" w:hAnsi="宋体" w:eastAsia="宋体" w:cs="宋体"/>
                <w:color w:val="auto"/>
                <w:spacing w:val="7"/>
                <w:sz w:val="21"/>
                <w:szCs w:val="21"/>
                <w:highlight w:val="none"/>
                <w:u w:val="single" w:color="auto"/>
              </w:rPr>
              <w:t>发包人所在地仲裁委员会</w:t>
            </w:r>
          </w:p>
        </w:tc>
      </w:tr>
      <w:tr w14:paraId="217A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24" w:type="dxa"/>
            <w:tcBorders>
              <w:left w:val="single" w:color="000000" w:sz="6" w:space="0"/>
            </w:tcBorders>
            <w:vAlign w:val="top"/>
          </w:tcPr>
          <w:p w14:paraId="0BE47280">
            <w:pPr>
              <w:keepNext/>
              <w:keepLines w:val="0"/>
              <w:pageBreakBefore w:val="0"/>
              <w:widowControl w:val="0"/>
              <w:kinsoku/>
              <w:overflowPunct/>
              <w:topLinePunct w:val="0"/>
              <w:autoSpaceDE/>
              <w:autoSpaceDN/>
              <w:bidi w:val="0"/>
              <w:snapToGrid w:val="0"/>
              <w:spacing w:before="135" w:line="195"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3</w:t>
            </w:r>
          </w:p>
        </w:tc>
        <w:tc>
          <w:tcPr>
            <w:tcW w:w="1384" w:type="dxa"/>
            <w:vAlign w:val="top"/>
          </w:tcPr>
          <w:p w14:paraId="5EBCC71B">
            <w:pPr>
              <w:keepNext/>
              <w:keepLines w:val="0"/>
              <w:pageBreakBefore w:val="0"/>
              <w:widowControl w:val="0"/>
              <w:kinsoku/>
              <w:overflowPunct/>
              <w:topLinePunct w:val="0"/>
              <w:autoSpaceDE/>
              <w:autoSpaceDN/>
              <w:bidi w:val="0"/>
              <w:snapToGrid w:val="0"/>
              <w:spacing w:before="135" w:line="195" w:lineRule="auto"/>
              <w:ind w:left="105" w:leftChars="50" w:right="283"/>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5</w:t>
            </w:r>
          </w:p>
        </w:tc>
        <w:tc>
          <w:tcPr>
            <w:tcW w:w="7054" w:type="dxa"/>
            <w:tcBorders>
              <w:right w:val="single" w:color="000000" w:sz="6" w:space="0"/>
            </w:tcBorders>
            <w:vAlign w:val="top"/>
          </w:tcPr>
          <w:p w14:paraId="0CF7D0CD">
            <w:pPr>
              <w:keepNext/>
              <w:keepLines w:val="0"/>
              <w:pageBreakBefore w:val="0"/>
              <w:widowControl w:val="0"/>
              <w:kinsoku/>
              <w:overflowPunct/>
              <w:topLinePunct w:val="0"/>
              <w:autoSpaceDE/>
              <w:autoSpaceDN/>
              <w:bidi w:val="0"/>
              <w:snapToGrid w:val="0"/>
              <w:spacing w:before="138" w:line="22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为加</w:t>
            </w:r>
            <w:r>
              <w:rPr>
                <w:rFonts w:hint="eastAsia" w:ascii="宋体" w:hAnsi="宋体" w:eastAsia="宋体" w:cs="宋体"/>
                <w:color w:val="auto"/>
                <w:spacing w:val="15"/>
                <w:sz w:val="21"/>
                <w:szCs w:val="21"/>
                <w:highlight w:val="none"/>
              </w:rPr>
              <w:t>强</w:t>
            </w:r>
            <w:r>
              <w:rPr>
                <w:rFonts w:hint="eastAsia" w:ascii="宋体" w:hAnsi="宋体" w:eastAsia="宋体" w:cs="宋体"/>
                <w:color w:val="auto"/>
                <w:spacing w:val="8"/>
                <w:sz w:val="21"/>
                <w:szCs w:val="21"/>
                <w:highlight w:val="none"/>
              </w:rPr>
              <w:t>安全生产管理工作，规范本工程交通封闭作业行为，在合同执行过程中，</w:t>
            </w:r>
            <w:r>
              <w:rPr>
                <w:rFonts w:hint="eastAsia" w:ascii="宋体" w:hAnsi="宋体" w:eastAsia="宋体" w:cs="宋体"/>
                <w:color w:val="auto"/>
                <w:spacing w:val="14"/>
                <w:sz w:val="21"/>
                <w:szCs w:val="21"/>
                <w:highlight w:val="none"/>
              </w:rPr>
              <w:t>结</w:t>
            </w:r>
            <w:r>
              <w:rPr>
                <w:rFonts w:hint="eastAsia" w:ascii="宋体" w:hAnsi="宋体" w:eastAsia="宋体" w:cs="宋体"/>
                <w:color w:val="auto"/>
                <w:spacing w:val="9"/>
                <w:sz w:val="21"/>
                <w:szCs w:val="21"/>
                <w:highlight w:val="none"/>
              </w:rPr>
              <w:t>合项目施工特点，严格按照相关要求开展道路交通封闭施工作业。</w:t>
            </w:r>
          </w:p>
          <w:p w14:paraId="2D41CD46">
            <w:pPr>
              <w:keepNext/>
              <w:keepLines w:val="0"/>
              <w:pageBreakBefore w:val="0"/>
              <w:widowControl w:val="0"/>
              <w:kinsoku/>
              <w:overflowPunct/>
              <w:topLinePunct w:val="0"/>
              <w:autoSpaceDE/>
              <w:autoSpaceDN/>
              <w:bidi w:val="0"/>
              <w:snapToGrid w:val="0"/>
              <w:spacing w:before="153" w:line="369" w:lineRule="auto"/>
              <w:ind w:left="105" w:leftChars="50" w:right="283" w:firstLine="20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施</w:t>
            </w:r>
            <w:r>
              <w:rPr>
                <w:rFonts w:hint="eastAsia" w:ascii="宋体" w:hAnsi="宋体" w:eastAsia="宋体" w:cs="宋体"/>
                <w:color w:val="auto"/>
                <w:spacing w:val="12"/>
                <w:sz w:val="21"/>
                <w:szCs w:val="21"/>
                <w:highlight w:val="none"/>
              </w:rPr>
              <w:t>工结束时，承包人必须将因施工而损坏的路面及附属设施恢复到原有良好状</w:t>
            </w:r>
            <w:r>
              <w:rPr>
                <w:rFonts w:hint="eastAsia" w:ascii="宋体" w:hAnsi="宋体" w:eastAsia="宋体" w:cs="宋体"/>
                <w:color w:val="auto"/>
                <w:spacing w:val="14"/>
                <w:sz w:val="21"/>
                <w:szCs w:val="21"/>
                <w:highlight w:val="none"/>
              </w:rPr>
              <w:t>态</w:t>
            </w:r>
            <w:r>
              <w:rPr>
                <w:rFonts w:hint="eastAsia" w:ascii="宋体" w:hAnsi="宋体" w:eastAsia="宋体" w:cs="宋体"/>
                <w:color w:val="auto"/>
                <w:spacing w:val="12"/>
                <w:sz w:val="21"/>
                <w:szCs w:val="21"/>
                <w:highlight w:val="none"/>
              </w:rPr>
              <w:t>。及时施划道路标志、标线，确保道路标志、标线的完整有效。拆除安全隔离</w:t>
            </w:r>
            <w:r>
              <w:rPr>
                <w:rFonts w:hint="eastAsia" w:ascii="宋体" w:hAnsi="宋体" w:eastAsia="宋体" w:cs="宋体"/>
                <w:color w:val="auto"/>
                <w:spacing w:val="14"/>
                <w:sz w:val="21"/>
                <w:szCs w:val="21"/>
                <w:highlight w:val="none"/>
              </w:rPr>
              <w:t>设</w:t>
            </w:r>
            <w:r>
              <w:rPr>
                <w:rFonts w:hint="eastAsia" w:ascii="宋体" w:hAnsi="宋体" w:eastAsia="宋体" w:cs="宋体"/>
                <w:color w:val="auto"/>
                <w:spacing w:val="12"/>
                <w:sz w:val="21"/>
                <w:szCs w:val="21"/>
                <w:highlight w:val="none"/>
              </w:rPr>
              <w:t>施，并报经所在路域分公司、公安交警大队进行验收合格后，方可撤离现场恢</w:t>
            </w:r>
            <w:r>
              <w:rPr>
                <w:rFonts w:hint="eastAsia" w:ascii="宋体" w:hAnsi="宋体" w:eastAsia="宋体" w:cs="宋体"/>
                <w:color w:val="auto"/>
                <w:spacing w:val="7"/>
                <w:sz w:val="21"/>
                <w:szCs w:val="21"/>
                <w:highlight w:val="none"/>
              </w:rPr>
              <w:t>复道路交通</w:t>
            </w:r>
            <w:r>
              <w:rPr>
                <w:rFonts w:hint="eastAsia" w:ascii="宋体" w:hAnsi="宋体" w:eastAsia="宋体" w:cs="宋体"/>
                <w:color w:val="auto"/>
                <w:spacing w:val="5"/>
                <w:sz w:val="21"/>
                <w:szCs w:val="21"/>
                <w:highlight w:val="none"/>
              </w:rPr>
              <w:t>。</w:t>
            </w:r>
          </w:p>
          <w:p w14:paraId="3A78CAB6">
            <w:pPr>
              <w:keepNext/>
              <w:keepLines w:val="0"/>
              <w:pageBreakBefore w:val="0"/>
              <w:widowControl w:val="0"/>
              <w:kinsoku/>
              <w:overflowPunct/>
              <w:topLinePunct w:val="0"/>
              <w:autoSpaceDE/>
              <w:autoSpaceDN/>
              <w:bidi w:val="0"/>
              <w:snapToGrid w:val="0"/>
              <w:spacing w:before="1" w:line="368" w:lineRule="auto"/>
              <w:ind w:left="105" w:leftChars="50" w:right="283" w:firstLine="20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工</w:t>
            </w:r>
            <w:r>
              <w:rPr>
                <w:rFonts w:hint="eastAsia" w:ascii="宋体" w:hAnsi="宋体" w:eastAsia="宋体" w:cs="宋体"/>
                <w:color w:val="auto"/>
                <w:spacing w:val="17"/>
                <w:sz w:val="21"/>
                <w:szCs w:val="21"/>
                <w:highlight w:val="none"/>
              </w:rPr>
              <w:t>程</w:t>
            </w:r>
            <w:r>
              <w:rPr>
                <w:rFonts w:hint="eastAsia" w:ascii="宋体" w:hAnsi="宋体" w:eastAsia="宋体" w:cs="宋体"/>
                <w:color w:val="auto"/>
                <w:spacing w:val="10"/>
                <w:sz w:val="21"/>
                <w:szCs w:val="21"/>
                <w:highlight w:val="none"/>
              </w:rPr>
              <w:t>正式开工前，承包人必须向监理及发包人上报详细的交通封闭组织方案，</w:t>
            </w:r>
            <w:r>
              <w:rPr>
                <w:rFonts w:hint="eastAsia" w:ascii="宋体" w:hAnsi="宋体" w:eastAsia="宋体" w:cs="宋体"/>
                <w:color w:val="auto"/>
                <w:spacing w:val="16"/>
                <w:sz w:val="21"/>
                <w:szCs w:val="21"/>
                <w:highlight w:val="none"/>
              </w:rPr>
              <w:t>经</w:t>
            </w:r>
            <w:r>
              <w:rPr>
                <w:rFonts w:hint="eastAsia" w:ascii="宋体" w:hAnsi="宋体" w:eastAsia="宋体" w:cs="宋体"/>
                <w:color w:val="auto"/>
                <w:spacing w:val="11"/>
                <w:sz w:val="21"/>
                <w:szCs w:val="21"/>
                <w:highlight w:val="none"/>
              </w:rPr>
              <w:t>发</w:t>
            </w:r>
            <w:r>
              <w:rPr>
                <w:rFonts w:hint="eastAsia" w:ascii="宋体" w:hAnsi="宋体" w:eastAsia="宋体" w:cs="宋体"/>
                <w:color w:val="auto"/>
                <w:spacing w:val="8"/>
                <w:sz w:val="21"/>
                <w:szCs w:val="21"/>
                <w:highlight w:val="none"/>
              </w:rPr>
              <w:t>包人审核通过后，方可正式施工。</w:t>
            </w:r>
          </w:p>
          <w:p w14:paraId="7D9CD534">
            <w:pPr>
              <w:keepNext/>
              <w:keepLines w:val="0"/>
              <w:pageBreakBefore w:val="0"/>
              <w:widowControl w:val="0"/>
              <w:kinsoku/>
              <w:overflowPunct/>
              <w:topLinePunct w:val="0"/>
              <w:autoSpaceDE/>
              <w:autoSpaceDN/>
              <w:bidi w:val="0"/>
              <w:snapToGrid w:val="0"/>
              <w:spacing w:before="2" w:line="369" w:lineRule="auto"/>
              <w:ind w:left="105" w:leftChars="50" w:right="283" w:rightChars="0" w:firstLine="207"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承</w:t>
            </w:r>
            <w:r>
              <w:rPr>
                <w:rFonts w:hint="eastAsia" w:ascii="宋体" w:hAnsi="宋体" w:eastAsia="宋体" w:cs="宋体"/>
                <w:color w:val="auto"/>
                <w:spacing w:val="12"/>
                <w:sz w:val="21"/>
                <w:szCs w:val="21"/>
                <w:highlight w:val="none"/>
              </w:rPr>
              <w:t>包人应充分考虑本项目施工过程中执行上述交通封闭作业要求所需的相关费用，且交通封闭规范化作业费用已包含在本合同的相关报价中，发包人将不另行</w:t>
            </w:r>
            <w:r>
              <w:rPr>
                <w:rFonts w:hint="eastAsia" w:ascii="宋体" w:hAnsi="宋体" w:eastAsia="宋体" w:cs="宋体"/>
                <w:color w:val="auto"/>
                <w:spacing w:val="3"/>
                <w:sz w:val="21"/>
                <w:szCs w:val="21"/>
                <w:highlight w:val="none"/>
              </w:rPr>
              <w:t>支付</w:t>
            </w:r>
            <w:r>
              <w:rPr>
                <w:rFonts w:hint="eastAsia" w:ascii="宋体" w:hAnsi="宋体" w:eastAsia="宋体" w:cs="宋体"/>
                <w:color w:val="auto"/>
                <w:spacing w:val="2"/>
                <w:sz w:val="21"/>
                <w:szCs w:val="21"/>
                <w:highlight w:val="none"/>
              </w:rPr>
              <w:t>。</w:t>
            </w:r>
          </w:p>
        </w:tc>
      </w:tr>
    </w:tbl>
    <w:p w14:paraId="636AAA83">
      <w:pPr>
        <w:rPr>
          <w:rFonts w:hint="eastAsia" w:ascii="宋体" w:hAnsi="宋体" w:eastAsia="宋体" w:cs="宋体"/>
          <w:color w:val="auto"/>
          <w:sz w:val="21"/>
          <w:szCs w:val="21"/>
          <w:highlight w:val="none"/>
        </w:rPr>
        <w:sectPr>
          <w:headerReference r:id="rId29" w:type="default"/>
          <w:footerReference r:id="rId30" w:type="default"/>
          <w:pgSz w:w="11907" w:h="16840"/>
          <w:pgMar w:top="1165" w:right="1301" w:bottom="1333" w:left="1299" w:header="883" w:footer="1173" w:gutter="0"/>
          <w:cols w:space="720" w:num="1"/>
        </w:sectPr>
      </w:pPr>
    </w:p>
    <w:p w14:paraId="03B32A97">
      <w:pPr>
        <w:pageBreakBefore w:val="0"/>
        <w:kinsoku/>
        <w:wordWrap w:val="0"/>
        <w:bidi w:val="0"/>
        <w:spacing w:before="240" w:after="240" w:line="380" w:lineRule="atLeast"/>
        <w:jc w:val="center"/>
        <w:outlineLvl w:val="3"/>
        <w:rPr>
          <w:rFonts w:hint="default" w:ascii="Times New Roman" w:hAnsi="Times New Roman" w:eastAsia="黑体" w:cs="Times New Roman"/>
          <w:b w:val="0"/>
          <w:color w:val="auto"/>
          <w:sz w:val="32"/>
          <w:szCs w:val="32"/>
          <w:highlight w:val="none"/>
        </w:rPr>
      </w:pPr>
      <w:bookmarkStart w:id="1444" w:name="_Toc28935"/>
      <w:bookmarkStart w:id="1445" w:name="_Toc21888"/>
      <w:bookmarkStart w:id="1446" w:name="_Toc1829"/>
      <w:r>
        <w:rPr>
          <w:rFonts w:hint="default" w:ascii="Times New Roman" w:hAnsi="Times New Roman" w:eastAsia="黑体" w:cs="Times New Roman"/>
          <w:b w:val="0"/>
          <w:color w:val="auto"/>
          <w:sz w:val="32"/>
          <w:szCs w:val="32"/>
          <w:highlight w:val="none"/>
        </w:rPr>
        <w:t>项目专用合同条款</w:t>
      </w:r>
      <w:bookmarkEnd w:id="1443"/>
      <w:bookmarkEnd w:id="1444"/>
      <w:r>
        <w:rPr>
          <w:rStyle w:val="48"/>
          <w:rFonts w:hint="default" w:ascii="Times New Roman" w:hAnsi="Times New Roman" w:eastAsia="黑体" w:cs="Times New Roman"/>
          <w:b w:val="0"/>
          <w:color w:val="auto"/>
          <w:sz w:val="32"/>
          <w:szCs w:val="32"/>
          <w:highlight w:val="none"/>
        </w:rPr>
        <w:footnoteReference w:id="40"/>
      </w:r>
      <w:bookmarkEnd w:id="1445"/>
      <w:bookmarkEnd w:id="1446"/>
    </w:p>
    <w:p w14:paraId="369530D1">
      <w:pPr>
        <w:pageBreakBefore w:val="0"/>
        <w:kinsoku/>
        <w:wordWrap w:val="0"/>
        <w:bidi w:val="0"/>
        <w:rPr>
          <w:rFonts w:hint="default" w:ascii="Times New Roman" w:hAnsi="Times New Roman" w:cs="Times New Roman"/>
          <w:color w:val="auto"/>
          <w:highlight w:val="none"/>
        </w:rPr>
      </w:pPr>
    </w:p>
    <w:p w14:paraId="043D0EB4">
      <w:pPr>
        <w:pStyle w:val="18"/>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说明：</w:t>
      </w:r>
      <w:r>
        <w:rPr>
          <w:rFonts w:hint="default" w:ascii="Times New Roman" w:hAnsi="Times New Roman" w:eastAsia="楷体_GB2312" w:cs="Times New Roman"/>
          <w:color w:val="auto"/>
          <w:sz w:val="24"/>
          <w:highlight w:val="none"/>
        </w:rPr>
        <w:t>本部分所列的项目专用合同条款是对</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公路工程专用合同条款</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中规定必须在项目专用合同条款中明确的内容的集中，招标人编制的</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项目专用合同条款</w:t>
      </w:r>
      <w:r>
        <w:rPr>
          <w:rFonts w:hint="eastAsia" w:ascii="宋体" w:hAnsi="宋体" w:eastAsia="宋体" w:cs="宋体"/>
          <w:color w:val="auto"/>
          <w:sz w:val="24"/>
          <w:highlight w:val="none"/>
        </w:rPr>
        <w:t>”</w:t>
      </w:r>
      <w:r>
        <w:rPr>
          <w:rFonts w:hint="default" w:ascii="Times New Roman" w:hAnsi="Times New Roman" w:eastAsia="楷体_GB2312" w:cs="Times New Roman"/>
          <w:color w:val="auto"/>
          <w:sz w:val="24"/>
          <w:highlight w:val="none"/>
        </w:rPr>
        <w:t>不限于本部分所列内容。</w:t>
      </w:r>
    </w:p>
    <w:p w14:paraId="3826B93D">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47" w:name="_Toc3467"/>
      <w:bookmarkStart w:id="1448" w:name="_Toc23600"/>
      <w:bookmarkStart w:id="1449" w:name="_Toc22768"/>
      <w:bookmarkStart w:id="1450" w:name="_Toc234833223"/>
      <w:r>
        <w:rPr>
          <w:rFonts w:hint="default" w:ascii="Times New Roman" w:hAnsi="Times New Roman" w:eastAsia="黑体" w:cs="Times New Roman"/>
          <w:b w:val="0"/>
          <w:color w:val="auto"/>
          <w:sz w:val="24"/>
          <w:szCs w:val="24"/>
          <w:highlight w:val="none"/>
        </w:rPr>
        <w:t>4.1承包人的一般义务</w:t>
      </w:r>
      <w:bookmarkEnd w:id="1447"/>
      <w:bookmarkEnd w:id="1448"/>
      <w:bookmarkEnd w:id="1449"/>
      <w:bookmarkEnd w:id="1450"/>
    </w:p>
    <w:p w14:paraId="41840D47">
      <w:pPr>
        <w:pageBreakBefore w:val="0"/>
        <w:kinsoku/>
        <w:wordWrap w:val="0"/>
        <w:bidi w:val="0"/>
        <w:spacing w:line="400" w:lineRule="atLeast"/>
        <w:ind w:firstLine="470" w:firstLineChars="196"/>
        <w:outlineLvl w:val="9"/>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4.1.10</w:t>
      </w:r>
      <w:r>
        <w:rPr>
          <w:rFonts w:hint="default" w:ascii="Times New Roman" w:hAnsi="Times New Roman" w:eastAsia="黑体" w:cs="Times New Roman"/>
          <w:color w:val="auto"/>
          <w:sz w:val="24"/>
          <w:highlight w:val="none"/>
        </w:rPr>
        <w:t>其他义务</w:t>
      </w:r>
    </w:p>
    <w:p w14:paraId="71CCA058">
      <w:pPr>
        <w:pageBreakBefore w:val="0"/>
        <w:kinsoku/>
        <w:wordWrap w:val="0"/>
        <w:bidi w:val="0"/>
        <w:spacing w:line="400" w:lineRule="atLeast"/>
        <w:ind w:firstLine="39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）承包人应履行的其他义务：</w:t>
      </w:r>
      <w:r>
        <w:rPr>
          <w:rFonts w:hint="eastAsia" w:cs="Times New Roman"/>
          <w:color w:val="auto"/>
          <w:sz w:val="24"/>
          <w:highlight w:val="none"/>
          <w:u w:val="single"/>
          <w:lang w:val="en-US" w:eastAsia="zh-CN"/>
        </w:rPr>
        <w:t xml:space="preserve">                       </w:t>
      </w:r>
    </w:p>
    <w:p w14:paraId="03E44DD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51" w:name="_Toc21641"/>
      <w:bookmarkStart w:id="1452" w:name="_Toc234833224"/>
      <w:bookmarkStart w:id="1453" w:name="_Toc12950"/>
      <w:bookmarkStart w:id="1454" w:name="_Toc121"/>
      <w:r>
        <w:rPr>
          <w:rFonts w:hint="default" w:ascii="Times New Roman" w:hAnsi="Times New Roman" w:eastAsia="黑体" w:cs="Times New Roman"/>
          <w:b w:val="0"/>
          <w:color w:val="auto"/>
          <w:sz w:val="24"/>
          <w:szCs w:val="24"/>
          <w:highlight w:val="none"/>
        </w:rPr>
        <w:t>4.</w:t>
      </w:r>
      <w:r>
        <w:rPr>
          <w:rFonts w:hint="eastAsia" w:cs="Times New Roman"/>
          <w:b w:val="0"/>
          <w:color w:val="auto"/>
          <w:sz w:val="24"/>
          <w:szCs w:val="24"/>
          <w:highlight w:val="none"/>
          <w:lang w:val="en-US" w:eastAsia="zh-CN"/>
        </w:rPr>
        <w:t>6</w:t>
      </w:r>
      <w:r>
        <w:rPr>
          <w:rFonts w:hint="default" w:ascii="Times New Roman" w:hAnsi="Times New Roman" w:eastAsia="黑体" w:cs="Times New Roman"/>
          <w:b w:val="0"/>
          <w:color w:val="auto"/>
          <w:sz w:val="24"/>
          <w:szCs w:val="24"/>
          <w:highlight w:val="none"/>
        </w:rPr>
        <w:t>承包人人员的管理</w:t>
      </w:r>
    </w:p>
    <w:p w14:paraId="68BD01D1">
      <w:pPr>
        <w:pageBreakBefore w:val="0"/>
        <w:kinsoku/>
        <w:wordWrap/>
        <w:bidi w:val="0"/>
        <w:spacing w:before="240" w:after="240" w:line="420" w:lineRule="exact"/>
        <w:ind w:firstLine="480" w:firstLineChars="200"/>
        <w:outlineLvl w:val="9"/>
        <w:rPr>
          <w:rFonts w:hint="default" w:ascii="Times New Roman" w:hAnsi="Times New Roman" w:eastAsia="宋体" w:cs="Times New Roman"/>
          <w:b w:val="0"/>
          <w:color w:val="auto"/>
          <w:sz w:val="24"/>
          <w:szCs w:val="24"/>
          <w:highlight w:val="none"/>
        </w:rPr>
      </w:pPr>
      <w:r>
        <w:rPr>
          <w:rFonts w:hint="default" w:ascii="Times New Roman" w:hAnsi="Times New Roman" w:cs="Times New Roman"/>
          <w:color w:val="auto"/>
          <w:sz w:val="24"/>
          <w:highlight w:val="none"/>
        </w:rPr>
        <w:t>4.</w:t>
      </w:r>
      <w:r>
        <w:rPr>
          <w:rFonts w:hint="default"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default" w:cs="Times New Roman"/>
          <w:color w:val="auto"/>
          <w:sz w:val="24"/>
          <w:highlight w:val="none"/>
          <w:lang w:val="en-US" w:eastAsia="zh-CN"/>
        </w:rPr>
        <w:t>6</w:t>
      </w:r>
      <w:r>
        <w:rPr>
          <w:rFonts w:hint="eastAsia" w:cs="Times New Roman"/>
          <w:color w:val="auto"/>
          <w:sz w:val="24"/>
          <w:highlight w:val="none"/>
          <w:lang w:val="en-US" w:eastAsia="zh-CN"/>
        </w:rPr>
        <w:t>承包人（总承包单位和分包单位）</w:t>
      </w:r>
      <w:r>
        <w:rPr>
          <w:rFonts w:hint="default" w:ascii="Times New Roman" w:hAnsi="Times New Roman" w:cs="Times New Roman"/>
          <w:color w:val="auto"/>
          <w:sz w:val="24"/>
          <w:highlight w:val="none"/>
        </w:rPr>
        <w:t>应严格执行辽宁省交通运输厅关于印发《辽宁省公路工程施工现场主要人员履约监督管理办法》的通知</w:t>
      </w:r>
      <w:r>
        <w:rPr>
          <w:rFonts w:hint="eastAsia" w:cs="Times New Roman"/>
          <w:color w:val="auto"/>
          <w:sz w:val="24"/>
          <w:highlight w:val="none"/>
          <w:lang w:eastAsia="zh-CN"/>
        </w:rPr>
        <w:t>（辽交公路规</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2025</w:t>
      </w:r>
      <w:r>
        <w:rPr>
          <w:rFonts w:hint="eastAsia" w:ascii="宋体" w:hAnsi="宋体" w:eastAsia="宋体" w:cs="宋体"/>
          <w:color w:val="auto"/>
          <w:sz w:val="24"/>
          <w:highlight w:val="none"/>
          <w:lang w:eastAsia="zh-CN"/>
        </w:rPr>
        <w:t>﹞</w:t>
      </w:r>
      <w:r>
        <w:rPr>
          <w:rFonts w:hint="eastAsia" w:cs="Times New Roman"/>
          <w:color w:val="auto"/>
          <w:sz w:val="24"/>
          <w:highlight w:val="none"/>
          <w:lang w:eastAsia="zh-CN"/>
        </w:rPr>
        <w:t>3号）</w:t>
      </w:r>
      <w:r>
        <w:rPr>
          <w:rFonts w:hint="eastAsia" w:cs="Times New Roman"/>
          <w:color w:val="auto"/>
          <w:sz w:val="24"/>
          <w:highlight w:val="none"/>
          <w:lang w:val="en-US" w:eastAsia="zh-CN"/>
        </w:rPr>
        <w:t>中关于主要人员履约考核管理的规定。</w:t>
      </w:r>
    </w:p>
    <w:p w14:paraId="70E7173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4.11不利物质条件</w:t>
      </w:r>
      <w:bookmarkEnd w:id="1451"/>
      <w:bookmarkEnd w:id="1452"/>
      <w:bookmarkEnd w:id="1453"/>
      <w:bookmarkEnd w:id="1454"/>
    </w:p>
    <w:p w14:paraId="383C36D0">
      <w:pPr>
        <w:pageBreakBefore w:val="0"/>
        <w:kinsoku/>
        <w:wordWrap w:val="0"/>
        <w:bidi w:val="0"/>
        <w:spacing w:line="38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4.11.1不利物质条件的范围：</w:t>
      </w:r>
      <w:r>
        <w:rPr>
          <w:rFonts w:hint="eastAsia" w:cs="Times New Roman"/>
          <w:color w:val="auto"/>
          <w:sz w:val="24"/>
          <w:highlight w:val="none"/>
          <w:u w:val="single"/>
          <w:lang w:val="en-US" w:eastAsia="zh-CN"/>
        </w:rPr>
        <w:t xml:space="preserve">                          </w:t>
      </w:r>
    </w:p>
    <w:p w14:paraId="51F62B96">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55" w:name="_Toc234833225"/>
      <w:bookmarkStart w:id="1456" w:name="_Toc9469"/>
      <w:bookmarkStart w:id="1457" w:name="_Toc18605"/>
      <w:bookmarkStart w:id="1458" w:name="_Toc1967"/>
      <w:r>
        <w:rPr>
          <w:rFonts w:hint="default" w:ascii="Times New Roman" w:hAnsi="Times New Roman" w:eastAsia="黑体" w:cs="Times New Roman"/>
          <w:b w:val="0"/>
          <w:color w:val="auto"/>
          <w:sz w:val="24"/>
          <w:szCs w:val="24"/>
          <w:highlight w:val="none"/>
        </w:rPr>
        <w:t>10.1合同进度计划</w:t>
      </w:r>
      <w:bookmarkEnd w:id="1455"/>
      <w:bookmarkEnd w:id="1456"/>
      <w:bookmarkEnd w:id="1457"/>
      <w:bookmarkEnd w:id="1458"/>
    </w:p>
    <w:p w14:paraId="3EFFFE73">
      <w:pPr>
        <w:pageBreakBefore w:val="0"/>
        <w:kinsoku/>
        <w:wordWrap w:val="0"/>
        <w:bidi w:val="0"/>
        <w:spacing w:line="38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承包人编制施工方案的内容：</w:t>
      </w:r>
      <w:r>
        <w:rPr>
          <w:rFonts w:hint="eastAsia" w:cs="Times New Roman"/>
          <w:color w:val="auto"/>
          <w:sz w:val="24"/>
          <w:highlight w:val="none"/>
          <w:u w:val="single"/>
          <w:lang w:val="en-US" w:eastAsia="zh-CN"/>
        </w:rPr>
        <w:t xml:space="preserve">                         </w:t>
      </w:r>
    </w:p>
    <w:p w14:paraId="3787ABFF">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59" w:name="_Toc24011"/>
      <w:bookmarkStart w:id="1460" w:name="_Toc234833226"/>
      <w:bookmarkStart w:id="1461" w:name="_Toc19055"/>
      <w:bookmarkStart w:id="1462" w:name="_Toc5467"/>
      <w:r>
        <w:rPr>
          <w:rFonts w:hint="default" w:ascii="Times New Roman" w:hAnsi="Times New Roman" w:eastAsia="黑体" w:cs="Times New Roman"/>
          <w:b w:val="0"/>
          <w:color w:val="auto"/>
          <w:sz w:val="24"/>
          <w:szCs w:val="24"/>
          <w:highlight w:val="none"/>
        </w:rPr>
        <w:t>11.4异常恶劣的气候条件</w:t>
      </w:r>
      <w:bookmarkEnd w:id="1459"/>
      <w:bookmarkEnd w:id="1460"/>
      <w:bookmarkEnd w:id="1461"/>
      <w:bookmarkEnd w:id="1462"/>
    </w:p>
    <w:p w14:paraId="77936BE2">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异常恶劣的气候条件的范围：</w:t>
      </w:r>
      <w:r>
        <w:rPr>
          <w:rFonts w:hint="eastAsia" w:cs="Times New Roman"/>
          <w:color w:val="auto"/>
          <w:sz w:val="24"/>
          <w:highlight w:val="none"/>
          <w:u w:val="single"/>
          <w:lang w:val="en-US" w:eastAsia="zh-CN"/>
        </w:rPr>
        <w:t xml:space="preserve">                         </w:t>
      </w:r>
    </w:p>
    <w:p w14:paraId="5E53134A">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63" w:name="_Toc234833227"/>
      <w:bookmarkStart w:id="1464" w:name="_Toc27699"/>
      <w:bookmarkStart w:id="1465" w:name="_Toc9009"/>
      <w:bookmarkStart w:id="1466" w:name="_Toc3031"/>
      <w:r>
        <w:rPr>
          <w:rFonts w:hint="default" w:ascii="Times New Roman" w:hAnsi="Times New Roman" w:eastAsia="黑体" w:cs="Times New Roman"/>
          <w:b w:val="0"/>
          <w:color w:val="auto"/>
          <w:sz w:val="24"/>
          <w:szCs w:val="24"/>
          <w:highlight w:val="none"/>
        </w:rPr>
        <w:t>12.1承包人暂停施工的责任</w:t>
      </w:r>
      <w:bookmarkEnd w:id="1463"/>
      <w:bookmarkEnd w:id="1464"/>
      <w:bookmarkEnd w:id="1465"/>
      <w:bookmarkEnd w:id="1466"/>
    </w:p>
    <w:p w14:paraId="0A8D290F">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12.1（6）由承包人承担的其他暂停施工：</w:t>
      </w:r>
      <w:r>
        <w:rPr>
          <w:rFonts w:hint="eastAsia" w:cs="Times New Roman"/>
          <w:color w:val="auto"/>
          <w:sz w:val="24"/>
          <w:highlight w:val="none"/>
          <w:u w:val="single"/>
          <w:lang w:val="en-US" w:eastAsia="zh-CN"/>
        </w:rPr>
        <w:t xml:space="preserve">               </w:t>
      </w:r>
    </w:p>
    <w:p w14:paraId="7812DC6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lang w:eastAsia="zh-CN"/>
        </w:rPr>
      </w:pPr>
      <w:bookmarkStart w:id="1467" w:name="_Toc6894"/>
      <w:bookmarkStart w:id="1468" w:name="_Toc18562"/>
      <w:bookmarkStart w:id="1469" w:name="_Toc31576"/>
      <w:r>
        <w:rPr>
          <w:rFonts w:hint="default" w:ascii="Times New Roman" w:hAnsi="Times New Roman" w:eastAsia="黑体" w:cs="Times New Roman"/>
          <w:b w:val="0"/>
          <w:color w:val="auto"/>
          <w:sz w:val="24"/>
          <w:szCs w:val="24"/>
          <w:highlight w:val="none"/>
        </w:rPr>
        <w:t>1</w:t>
      </w:r>
      <w:r>
        <w:rPr>
          <w:rFonts w:hint="default" w:ascii="Times New Roman" w:hAnsi="Times New Roman" w:eastAsia="黑体" w:cs="Times New Roman"/>
          <w:b w:val="0"/>
          <w:color w:val="auto"/>
          <w:sz w:val="24"/>
          <w:szCs w:val="24"/>
          <w:highlight w:val="none"/>
          <w:lang w:eastAsia="zh-CN"/>
        </w:rPr>
        <w:t>7</w:t>
      </w:r>
      <w:r>
        <w:rPr>
          <w:rFonts w:hint="default" w:ascii="Times New Roman" w:hAnsi="Times New Roman" w:eastAsia="黑体" w:cs="Times New Roman"/>
          <w:b w:val="0"/>
          <w:color w:val="auto"/>
          <w:sz w:val="24"/>
          <w:szCs w:val="24"/>
          <w:highlight w:val="none"/>
        </w:rPr>
        <w:t>.1</w:t>
      </w:r>
      <w:r>
        <w:rPr>
          <w:rFonts w:hint="default" w:ascii="Times New Roman" w:hAnsi="Times New Roman" w:eastAsia="黑体" w:cs="Times New Roman"/>
          <w:b w:val="0"/>
          <w:color w:val="auto"/>
          <w:sz w:val="24"/>
          <w:szCs w:val="24"/>
          <w:highlight w:val="none"/>
          <w:lang w:eastAsia="zh-CN"/>
        </w:rPr>
        <w:t>计量</w:t>
      </w:r>
      <w:bookmarkEnd w:id="1467"/>
      <w:bookmarkEnd w:id="1468"/>
      <w:bookmarkEnd w:id="1469"/>
    </w:p>
    <w:p w14:paraId="51697B0E">
      <w:pPr>
        <w:pageBreakBefore w:val="0"/>
        <w:kinsoku/>
        <w:wordWrap w:val="0"/>
        <w:bidi w:val="0"/>
        <w:spacing w:line="400" w:lineRule="atLeast"/>
        <w:ind w:firstLine="480" w:firstLineChars="200"/>
        <w:outlineLvl w:val="9"/>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17.1.5本项目工程量清单中总额价子目的支付原则和支付进度：</w:t>
      </w:r>
      <w:r>
        <w:rPr>
          <w:rFonts w:hint="eastAsia" w:cs="Times New Roman"/>
          <w:color w:val="auto"/>
          <w:sz w:val="24"/>
          <w:highlight w:val="none"/>
          <w:u w:val="single"/>
          <w:lang w:val="en-US" w:eastAsia="zh-CN"/>
        </w:rPr>
        <w:t xml:space="preserve">            </w:t>
      </w:r>
    </w:p>
    <w:p w14:paraId="4C25053C">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70" w:name="_Toc12223"/>
      <w:bookmarkStart w:id="1471" w:name="_Toc30430"/>
      <w:bookmarkStart w:id="1472" w:name="_Toc6486"/>
      <w:bookmarkStart w:id="1473" w:name="_Toc234833228"/>
      <w:r>
        <w:rPr>
          <w:rFonts w:hint="default" w:ascii="Times New Roman" w:hAnsi="Times New Roman" w:eastAsia="黑体" w:cs="Times New Roman"/>
          <w:b w:val="0"/>
          <w:color w:val="auto"/>
          <w:sz w:val="24"/>
          <w:szCs w:val="24"/>
          <w:highlight w:val="none"/>
        </w:rPr>
        <w:t>17.3工程进度付款</w:t>
      </w:r>
      <w:bookmarkEnd w:id="1470"/>
      <w:bookmarkEnd w:id="1471"/>
      <w:bookmarkEnd w:id="1472"/>
    </w:p>
    <w:p w14:paraId="46B297AF">
      <w:pPr>
        <w:pageBreakBefore w:val="0"/>
        <w:kinsoku/>
        <w:wordWrap w:val="0"/>
        <w:bidi w:val="0"/>
        <w:spacing w:line="420" w:lineRule="atLeast"/>
        <w:ind w:firstLine="470" w:firstLineChars="196"/>
        <w:outlineLvl w:val="9"/>
        <w:rPr>
          <w:rFonts w:hint="eastAsia"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17.3.5农民工工资保证金的缴存时间：</w:t>
      </w:r>
      <w:r>
        <w:rPr>
          <w:rFonts w:hint="eastAsia" w:cs="Times New Roman"/>
          <w:color w:val="auto"/>
          <w:sz w:val="24"/>
          <w:highlight w:val="none"/>
          <w:u w:val="single"/>
          <w:lang w:val="en-US" w:eastAsia="zh-CN"/>
        </w:rPr>
        <w:t xml:space="preserve">                     </w:t>
      </w:r>
    </w:p>
    <w:p w14:paraId="37356351">
      <w:pPr>
        <w:pageBreakBefore w:val="0"/>
        <w:kinsoku/>
        <w:wordWrap w:val="0"/>
        <w:bidi w:val="0"/>
        <w:spacing w:line="420" w:lineRule="atLeast"/>
        <w:ind w:firstLine="470" w:firstLineChars="196"/>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农民工工资保证金的缴存金额：</w:t>
      </w:r>
      <w:r>
        <w:rPr>
          <w:rFonts w:hint="eastAsia" w:cs="Times New Roman"/>
          <w:color w:val="auto"/>
          <w:sz w:val="24"/>
          <w:highlight w:val="none"/>
          <w:u w:val="single"/>
          <w:lang w:val="en-US" w:eastAsia="zh-CN"/>
        </w:rPr>
        <w:t xml:space="preserve">                          </w:t>
      </w:r>
    </w:p>
    <w:p w14:paraId="695E7595">
      <w:pPr>
        <w:pageBreakBefore w:val="0"/>
        <w:kinsoku/>
        <w:wordWrap w:val="0"/>
        <w:bidi w:val="0"/>
        <w:spacing w:line="420" w:lineRule="atLeast"/>
        <w:ind w:firstLine="470" w:firstLineChars="196"/>
        <w:outlineLvl w:val="9"/>
        <w:rPr>
          <w:rFonts w:hint="eastAsia" w:ascii="Times New Roman" w:hAnsi="Times New Roman" w:eastAsia="宋体" w:cs="Times New Roman"/>
          <w:b/>
          <w:bCs/>
          <w:color w:val="auto"/>
          <w:sz w:val="24"/>
          <w:highlight w:val="none"/>
          <w:u w:val="single"/>
          <w:lang w:eastAsia="zh-CN"/>
        </w:rPr>
      </w:pPr>
      <w:r>
        <w:rPr>
          <w:rFonts w:hint="default" w:ascii="Times New Roman" w:hAnsi="Times New Roman" w:cs="Times New Roman"/>
          <w:color w:val="auto"/>
          <w:sz w:val="24"/>
          <w:highlight w:val="none"/>
        </w:rPr>
        <w:t>农民工工资保证金的扣留条件：</w:t>
      </w:r>
      <w:r>
        <w:rPr>
          <w:rFonts w:hint="eastAsia" w:cs="Times New Roman"/>
          <w:color w:val="auto"/>
          <w:sz w:val="24"/>
          <w:highlight w:val="none"/>
          <w:u w:val="single"/>
          <w:lang w:val="en-US" w:eastAsia="zh-CN"/>
        </w:rPr>
        <w:t xml:space="preserve">                          </w:t>
      </w:r>
    </w:p>
    <w:p w14:paraId="2333F159">
      <w:pPr>
        <w:pageBreakBefore w:val="0"/>
        <w:widowControl/>
        <w:kinsoku/>
        <w:wordWrap w:val="0"/>
        <w:bidi w:val="0"/>
        <w:spacing w:line="420" w:lineRule="atLeast"/>
        <w:ind w:firstLine="480" w:firstLineChars="200"/>
        <w:outlineLvl w:val="9"/>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color w:val="auto"/>
          <w:sz w:val="24"/>
          <w:highlight w:val="none"/>
        </w:rPr>
        <w:t>农民工工资保证金的返还时间：</w:t>
      </w:r>
      <w:r>
        <w:rPr>
          <w:rFonts w:hint="eastAsia" w:cs="Times New Roman"/>
          <w:color w:val="auto"/>
          <w:sz w:val="24"/>
          <w:highlight w:val="none"/>
          <w:u w:val="single"/>
          <w:lang w:val="en-US" w:eastAsia="zh-CN"/>
        </w:rPr>
        <w:t xml:space="preserve">                          </w:t>
      </w:r>
    </w:p>
    <w:p w14:paraId="2744F5EB">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74" w:name="_Toc27005"/>
      <w:bookmarkStart w:id="1475" w:name="_Toc29939"/>
      <w:bookmarkStart w:id="1476" w:name="_Toc13982"/>
      <w:r>
        <w:rPr>
          <w:rFonts w:hint="default" w:ascii="Times New Roman" w:hAnsi="Times New Roman" w:eastAsia="黑体" w:cs="Times New Roman"/>
          <w:b w:val="0"/>
          <w:color w:val="auto"/>
          <w:sz w:val="24"/>
          <w:szCs w:val="24"/>
          <w:highlight w:val="none"/>
        </w:rPr>
        <w:t>21.1不可抗力的确认</w:t>
      </w:r>
      <w:bookmarkEnd w:id="1473"/>
      <w:bookmarkEnd w:id="1474"/>
      <w:bookmarkEnd w:id="1475"/>
      <w:bookmarkEnd w:id="1476"/>
    </w:p>
    <w:p w14:paraId="5F73BBBE">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21.1.1（6）不可抗力的其他情形：</w:t>
      </w:r>
      <w:r>
        <w:rPr>
          <w:rFonts w:hint="eastAsia" w:cs="Times New Roman"/>
          <w:color w:val="auto"/>
          <w:sz w:val="24"/>
          <w:highlight w:val="none"/>
          <w:u w:val="single"/>
          <w:lang w:val="en-US" w:eastAsia="zh-CN"/>
        </w:rPr>
        <w:t xml:space="preserve">                        </w:t>
      </w:r>
    </w:p>
    <w:p w14:paraId="533B8681">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77" w:name="_Toc1677"/>
      <w:bookmarkStart w:id="1478" w:name="_Toc28435"/>
      <w:bookmarkStart w:id="1479" w:name="_Toc234833229"/>
      <w:bookmarkStart w:id="1480" w:name="_Toc527"/>
      <w:r>
        <w:rPr>
          <w:rFonts w:hint="default" w:ascii="Times New Roman" w:hAnsi="Times New Roman" w:eastAsia="黑体" w:cs="Times New Roman"/>
          <w:b w:val="0"/>
          <w:color w:val="auto"/>
          <w:sz w:val="24"/>
          <w:szCs w:val="24"/>
          <w:highlight w:val="none"/>
        </w:rPr>
        <w:t>22.1承包人违约</w:t>
      </w:r>
      <w:bookmarkEnd w:id="1477"/>
      <w:bookmarkEnd w:id="1478"/>
      <w:bookmarkEnd w:id="1479"/>
      <w:bookmarkEnd w:id="1480"/>
    </w:p>
    <w:p w14:paraId="4950C786">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22.1.2当承包人发生第22.1.1项约定的违约情况时，发包人有权向承包人课以违约金，具体约定如下：</w:t>
      </w:r>
      <w:r>
        <w:rPr>
          <w:rFonts w:hint="eastAsia" w:cs="Times New Roman"/>
          <w:color w:val="auto"/>
          <w:sz w:val="24"/>
          <w:highlight w:val="none"/>
          <w:u w:val="single"/>
          <w:lang w:val="en-US" w:eastAsia="zh-CN"/>
        </w:rPr>
        <w:t xml:space="preserve">                         </w:t>
      </w:r>
    </w:p>
    <w:p w14:paraId="5465AB98">
      <w:pPr>
        <w:pageBreakBefore w:val="0"/>
        <w:kinsoku/>
        <w:wordWrap w:val="0"/>
        <w:bidi w:val="0"/>
        <w:spacing w:before="240" w:after="240" w:line="380" w:lineRule="atLeast"/>
        <w:outlineLvl w:val="9"/>
        <w:rPr>
          <w:rFonts w:hint="default" w:ascii="Times New Roman" w:hAnsi="Times New Roman" w:eastAsia="黑体" w:cs="Times New Roman"/>
          <w:b w:val="0"/>
          <w:color w:val="auto"/>
          <w:sz w:val="24"/>
          <w:szCs w:val="24"/>
          <w:highlight w:val="none"/>
        </w:rPr>
      </w:pPr>
      <w:bookmarkStart w:id="1481" w:name="_Toc10655"/>
      <w:bookmarkStart w:id="1482" w:name="_Toc27242"/>
      <w:bookmarkStart w:id="1483" w:name="_Toc29318"/>
      <w:r>
        <w:rPr>
          <w:rFonts w:hint="default" w:ascii="Times New Roman" w:hAnsi="Times New Roman" w:eastAsia="黑体" w:cs="Times New Roman"/>
          <w:b w:val="0"/>
          <w:color w:val="auto"/>
          <w:sz w:val="24"/>
          <w:szCs w:val="24"/>
          <w:highlight w:val="none"/>
        </w:rPr>
        <w:t>22.2发包人违约</w:t>
      </w:r>
      <w:bookmarkEnd w:id="1481"/>
      <w:bookmarkEnd w:id="1482"/>
      <w:bookmarkEnd w:id="1483"/>
    </w:p>
    <w:p w14:paraId="012F70E4">
      <w:pPr>
        <w:pageBreakBefore w:val="0"/>
        <w:kinsoku/>
        <w:wordWrap w:val="0"/>
        <w:bidi w:val="0"/>
        <w:spacing w:line="400" w:lineRule="atLeast"/>
        <w:ind w:firstLine="480" w:firstLineChars="200"/>
        <w:outlineLvl w:val="9"/>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22.2.2发包人无正当理由不按时返还履约保证金、质量保证金或农民工工资保证金的，发包人应向承包人支付的违约金如下：</w:t>
      </w:r>
      <w:r>
        <w:rPr>
          <w:rFonts w:hint="eastAsia" w:cs="Times New Roman"/>
          <w:color w:val="auto"/>
          <w:sz w:val="24"/>
          <w:highlight w:val="none"/>
          <w:u w:val="single"/>
          <w:lang w:val="en-US" w:eastAsia="zh-CN"/>
        </w:rPr>
        <w:t xml:space="preserve">                         </w:t>
      </w:r>
    </w:p>
    <w:p w14:paraId="04C6214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p w14:paraId="38A493C0">
      <w:pPr>
        <w:pageBreakBefore w:val="0"/>
        <w:kinsoku/>
        <w:wordWrap w:val="0"/>
        <w:bidi w:val="0"/>
        <w:spacing w:line="380" w:lineRule="atLeast"/>
        <w:outlineLvl w:val="9"/>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4"/>
          <w:highlight w:val="none"/>
        </w:rPr>
        <w:br w:type="page"/>
      </w:r>
    </w:p>
    <w:p w14:paraId="1B04BDD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bookmarkStart w:id="1484" w:name="_Toc234833230"/>
    </w:p>
    <w:p w14:paraId="319043F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32FD07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4575E1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616C9F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F21EA2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251173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FEE4CD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DC671E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412114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F319B1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8EE1027">
      <w:pPr>
        <w:pStyle w:val="5"/>
        <w:pageBreakBefore w:val="0"/>
        <w:kinsoku/>
        <w:wordWrap w:val="0"/>
        <w:bidi w:val="0"/>
        <w:spacing w:before="240" w:after="240" w:line="380" w:lineRule="atLeast"/>
        <w:jc w:val="center"/>
        <w:outlineLvl w:val="2"/>
        <w:rPr>
          <w:rFonts w:hint="default" w:ascii="Times New Roman" w:hAnsi="Times New Roman" w:eastAsia="黑体" w:cs="Times New Roman"/>
          <w:b w:val="0"/>
          <w:color w:val="auto"/>
          <w:sz w:val="42"/>
          <w:szCs w:val="42"/>
          <w:highlight w:val="none"/>
        </w:rPr>
      </w:pPr>
      <w:bookmarkStart w:id="1485" w:name="_Toc25230"/>
      <w:bookmarkStart w:id="1486" w:name="_Toc26085"/>
      <w:bookmarkStart w:id="1487" w:name="_Toc20691"/>
      <w:bookmarkStart w:id="1488" w:name="_Toc22321"/>
      <w:r>
        <w:rPr>
          <w:rFonts w:hint="default" w:ascii="Times New Roman" w:hAnsi="Times New Roman" w:eastAsia="黑体" w:cs="Times New Roman"/>
          <w:b w:val="0"/>
          <w:color w:val="auto"/>
          <w:sz w:val="42"/>
          <w:szCs w:val="42"/>
          <w:highlight w:val="none"/>
        </w:rPr>
        <w:t>第三节</w:t>
      </w:r>
      <w:r>
        <w:rPr>
          <w:rFonts w:hint="eastAsia" w:cs="Times New Roman"/>
          <w:b w:val="0"/>
          <w:color w:val="auto"/>
          <w:sz w:val="42"/>
          <w:szCs w:val="42"/>
          <w:highlight w:val="none"/>
          <w:lang w:val="en-US" w:eastAsia="zh-CN"/>
        </w:rPr>
        <w:t xml:space="preserve"> </w:t>
      </w:r>
      <w:r>
        <w:rPr>
          <w:rFonts w:hint="default" w:ascii="Times New Roman" w:hAnsi="Times New Roman" w:eastAsia="黑体" w:cs="Times New Roman"/>
          <w:b w:val="0"/>
          <w:color w:val="auto"/>
          <w:sz w:val="42"/>
          <w:szCs w:val="42"/>
          <w:highlight w:val="none"/>
        </w:rPr>
        <w:t>合同附件格式</w:t>
      </w:r>
      <w:bookmarkEnd w:id="1484"/>
      <w:bookmarkEnd w:id="1485"/>
      <w:bookmarkEnd w:id="1486"/>
      <w:bookmarkEnd w:id="1487"/>
      <w:bookmarkEnd w:id="1488"/>
    </w:p>
    <w:p w14:paraId="768B4AE8">
      <w:pPr>
        <w:pageBreakBefore w:val="0"/>
        <w:kinsoku/>
        <w:wordWrap w:val="0"/>
        <w:bidi w:val="0"/>
        <w:spacing w:line="440" w:lineRule="exact"/>
        <w:rPr>
          <w:rFonts w:hint="eastAsia" w:ascii="Times New Roman" w:hAnsi="Times New Roman" w:eastAsia="黑体" w:cs="Times New Roman"/>
          <w:color w:val="auto"/>
          <w:sz w:val="20"/>
          <w:szCs w:val="20"/>
          <w:highlight w:val="none"/>
          <w:lang w:eastAsia="zh-CN"/>
        </w:rPr>
      </w:pPr>
    </w:p>
    <w:p w14:paraId="0934D755">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0"/>
          <w:szCs w:val="20"/>
          <w:highlight w:val="none"/>
        </w:rPr>
        <w:br w:type="page"/>
      </w:r>
      <w:bookmarkStart w:id="1489" w:name="_Toc17942"/>
      <w:bookmarkStart w:id="1490" w:name="_Toc234833231"/>
      <w:bookmarkStart w:id="1491" w:name="_Toc24256"/>
      <w:bookmarkStart w:id="1492" w:name="_Toc24087"/>
      <w:r>
        <w:rPr>
          <w:rFonts w:hint="default" w:ascii="Times New Roman" w:hAnsi="Times New Roman" w:eastAsia="黑体" w:cs="Times New Roman"/>
          <w:b w:val="0"/>
          <w:i w:val="0"/>
          <w:iCs/>
          <w:color w:val="auto"/>
          <w:sz w:val="24"/>
          <w:szCs w:val="24"/>
          <w:highlight w:val="none"/>
        </w:rPr>
        <w:t>附件一</w:t>
      </w:r>
      <w:r>
        <w:rPr>
          <w:rFonts w:hint="eastAsia"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rPr>
        <w:t>合同协议书</w:t>
      </w:r>
      <w:bookmarkEnd w:id="1489"/>
      <w:bookmarkEnd w:id="1490"/>
      <w:bookmarkEnd w:id="1491"/>
      <w:bookmarkEnd w:id="1492"/>
    </w:p>
    <w:p w14:paraId="554A0E2C">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合同协议书</w:t>
      </w:r>
    </w:p>
    <w:p w14:paraId="58FB67E5">
      <w:pPr>
        <w:pageBreakBefore w:val="0"/>
        <w:kinsoku/>
        <w:wordWrap w:val="0"/>
        <w:bidi w:val="0"/>
        <w:spacing w:line="440" w:lineRule="exact"/>
        <w:ind w:firstLine="480" w:firstLineChars="200"/>
        <w:rPr>
          <w:rFonts w:hint="default" w:ascii="Times New Roman" w:hAnsi="Times New Roman" w:cs="Times New Roman"/>
          <w:color w:val="auto"/>
          <w:sz w:val="24"/>
          <w:highlight w:val="none"/>
          <w:u w:val="single"/>
        </w:rPr>
      </w:pPr>
    </w:p>
    <w:p w14:paraId="4C38E21E">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）为实施</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（项目名称），已接受</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）对该项目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标段施工的投标。发包人和承包人共同达成如下协议。</w:t>
      </w:r>
    </w:p>
    <w:p w14:paraId="1977061B">
      <w:pPr>
        <w:pageBreakBefore w:val="0"/>
        <w:kinsoku/>
        <w:wordWrap w:val="0"/>
        <w:bidi w:val="0"/>
        <w:spacing w:line="440" w:lineRule="exac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标段由K</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至K</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，长约</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km，公路等级为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，设计速度为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路面，有</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立交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处；特大桥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座，计长</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m；大中桥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座，计长</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m；隧道</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座，计长</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m以及其他构造物工程等。</w:t>
      </w:r>
    </w:p>
    <w:p w14:paraId="16E30C7E">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下列文件应视为构成合同文件的组成部分：</w:t>
      </w:r>
    </w:p>
    <w:p w14:paraId="18BF1A0B">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（1）本协议书及各种合同附件（含评标期间和合同谈判过程中的澄清文件和补充资料）；</w:t>
      </w:r>
    </w:p>
    <w:p w14:paraId="385F6B26">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（2）中标通知书；</w:t>
      </w:r>
    </w:p>
    <w:p w14:paraId="19ED4567">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（3）投标函及投标函附录；</w:t>
      </w:r>
    </w:p>
    <w:p w14:paraId="7CFFD455">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（4）项目专用合同条款；</w:t>
      </w:r>
    </w:p>
    <w:p w14:paraId="1005F8E3">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（5）公路工程专用合同条款；</w:t>
      </w:r>
    </w:p>
    <w:p w14:paraId="224CBCB6">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（6）通用合同条款；</w:t>
      </w:r>
    </w:p>
    <w:p w14:paraId="13771874">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（7）工程量清单计量规则；</w:t>
      </w:r>
    </w:p>
    <w:p w14:paraId="5E9509E1">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（8）技术规范；</w:t>
      </w:r>
    </w:p>
    <w:p w14:paraId="204790AA">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（9）图纸；</w:t>
      </w:r>
    </w:p>
    <w:p w14:paraId="2E2A27E7">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（10）已标价工程量清单；</w:t>
      </w:r>
    </w:p>
    <w:p w14:paraId="2BC3D312">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（11）承包人有关人员、设备投入的承诺及投标文件中的施工组织设计；</w:t>
      </w:r>
    </w:p>
    <w:p w14:paraId="5FF5389B">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（12）其他合同文件。</w:t>
      </w:r>
    </w:p>
    <w:p w14:paraId="49D37493">
      <w:pPr>
        <w:pageBreakBefore w:val="0"/>
        <w:kinsoku/>
        <w:wordWrap w:val="0"/>
        <w:bidi w:val="0"/>
        <w:spacing w:line="440" w:lineRule="exact"/>
        <w:ind w:right="34" w:rightChars="16"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上述合同文件互相补充和解释。如果合同文件之间存在矛盾或不一致之处，以上述文件的排列顺序在先者为准。</w:t>
      </w:r>
    </w:p>
    <w:p w14:paraId="08F76F5D">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3.根据工程量清单所列的预计数量和单价或总额价计算的签约合同价：人民币（大写）________元（¥________）。</w:t>
      </w:r>
    </w:p>
    <w:p w14:paraId="1A8B818C">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4.承包人项目经理：。承包人项目总工：。</w:t>
      </w:r>
    </w:p>
    <w:p w14:paraId="17C63979">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5.工程质量符合标准。工程安全目标：。</w:t>
      </w:r>
    </w:p>
    <w:p w14:paraId="1767A123">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6.承包人承诺按合同约定承担工程的实施、完成及缺陷修复。</w:t>
      </w:r>
    </w:p>
    <w:p w14:paraId="46D3F569">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7.发包人承诺按合同约定的条件、时间和方式向承包人支付合同价款。</w:t>
      </w:r>
    </w:p>
    <w:p w14:paraId="79F5C55D">
      <w:pPr>
        <w:pageBreakBefore w:val="0"/>
        <w:kinsoku/>
        <w:wordWrap w:val="0"/>
        <w:bidi w:val="0"/>
        <w:spacing w:line="440" w:lineRule="exact"/>
        <w:ind w:right="34" w:rightChars="16"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8.承包人应按照监理人指示开工，工期为日历天。</w:t>
      </w:r>
    </w:p>
    <w:p w14:paraId="1DE6EA5E">
      <w:pPr>
        <w:pageBreakBefore w:val="0"/>
        <w:kinsoku/>
        <w:wordWrap w:val="0"/>
        <w:bidi w:val="0"/>
        <w:spacing w:line="440" w:lineRule="exac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9.本协议书在承包人提供履约保证金后，由双方法定代表人或其委托代理人签署并加盖单位章后生效。全部工程完工后经交工验收合格、缺陷责任期满签发缺陷责任终止证书后失效。</w:t>
      </w:r>
    </w:p>
    <w:p w14:paraId="139B7EC1">
      <w:pPr>
        <w:pageBreakBefore w:val="0"/>
        <w:kinsoku/>
        <w:wordWrap w:val="0"/>
        <w:bidi w:val="0"/>
        <w:spacing w:line="440" w:lineRule="exac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10.本协议书正本二份、副本____份，合同双方各执正本一份，副本____份，当正本与副本的内容不一致时，以正本为准。</w:t>
      </w:r>
    </w:p>
    <w:p w14:paraId="2F8313FE">
      <w:pPr>
        <w:pageBreakBefore w:val="0"/>
        <w:kinsoku/>
        <w:wordWrap w:val="0"/>
        <w:bidi w:val="0"/>
        <w:spacing w:line="440" w:lineRule="exac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11.合同未尽事宜，双方另行签订补充协议。补充协议是合同的组成部分。</w:t>
      </w:r>
    </w:p>
    <w:p w14:paraId="7C282A05">
      <w:pPr>
        <w:pageBreakBefore w:val="0"/>
        <w:kinsoku/>
        <w:wordWrap w:val="0"/>
        <w:bidi w:val="0"/>
        <w:spacing w:line="440" w:lineRule="exact"/>
        <w:rPr>
          <w:rFonts w:hint="default" w:ascii="Times New Roman" w:hAnsi="Times New Roman" w:cs="Times New Roman"/>
          <w:color w:val="auto"/>
          <w:sz w:val="24"/>
          <w:highlight w:val="none"/>
        </w:rPr>
      </w:pPr>
    </w:p>
    <w:p w14:paraId="63B7AF61">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07BAD0CA">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  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7F70320D">
      <w:pPr>
        <w:pageBreakBefore w:val="0"/>
        <w:kinsoku/>
        <w:wordWrap w:val="0"/>
        <w:bidi w:val="0"/>
        <w:spacing w:line="440" w:lineRule="exact"/>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日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71ED8DAC">
      <w:pPr>
        <w:pageBreakBefore w:val="0"/>
        <w:kinsoku/>
        <w:wordWrap w:val="0"/>
        <w:bidi w:val="0"/>
        <w:spacing w:line="440" w:lineRule="exact"/>
        <w:rPr>
          <w:rFonts w:hint="default" w:ascii="Times New Roman" w:hAnsi="Times New Roman" w:cs="Times New Roman"/>
          <w:color w:val="auto"/>
          <w:sz w:val="24"/>
          <w:highlight w:val="none"/>
        </w:rPr>
      </w:pPr>
    </w:p>
    <w:p w14:paraId="3DCE7E5D">
      <w:pPr>
        <w:pageBreakBefore w:val="0"/>
        <w:kinsoku/>
        <w:wordWrap w:val="0"/>
        <w:bidi w:val="0"/>
        <w:spacing w:line="440" w:lineRule="exact"/>
        <w:rPr>
          <w:rFonts w:hint="default" w:ascii="Times New Roman" w:hAnsi="Times New Roman" w:cs="Times New Roman"/>
          <w:color w:val="auto"/>
          <w:sz w:val="24"/>
          <w:highlight w:val="none"/>
        </w:rPr>
      </w:pPr>
    </w:p>
    <w:p w14:paraId="0E1C7913">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493" w:name="_Toc234833232"/>
      <w:bookmarkStart w:id="1494" w:name="_Toc5419"/>
      <w:bookmarkStart w:id="1495" w:name="_Toc7242"/>
      <w:bookmarkStart w:id="1496" w:name="_Toc22527"/>
      <w:r>
        <w:rPr>
          <w:rFonts w:hint="default" w:ascii="Times New Roman" w:hAnsi="Times New Roman" w:eastAsia="黑体" w:cs="Times New Roman"/>
          <w:b w:val="0"/>
          <w:i w:val="0"/>
          <w:iCs/>
          <w:color w:val="auto"/>
          <w:sz w:val="24"/>
          <w:szCs w:val="24"/>
          <w:highlight w:val="none"/>
        </w:rPr>
        <w:t>附件二</w:t>
      </w:r>
      <w:r>
        <w:rPr>
          <w:rFonts w:hint="eastAsia" w:ascii="Times New Roman" w:hAnsi="Times New Roman" w:eastAsia="黑体"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rPr>
        <w:t>廉政合同</w:t>
      </w:r>
      <w:bookmarkEnd w:id="1493"/>
      <w:bookmarkEnd w:id="1494"/>
      <w:bookmarkEnd w:id="1495"/>
      <w:bookmarkEnd w:id="1496"/>
    </w:p>
    <w:p w14:paraId="1CF6C2A9">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廉政合同</w:t>
      </w:r>
    </w:p>
    <w:p w14:paraId="18EBE8D8">
      <w:pPr>
        <w:pageBreakBefore w:val="0"/>
        <w:kinsoku/>
        <w:wordWrap w:val="0"/>
        <w:bidi w:val="0"/>
        <w:spacing w:line="400" w:lineRule="atLeast"/>
        <w:rPr>
          <w:rFonts w:hint="default" w:ascii="Times New Roman" w:hAnsi="Times New Roman" w:eastAsia="黑体" w:cs="Times New Roman"/>
          <w:b/>
          <w:color w:val="auto"/>
          <w:spacing w:val="30"/>
          <w:sz w:val="24"/>
          <w:highlight w:val="none"/>
        </w:rPr>
      </w:pPr>
    </w:p>
    <w:p w14:paraId="1875AA30">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bookmarkStart w:id="1497" w:name="_Toc20728"/>
      <w:bookmarkStart w:id="1498" w:name="_Toc234833233"/>
      <w:bookmarkStart w:id="1499" w:name="_Toc7071"/>
      <w:bookmarkStart w:id="1500" w:name="_Toc1095"/>
      <w:r>
        <w:rPr>
          <w:rFonts w:hint="default" w:ascii="Times New Roman" w:hAnsi="Times New Roman" w:cs="Times New Roman"/>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（项目名称）的项目法人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（项目法人名称，以下简称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）与该项目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标段的施工单位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（施工单位名称，以下简称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），特订立如下合同。</w:t>
      </w:r>
    </w:p>
    <w:p w14:paraId="752B0038">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bookmarkStart w:id="1501" w:name="_Toc16895"/>
      <w:r>
        <w:rPr>
          <w:rFonts w:hint="default" w:ascii="Times New Roman" w:hAnsi="Times New Roman" w:eastAsia="黑体" w:cs="Times New Roman"/>
          <w:color w:val="auto"/>
          <w:sz w:val="24"/>
          <w:highlight w:val="none"/>
        </w:rPr>
        <w:t>1. 发包人和承包人双方的权利和义务</w:t>
      </w:r>
      <w:bookmarkEnd w:id="1501"/>
    </w:p>
    <w:p w14:paraId="6F0E6838">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（1）严格遵守党的政策规定和国家有关法律法规及交通运输部的有关规定。</w:t>
      </w:r>
    </w:p>
    <w:p w14:paraId="37536AB8">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（2）严格执行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标段施工合同文件，自觉按合同办事。</w:t>
      </w:r>
    </w:p>
    <w:p w14:paraId="112AC029">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（3）双方的业务活动坚持公开、公正、诚信、透明的原则（法律认定的商业秘密和合同文件另有规定除外），不得损害国家和集体利益，不得违反工程建设管理规章制度。</w:t>
      </w:r>
    </w:p>
    <w:p w14:paraId="3BB18B20">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（4）建立健全廉政制度，开展廉政教育，设立廉政告示牌，公布举报电话，监督并认真查处违法违纪行为。</w:t>
      </w:r>
    </w:p>
    <w:p w14:paraId="5575C7B3">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（5）发现对方在业务活动中有违反廉政规定的行为，有及时提醒对方纠正的权利和义务。</w:t>
      </w:r>
    </w:p>
    <w:p w14:paraId="4C1424E0">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（6）发现对方严重违反本合同义务条款的行为，有向其上级有关部门举报、建议给予处理并要求告知处理结果的权利。</w:t>
      </w:r>
    </w:p>
    <w:p w14:paraId="231CAD49">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bookmarkStart w:id="1502" w:name="_Toc26938"/>
      <w:r>
        <w:rPr>
          <w:rFonts w:hint="default" w:ascii="Times New Roman" w:hAnsi="Times New Roman" w:eastAsia="黑体" w:cs="Times New Roman"/>
          <w:color w:val="auto"/>
          <w:sz w:val="24"/>
          <w:highlight w:val="none"/>
        </w:rPr>
        <w:t>2. 发包人的义务</w:t>
      </w:r>
      <w:bookmarkEnd w:id="1502"/>
    </w:p>
    <w:p w14:paraId="0AC0C5D7">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（1）发包人及其工作人员不得索要或接受承包人的礼金、有价证券和贵重物品，不得让承包人报销任何应由发包人或发包人工作人员个人支付的费用等。</w:t>
      </w:r>
    </w:p>
    <w:p w14:paraId="5022CC03">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（2）发包人工作人员不得参加承包人安排的超标准宴请和娱乐活动；不得接受承包人提供的通信工具、交通工具和高档办公用品等。</w:t>
      </w:r>
    </w:p>
    <w:p w14:paraId="2FDE1750">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（3）发包人及其工作人员不得要求或者接受承包人为其住房装修、婚丧嫁娶活动、配偶子女的工作安排以及出国出境、旅游等提供方便等。</w:t>
      </w:r>
    </w:p>
    <w:p w14:paraId="73A8E434">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（4）发包人工作人员及其配偶、子女不得从事与发包人工程有关的材料设备供应、工程分包、劳务等经济活动等。</w:t>
      </w:r>
    </w:p>
    <w:p w14:paraId="13B057ED">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（5）发包人及其工作人员不得以任何理由向承包人推荐分包单位或推销材料，不得要求承包人购买合同规定外的材料和设备。</w:t>
      </w:r>
    </w:p>
    <w:p w14:paraId="7275C1F9">
      <w:pPr>
        <w:pageBreakBefore w:val="0"/>
        <w:kinsoku/>
        <w:wordWrap w:val="0"/>
        <w:bidi w:val="0"/>
        <w:spacing w:line="40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（6）发包人工作人员要秉公办事，不准营私舞弊，不准利用职权从事各种个人有偿中介活动和安排个人施工队伍。</w:t>
      </w:r>
    </w:p>
    <w:p w14:paraId="021AF2A7">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3. 承包人的义务</w:t>
      </w:r>
    </w:p>
    <w:p w14:paraId="4CE86D8A">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（1）承包人不得以任何理由向发包人及其工作人员行贿或馈赠礼金、有价证券、贵重礼品。</w:t>
      </w:r>
    </w:p>
    <w:p w14:paraId="6BF76029">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（2）承包人不得以任何名义为发包人及其工作人员报销应由发包人单位或个人支付的任何费用。</w:t>
      </w:r>
    </w:p>
    <w:p w14:paraId="2B8A5880">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（3）承包人不得以任何理由安排发包人工作人员参加超标准宴请及娱乐活动。</w:t>
      </w:r>
    </w:p>
    <w:p w14:paraId="0A417609">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（4）承包人不得为发包人单位和个人购置或提供通信工具、交通工具和高档办公用品等。</w:t>
      </w:r>
    </w:p>
    <w:p w14:paraId="44945F6B">
      <w:pPr>
        <w:pageBreakBefore w:val="0"/>
        <w:kinsoku/>
        <w:wordWrap w:val="0"/>
        <w:bidi w:val="0"/>
        <w:spacing w:line="400" w:lineRule="atLeast"/>
        <w:ind w:firstLine="616" w:firstLineChars="257"/>
        <w:outlineLvl w:val="9"/>
        <w:rPr>
          <w:rFonts w:hint="default" w:ascii="Times New Roman" w:hAnsi="Times New Roman" w:eastAsia="黑体" w:cs="Times New Roman"/>
          <w:color w:val="auto"/>
          <w:sz w:val="24"/>
          <w:highlight w:val="none"/>
        </w:rPr>
      </w:pPr>
      <w:bookmarkStart w:id="1503" w:name="_Toc21007"/>
      <w:r>
        <w:rPr>
          <w:rFonts w:hint="default" w:ascii="Times New Roman" w:hAnsi="Times New Roman" w:eastAsia="黑体" w:cs="Times New Roman"/>
          <w:color w:val="auto"/>
          <w:sz w:val="24"/>
          <w:highlight w:val="none"/>
        </w:rPr>
        <w:t>4. 违约责任</w:t>
      </w:r>
      <w:bookmarkEnd w:id="1503"/>
    </w:p>
    <w:p w14:paraId="00FAEF63">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5552E60F">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3507FA08">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5.</w:t>
      </w:r>
      <w:r>
        <w:rPr>
          <w:rFonts w:hint="default" w:ascii="Times New Roman" w:hAnsi="Times New Roman" w:cs="Times New Roman"/>
          <w:color w:val="auto"/>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DDED6B2">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 xml:space="preserve">6. </w:t>
      </w:r>
      <w:r>
        <w:rPr>
          <w:rFonts w:hint="default" w:ascii="Times New Roman" w:hAnsi="Times New Roman" w:cs="Times New Roman"/>
          <w:color w:val="auto"/>
          <w:sz w:val="24"/>
          <w:highlight w:val="none"/>
        </w:rPr>
        <w:t>本合同有效期为发包人和承包人签署之日起至该工程项目竣工验收后止。</w:t>
      </w:r>
    </w:p>
    <w:p w14:paraId="7744FCC1">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 xml:space="preserve">7. </w:t>
      </w:r>
      <w:r>
        <w:rPr>
          <w:rFonts w:hint="default" w:ascii="Times New Roman" w:hAnsi="Times New Roman" w:cs="Times New Roman"/>
          <w:color w:val="auto"/>
          <w:sz w:val="24"/>
          <w:highlight w:val="none"/>
        </w:rPr>
        <w:t>本合同作为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标段施工合同的附件，与工程施工合同具有同等的法律效力，经合同双方签署后立即生效。</w:t>
      </w:r>
    </w:p>
    <w:p w14:paraId="7C6E038D">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eastAsia="黑体" w:cs="Times New Roman"/>
          <w:color w:val="auto"/>
          <w:sz w:val="24"/>
          <w:highlight w:val="none"/>
        </w:rPr>
        <w:t>8.</w:t>
      </w:r>
      <w:r>
        <w:rPr>
          <w:rFonts w:hint="default" w:ascii="Times New Roman" w:hAnsi="Times New Roman" w:cs="Times New Roman"/>
          <w:color w:val="auto"/>
          <w:sz w:val="24"/>
          <w:highlight w:val="none"/>
        </w:rPr>
        <w:t xml:space="preserve"> 本合同一式四份，由发包人和承包人各执一份，送交发包人和承包人的监督单位各一份。</w:t>
      </w:r>
    </w:p>
    <w:p w14:paraId="5DA13981">
      <w:pPr>
        <w:pageBreakBefore w:val="0"/>
        <w:kinsoku/>
        <w:wordWrap w:val="0"/>
        <w:bidi w:val="0"/>
        <w:spacing w:line="400" w:lineRule="atLeast"/>
        <w:rPr>
          <w:rFonts w:hint="default" w:ascii="Times New Roman" w:hAnsi="Times New Roman" w:cs="Times New Roman"/>
          <w:color w:val="auto"/>
          <w:sz w:val="24"/>
          <w:highlight w:val="none"/>
        </w:rPr>
      </w:pPr>
    </w:p>
    <w:p w14:paraId="1F5D9E04">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5183336B">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  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203FF927">
      <w:pPr>
        <w:pageBreakBefore w:val="0"/>
        <w:kinsoku/>
        <w:wordWrap w:val="0"/>
        <w:bidi w:val="0"/>
        <w:spacing w:line="440" w:lineRule="exact"/>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日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EFD99ED">
      <w:pPr>
        <w:pageBreakBefore w:val="0"/>
        <w:kinsoku/>
        <w:wordWrap w:val="0"/>
        <w:bidi w:val="0"/>
        <w:spacing w:line="440" w:lineRule="exact"/>
        <w:ind w:firstLine="360" w:firstLineChars="150"/>
        <w:rPr>
          <w:rFonts w:hint="default" w:ascii="Times New Roman" w:hAnsi="Times New Roman" w:cs="Times New Roman"/>
          <w:color w:val="auto"/>
          <w:sz w:val="24"/>
          <w:highlight w:val="none"/>
        </w:rPr>
      </w:pPr>
    </w:p>
    <w:p w14:paraId="51B1C050">
      <w:pPr>
        <w:pageBreakBefore w:val="0"/>
        <w:kinsoku/>
        <w:wordWrap w:val="0"/>
        <w:bidi w:val="0"/>
        <w:spacing w:line="400" w:lineRule="atLeas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发包人监督单位：</w:t>
      </w:r>
      <w:r>
        <w:rPr>
          <w:rFonts w:hint="default" w:ascii="Times New Roman" w:hAnsi="Times New Roman" w:cs="Times New Roman"/>
          <w:color w:val="auto"/>
          <w:sz w:val="24"/>
          <w:highlight w:val="none"/>
          <w:u w:val="single"/>
        </w:rPr>
        <w:t>（全称）（盖单位章）</w:t>
      </w:r>
      <w:r>
        <w:rPr>
          <w:rFonts w:hint="default" w:ascii="Times New Roman" w:hAnsi="Times New Roman" w:cs="Times New Roman"/>
          <w:color w:val="auto"/>
          <w:sz w:val="24"/>
          <w:highlight w:val="none"/>
        </w:rPr>
        <w:t xml:space="preserve">   承包人监督单位：</w:t>
      </w:r>
      <w:r>
        <w:rPr>
          <w:rFonts w:hint="default" w:ascii="Times New Roman" w:hAnsi="Times New Roman" w:cs="Times New Roman"/>
          <w:color w:val="auto"/>
          <w:sz w:val="24"/>
          <w:highlight w:val="none"/>
          <w:u w:val="single"/>
        </w:rPr>
        <w:t>（全称）（盖单位章）</w:t>
      </w:r>
    </w:p>
    <w:p w14:paraId="2E8D1927">
      <w:pPr>
        <w:pageBreakBefore w:val="0"/>
        <w:kinsoku/>
        <w:wordWrap w:val="0"/>
        <w:bidi w:val="0"/>
        <w:spacing w:line="400" w:lineRule="atLeast"/>
        <w:rPr>
          <w:rFonts w:hint="default" w:ascii="Times New Roman" w:hAnsi="Times New Roman" w:cs="Times New Roman"/>
          <w:color w:val="auto"/>
          <w:sz w:val="24"/>
          <w:highlight w:val="none"/>
        </w:rPr>
      </w:pPr>
    </w:p>
    <w:p w14:paraId="4C3C0A5C">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4"/>
          <w:highlight w:val="none"/>
        </w:rPr>
        <w:br w:type="page"/>
      </w:r>
      <w:bookmarkEnd w:id="1497"/>
      <w:bookmarkEnd w:id="1498"/>
      <w:bookmarkEnd w:id="1499"/>
      <w:bookmarkEnd w:id="1500"/>
      <w:bookmarkStart w:id="1504" w:name="_Toc14696"/>
      <w:bookmarkStart w:id="1505" w:name="_Toc24497"/>
      <w:bookmarkStart w:id="1506" w:name="_Toc5077"/>
      <w:bookmarkStart w:id="1507" w:name="_Toc234833234"/>
      <w:r>
        <w:rPr>
          <w:rFonts w:hint="default" w:ascii="Times New Roman" w:hAnsi="Times New Roman" w:eastAsia="黑体" w:cs="Times New Roman"/>
          <w:i w:val="0"/>
          <w:iCs/>
          <w:color w:val="auto"/>
          <w:sz w:val="24"/>
          <w:highlight w:val="none"/>
        </w:rPr>
        <w:t>附件三</w:t>
      </w:r>
      <w:r>
        <w:rPr>
          <w:rFonts w:hint="default" w:ascii="Times New Roman" w:hAnsi="Times New Roman" w:eastAsia="黑体" w:cs="Times New Roman"/>
          <w:i w:val="0"/>
          <w:iCs/>
          <w:color w:val="auto"/>
          <w:sz w:val="24"/>
          <w:highlight w:val="none"/>
          <w:lang w:eastAsia="zh-CN"/>
        </w:rPr>
        <w:t xml:space="preserve"> </w:t>
      </w:r>
      <w:r>
        <w:rPr>
          <w:rFonts w:hint="default" w:ascii="Times New Roman" w:hAnsi="Times New Roman" w:eastAsia="黑体" w:cs="Times New Roman"/>
          <w:i w:val="0"/>
          <w:iCs/>
          <w:color w:val="auto"/>
          <w:sz w:val="24"/>
          <w:highlight w:val="none"/>
        </w:rPr>
        <w:t>安全生产合同</w:t>
      </w:r>
    </w:p>
    <w:p w14:paraId="36CC94D4">
      <w:pPr>
        <w:pageBreakBefore w:val="0"/>
        <w:kinsoku/>
        <w:wordWrap w:val="0"/>
        <w:bidi w:val="0"/>
        <w:spacing w:line="39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安全生产合同</w:t>
      </w:r>
    </w:p>
    <w:p w14:paraId="151E7DB4">
      <w:pPr>
        <w:pageBreakBefore w:val="0"/>
        <w:kinsoku/>
        <w:wordWrap w:val="0"/>
        <w:bidi w:val="0"/>
        <w:spacing w:line="390" w:lineRule="atLeast"/>
        <w:rPr>
          <w:rFonts w:hint="default" w:ascii="Times New Roman" w:hAnsi="Times New Roman" w:eastAsia="黑体" w:cs="Times New Roman"/>
          <w:b/>
          <w:color w:val="auto"/>
          <w:sz w:val="24"/>
          <w:highlight w:val="none"/>
        </w:rPr>
      </w:pPr>
    </w:p>
    <w:p w14:paraId="0895B0D2">
      <w:pPr>
        <w:pageBreakBefore w:val="0"/>
        <w:kinsoku/>
        <w:wordWrap w:val="0"/>
        <w:bidi w:val="0"/>
        <w:spacing w:line="39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标段施工合同的实施过程中创造安全、高效的施工环境，切实搞好本项目的安全管理工作，本项目发包人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）与承包人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）特此签订安全生产合同。</w:t>
      </w:r>
    </w:p>
    <w:p w14:paraId="33F144E9">
      <w:pPr>
        <w:pageBreakBefore w:val="0"/>
        <w:kinsoku/>
        <w:wordWrap w:val="0"/>
        <w:bidi w:val="0"/>
        <w:spacing w:line="390" w:lineRule="atLeast"/>
        <w:ind w:firstLine="616" w:firstLineChars="257"/>
        <w:outlineLvl w:val="9"/>
        <w:rPr>
          <w:rFonts w:hint="default" w:ascii="Times New Roman" w:hAnsi="Times New Roman" w:eastAsia="黑体" w:cs="Times New Roman"/>
          <w:color w:val="auto"/>
          <w:sz w:val="24"/>
          <w:highlight w:val="none"/>
        </w:rPr>
      </w:pPr>
      <w:bookmarkStart w:id="1508" w:name="_Toc19308"/>
      <w:r>
        <w:rPr>
          <w:rFonts w:hint="default" w:ascii="Times New Roman" w:hAnsi="Times New Roman" w:eastAsia="黑体" w:cs="Times New Roman"/>
          <w:color w:val="auto"/>
          <w:sz w:val="24"/>
          <w:highlight w:val="none"/>
        </w:rPr>
        <w:t>1.发包人职责</w:t>
      </w:r>
      <w:bookmarkEnd w:id="1508"/>
    </w:p>
    <w:p w14:paraId="7A372314">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（1）严格遵守国家有关安全生产的法律法规，认真执行工程承包合同中的有关安全要求。</w:t>
      </w:r>
    </w:p>
    <w:p w14:paraId="144B179A">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（2）按照</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安全第一、预防为主、综合治理</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和坚持</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管生产必须管安全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的原则进行安全生产管理，做到生产与安全工作同时计划、布置、检查、总结和评比。</w:t>
      </w:r>
    </w:p>
    <w:p w14:paraId="4C0F0D86">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（3）重要的安全设施必须坚持与主体工程</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三同时</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的原则，即：同时设计、审批，同时施工，同时验收，投入使用。</w:t>
      </w:r>
    </w:p>
    <w:p w14:paraId="4E2173EA">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（4）定期召开安全生产调度会，及时传达中央及地方有关安全生产的精神。</w:t>
      </w:r>
    </w:p>
    <w:p w14:paraId="79DBFFDA">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（5）组织对承包人施工现场进行安全生产检查，监督承包人及时处理发现的各种安全隐患。</w:t>
      </w:r>
    </w:p>
    <w:p w14:paraId="6BF897A0">
      <w:pPr>
        <w:pageBreakBefore w:val="0"/>
        <w:kinsoku/>
        <w:wordWrap w:val="0"/>
        <w:bidi w:val="0"/>
        <w:spacing w:line="390" w:lineRule="atLeast"/>
        <w:ind w:firstLine="616" w:firstLineChars="257"/>
        <w:outlineLvl w:val="9"/>
        <w:rPr>
          <w:rFonts w:hint="default" w:ascii="Times New Roman" w:hAnsi="Times New Roman" w:eastAsia="黑体" w:cs="Times New Roman"/>
          <w:color w:val="auto"/>
          <w:sz w:val="24"/>
          <w:highlight w:val="none"/>
        </w:rPr>
      </w:pPr>
      <w:bookmarkStart w:id="1509" w:name="_Toc18835"/>
      <w:r>
        <w:rPr>
          <w:rFonts w:hint="default" w:ascii="Times New Roman" w:hAnsi="Times New Roman" w:eastAsia="黑体" w:cs="Times New Roman"/>
          <w:color w:val="auto"/>
          <w:sz w:val="24"/>
          <w:highlight w:val="none"/>
        </w:rPr>
        <w:t>2.承包人职责</w:t>
      </w:r>
      <w:bookmarkEnd w:id="1509"/>
    </w:p>
    <w:p w14:paraId="7567041C">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37ACE302">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（2）坚持</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安全第一、预防为主、综合治理</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和</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管生产必须管安全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673D5AB">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73871B2">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（4）承包人在任何时候都应采取各种合理的预防措施，防止其员工发生任何违法、违禁、暴力或妨碍治安的行为。</w:t>
      </w:r>
    </w:p>
    <w:p w14:paraId="7D127578">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958EBA4">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人，或允许、容忍上述同样行为。</w:t>
      </w:r>
    </w:p>
    <w:p w14:paraId="7353B943">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（7）操作人员上岗，必须按规定穿戴防护用品。施工负责人和安全检查员应随时检查劳动防护用品的穿戴情况，不按规定穿戴防护用品的人员不得上岗。</w:t>
      </w:r>
    </w:p>
    <w:p w14:paraId="39A32F52">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（8）所有施工机具设备和高空作业的设备均应定期检查，并有安全员的签字记录，保证其经常处于完好状态；不合格的机具、设备和劳动保护用品严禁使用。</w:t>
      </w:r>
    </w:p>
    <w:p w14:paraId="46C4F00C">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（9）施工中采用新技术、新工艺、新设备、新材料时，必须制定相应的安全技术措施，施工现场必须具有相关的安全标志牌。</w:t>
      </w:r>
    </w:p>
    <w:p w14:paraId="1A82961B">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四不放过</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的原则，严肃处理相关责任人。</w:t>
      </w:r>
    </w:p>
    <w:p w14:paraId="322483E8">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（11）安全生产费用按照</w:t>
      </w:r>
      <w:bookmarkStart w:id="1510" w:name="_Toc187470650"/>
      <w:r>
        <w:rPr>
          <w:rFonts w:hint="default" w:ascii="Times New Roman" w:hAnsi="Times New Roman" w:cs="Times New Roman"/>
          <w:color w:val="auto"/>
          <w:sz w:val="24"/>
          <w:highlight w:val="none"/>
        </w:rPr>
        <w:t>《公路水运工程安全生产监督管理办法</w:t>
      </w:r>
      <w:bookmarkEnd w:id="1510"/>
      <w:r>
        <w:rPr>
          <w:rFonts w:hint="default" w:ascii="Times New Roman" w:hAnsi="Times New Roman" w:cs="Times New Roman"/>
          <w:color w:val="auto"/>
          <w:sz w:val="24"/>
          <w:highlight w:val="none"/>
        </w:rPr>
        <w:t>》的相关规定使用和管理。</w:t>
      </w:r>
    </w:p>
    <w:p w14:paraId="5FCB4FC4">
      <w:pPr>
        <w:pageBreakBefore w:val="0"/>
        <w:kinsoku/>
        <w:wordWrap w:val="0"/>
        <w:bidi w:val="0"/>
        <w:spacing w:line="390" w:lineRule="atLeast"/>
        <w:ind w:firstLine="616" w:firstLineChars="257"/>
        <w:outlineLvl w:val="9"/>
        <w:rPr>
          <w:rFonts w:hint="default" w:ascii="Times New Roman" w:hAnsi="Times New Roman" w:eastAsia="黑体" w:cs="Times New Roman"/>
          <w:color w:val="auto"/>
          <w:sz w:val="24"/>
          <w:highlight w:val="none"/>
        </w:rPr>
      </w:pPr>
      <w:bookmarkStart w:id="1511" w:name="_Toc19815"/>
      <w:r>
        <w:rPr>
          <w:rFonts w:hint="default" w:ascii="Times New Roman" w:hAnsi="Times New Roman" w:eastAsia="黑体" w:cs="Times New Roman"/>
          <w:color w:val="auto"/>
          <w:sz w:val="24"/>
          <w:highlight w:val="none"/>
        </w:rPr>
        <w:t>3.违约责任</w:t>
      </w:r>
      <w:bookmarkEnd w:id="1511"/>
    </w:p>
    <w:p w14:paraId="7F542210">
      <w:pPr>
        <w:pageBreakBefore w:val="0"/>
        <w:kinsoku/>
        <w:wordWrap w:val="0"/>
        <w:bidi w:val="0"/>
        <w:spacing w:line="390" w:lineRule="atLeast"/>
        <w:ind w:firstLine="616" w:firstLineChars="257"/>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如因发包人或承包人违约造成安全事故，将依法追究责任。</w:t>
      </w:r>
    </w:p>
    <w:p w14:paraId="775C10D0">
      <w:pPr>
        <w:pageBreakBefore w:val="0"/>
        <w:kinsoku/>
        <w:wordWrap w:val="0"/>
        <w:bidi w:val="0"/>
        <w:spacing w:line="39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本合同由双方法定代表人或其授权的代理人签署并加盖单位章后生效，全部工程竣工验收后失效。</w:t>
      </w:r>
    </w:p>
    <w:p w14:paraId="25529D80">
      <w:pPr>
        <w:pageBreakBefore w:val="0"/>
        <w:kinsoku/>
        <w:wordWrap w:val="0"/>
        <w:bidi w:val="0"/>
        <w:spacing w:line="39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本合同正本二份、副本____份，合同双方各执正本一份，副本____份，当正本与副本的内容不一致时，以正本为准。</w:t>
      </w:r>
    </w:p>
    <w:p w14:paraId="14A1FECD">
      <w:pPr>
        <w:pageBreakBefore w:val="0"/>
        <w:kinsoku/>
        <w:wordWrap w:val="0"/>
        <w:bidi w:val="0"/>
        <w:spacing w:line="400" w:lineRule="atLeast"/>
        <w:ind w:firstLine="525"/>
        <w:rPr>
          <w:rFonts w:hint="default" w:ascii="Times New Roman" w:hAnsi="Times New Roman" w:cs="Times New Roman"/>
          <w:color w:val="auto"/>
          <w:sz w:val="24"/>
          <w:highlight w:val="none"/>
        </w:rPr>
      </w:pPr>
    </w:p>
    <w:p w14:paraId="72FAB73E">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5002A0B1">
      <w:pPr>
        <w:pageBreakBefore w:val="0"/>
        <w:kinsoku/>
        <w:wordWrap w:val="0"/>
        <w:bidi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  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7F5A1FCE">
      <w:pPr>
        <w:pageBreakBefore w:val="0"/>
        <w:kinsoku/>
        <w:wordWrap w:val="0"/>
        <w:bidi w:val="0"/>
        <w:spacing w:line="440" w:lineRule="exact"/>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日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6AB41FA2">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r>
        <w:rPr>
          <w:rFonts w:hint="default" w:ascii="Times New Roman" w:hAnsi="Times New Roman" w:eastAsia="黑体" w:cs="Times New Roman"/>
          <w:b w:val="0"/>
          <w:i w:val="0"/>
          <w:iCs/>
          <w:color w:val="auto"/>
          <w:sz w:val="24"/>
          <w:szCs w:val="24"/>
          <w:highlight w:val="none"/>
          <w:lang w:val="en-US" w:eastAsia="zh-CN"/>
        </w:rPr>
        <w:t>附件四</w:t>
      </w:r>
      <w:r>
        <w:rPr>
          <w:rFonts w:hint="eastAsia" w:ascii="Times New Roman" w:hAnsi="Times New Roman" w:eastAsia="黑体"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lang w:val="en-US" w:eastAsia="zh-CN"/>
        </w:rPr>
        <w:t>其他管理和技术人员最低要求</w:t>
      </w:r>
      <w:r>
        <w:rPr>
          <w:rFonts w:hint="default" w:ascii="Times New Roman" w:hAnsi="Times New Roman" w:eastAsia="黑体" w:cs="Times New Roman"/>
          <w:b w:val="0"/>
          <w:i w:val="0"/>
          <w:iCs/>
          <w:color w:val="auto"/>
          <w:sz w:val="24"/>
          <w:szCs w:val="24"/>
          <w:highlight w:val="none"/>
          <w:vertAlign w:val="superscript"/>
        </w:rPr>
        <w:footnoteReference w:id="41"/>
      </w:r>
      <w:bookmarkEnd w:id="1504"/>
      <w:bookmarkEnd w:id="1505"/>
      <w:bookmarkEnd w:id="1506"/>
      <w:bookmarkEnd w:id="1507"/>
    </w:p>
    <w:p w14:paraId="60812B6D">
      <w:pPr>
        <w:pageBreakBefore w:val="0"/>
        <w:kinsoku/>
        <w:wordWrap w:val="0"/>
        <w:bidi w:val="0"/>
        <w:adjustRightInd w:val="0"/>
        <w:snapToGrid w:val="0"/>
        <w:spacing w:line="400" w:lineRule="atLeast"/>
        <w:rPr>
          <w:rFonts w:hint="default" w:ascii="Times New Roman" w:hAnsi="Times New Roman" w:cs="Times New Roman"/>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3B7F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52A2FFA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人员</w:t>
            </w:r>
          </w:p>
        </w:tc>
        <w:tc>
          <w:tcPr>
            <w:tcW w:w="2161" w:type="dxa"/>
            <w:noWrap w:val="0"/>
            <w:vAlign w:val="center"/>
          </w:tcPr>
          <w:p w14:paraId="4FF88BD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4282" w:type="dxa"/>
            <w:noWrap w:val="0"/>
            <w:vAlign w:val="center"/>
          </w:tcPr>
          <w:p w14:paraId="34A045D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资格要求</w:t>
            </w:r>
          </w:p>
        </w:tc>
      </w:tr>
      <w:tr w14:paraId="1F2A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AE9999A">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3F9FED5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549B1CCC">
            <w:pPr>
              <w:pageBreakBefore w:val="0"/>
              <w:kinsoku/>
              <w:wordWrap w:val="0"/>
              <w:bidi w:val="0"/>
              <w:spacing w:line="400" w:lineRule="atLeast"/>
              <w:rPr>
                <w:rFonts w:hint="default" w:ascii="Times New Roman" w:hAnsi="Times New Roman" w:cs="Times New Roman"/>
                <w:color w:val="auto"/>
                <w:sz w:val="24"/>
                <w:highlight w:val="none"/>
              </w:rPr>
            </w:pPr>
          </w:p>
        </w:tc>
      </w:tr>
      <w:tr w14:paraId="2EED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B9A22E">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045A47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DA7C695">
            <w:pPr>
              <w:pageBreakBefore w:val="0"/>
              <w:kinsoku/>
              <w:wordWrap w:val="0"/>
              <w:bidi w:val="0"/>
              <w:spacing w:line="400" w:lineRule="atLeast"/>
              <w:rPr>
                <w:rFonts w:hint="default" w:ascii="Times New Roman" w:hAnsi="Times New Roman" w:cs="Times New Roman"/>
                <w:color w:val="auto"/>
                <w:sz w:val="24"/>
                <w:highlight w:val="none"/>
              </w:rPr>
            </w:pPr>
          </w:p>
        </w:tc>
      </w:tr>
      <w:tr w14:paraId="77D1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98719AB">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013CC2E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018C5BB4">
            <w:pPr>
              <w:pageBreakBefore w:val="0"/>
              <w:kinsoku/>
              <w:wordWrap w:val="0"/>
              <w:bidi w:val="0"/>
              <w:spacing w:line="400" w:lineRule="atLeast"/>
              <w:rPr>
                <w:rFonts w:hint="default" w:ascii="Times New Roman" w:hAnsi="Times New Roman" w:cs="Times New Roman"/>
                <w:color w:val="auto"/>
                <w:sz w:val="24"/>
                <w:highlight w:val="none"/>
              </w:rPr>
            </w:pPr>
          </w:p>
        </w:tc>
      </w:tr>
      <w:tr w14:paraId="539F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43CF542">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291F041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B07ADC7">
            <w:pPr>
              <w:pageBreakBefore w:val="0"/>
              <w:kinsoku/>
              <w:wordWrap w:val="0"/>
              <w:bidi w:val="0"/>
              <w:spacing w:line="400" w:lineRule="atLeast"/>
              <w:rPr>
                <w:rFonts w:hint="default" w:ascii="Times New Roman" w:hAnsi="Times New Roman" w:cs="Times New Roman"/>
                <w:color w:val="auto"/>
                <w:sz w:val="24"/>
                <w:highlight w:val="none"/>
              </w:rPr>
            </w:pPr>
          </w:p>
        </w:tc>
      </w:tr>
      <w:tr w14:paraId="4C6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879AB81">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666C2C7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3F6DBE77">
            <w:pPr>
              <w:pageBreakBefore w:val="0"/>
              <w:kinsoku/>
              <w:wordWrap w:val="0"/>
              <w:bidi w:val="0"/>
              <w:spacing w:line="400" w:lineRule="atLeast"/>
              <w:rPr>
                <w:rFonts w:hint="default" w:ascii="Times New Roman" w:hAnsi="Times New Roman" w:cs="Times New Roman"/>
                <w:color w:val="auto"/>
                <w:sz w:val="24"/>
                <w:highlight w:val="none"/>
              </w:rPr>
            </w:pPr>
          </w:p>
        </w:tc>
      </w:tr>
      <w:tr w14:paraId="2088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0B88BA">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5A28E9E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28297BE">
            <w:pPr>
              <w:pageBreakBefore w:val="0"/>
              <w:kinsoku/>
              <w:wordWrap w:val="0"/>
              <w:bidi w:val="0"/>
              <w:spacing w:line="400" w:lineRule="atLeast"/>
              <w:rPr>
                <w:rFonts w:hint="default" w:ascii="Times New Roman" w:hAnsi="Times New Roman" w:cs="Times New Roman"/>
                <w:color w:val="auto"/>
                <w:sz w:val="24"/>
                <w:highlight w:val="none"/>
              </w:rPr>
            </w:pPr>
          </w:p>
        </w:tc>
      </w:tr>
      <w:tr w14:paraId="0932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EFE01DC">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89BA22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596F8D4">
            <w:pPr>
              <w:pageBreakBefore w:val="0"/>
              <w:kinsoku/>
              <w:wordWrap w:val="0"/>
              <w:bidi w:val="0"/>
              <w:spacing w:line="400" w:lineRule="atLeast"/>
              <w:rPr>
                <w:rFonts w:hint="default" w:ascii="Times New Roman" w:hAnsi="Times New Roman" w:cs="Times New Roman"/>
                <w:color w:val="auto"/>
                <w:sz w:val="24"/>
                <w:highlight w:val="none"/>
              </w:rPr>
            </w:pPr>
          </w:p>
        </w:tc>
      </w:tr>
      <w:tr w14:paraId="108B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1D57B6FF">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9F667F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12DF63B4">
            <w:pPr>
              <w:pageBreakBefore w:val="0"/>
              <w:kinsoku/>
              <w:wordWrap w:val="0"/>
              <w:bidi w:val="0"/>
              <w:spacing w:line="400" w:lineRule="atLeast"/>
              <w:rPr>
                <w:rFonts w:hint="default" w:ascii="Times New Roman" w:hAnsi="Times New Roman" w:cs="Times New Roman"/>
                <w:color w:val="auto"/>
                <w:sz w:val="24"/>
                <w:highlight w:val="none"/>
              </w:rPr>
            </w:pPr>
          </w:p>
        </w:tc>
      </w:tr>
      <w:tr w14:paraId="67FD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E861774">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3E939284">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BB14064">
            <w:pPr>
              <w:pageBreakBefore w:val="0"/>
              <w:kinsoku/>
              <w:wordWrap w:val="0"/>
              <w:bidi w:val="0"/>
              <w:spacing w:line="400" w:lineRule="atLeast"/>
              <w:rPr>
                <w:rFonts w:hint="default" w:ascii="Times New Roman" w:hAnsi="Times New Roman" w:cs="Times New Roman"/>
                <w:color w:val="auto"/>
                <w:sz w:val="24"/>
                <w:highlight w:val="none"/>
              </w:rPr>
            </w:pPr>
          </w:p>
        </w:tc>
      </w:tr>
      <w:tr w14:paraId="252D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7114918D">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EADD0E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4FA6EE78">
            <w:pPr>
              <w:pageBreakBefore w:val="0"/>
              <w:kinsoku/>
              <w:wordWrap w:val="0"/>
              <w:bidi w:val="0"/>
              <w:spacing w:line="400" w:lineRule="atLeast"/>
              <w:rPr>
                <w:rFonts w:hint="default" w:ascii="Times New Roman" w:hAnsi="Times New Roman" w:cs="Times New Roman"/>
                <w:color w:val="auto"/>
                <w:sz w:val="24"/>
                <w:highlight w:val="none"/>
              </w:rPr>
            </w:pPr>
          </w:p>
        </w:tc>
      </w:tr>
      <w:tr w14:paraId="3232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E2169DC">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1655E69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1438082">
            <w:pPr>
              <w:pageBreakBefore w:val="0"/>
              <w:kinsoku/>
              <w:wordWrap w:val="0"/>
              <w:bidi w:val="0"/>
              <w:spacing w:line="400" w:lineRule="atLeast"/>
              <w:rPr>
                <w:rFonts w:hint="default" w:ascii="Times New Roman" w:hAnsi="Times New Roman" w:cs="Times New Roman"/>
                <w:color w:val="auto"/>
                <w:sz w:val="24"/>
                <w:highlight w:val="none"/>
              </w:rPr>
            </w:pPr>
          </w:p>
        </w:tc>
      </w:tr>
      <w:tr w14:paraId="574D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351E9F4">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501EAC2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3566DA93">
            <w:pPr>
              <w:pageBreakBefore w:val="0"/>
              <w:kinsoku/>
              <w:wordWrap w:val="0"/>
              <w:bidi w:val="0"/>
              <w:spacing w:line="400" w:lineRule="atLeast"/>
              <w:rPr>
                <w:rFonts w:hint="default" w:ascii="Times New Roman" w:hAnsi="Times New Roman" w:cs="Times New Roman"/>
                <w:color w:val="auto"/>
                <w:sz w:val="24"/>
                <w:highlight w:val="none"/>
              </w:rPr>
            </w:pPr>
          </w:p>
        </w:tc>
      </w:tr>
      <w:tr w14:paraId="39A2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70952F63">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7E8CA07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5373738B">
            <w:pPr>
              <w:pageBreakBefore w:val="0"/>
              <w:kinsoku/>
              <w:wordWrap w:val="0"/>
              <w:bidi w:val="0"/>
              <w:spacing w:line="400" w:lineRule="atLeast"/>
              <w:rPr>
                <w:rFonts w:hint="default" w:ascii="Times New Roman" w:hAnsi="Times New Roman" w:cs="Times New Roman"/>
                <w:color w:val="auto"/>
                <w:sz w:val="24"/>
                <w:highlight w:val="none"/>
              </w:rPr>
            </w:pPr>
          </w:p>
        </w:tc>
      </w:tr>
      <w:tr w14:paraId="6416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1725C65">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17FDD693">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1FAAB6C4">
            <w:pPr>
              <w:pageBreakBefore w:val="0"/>
              <w:kinsoku/>
              <w:wordWrap w:val="0"/>
              <w:bidi w:val="0"/>
              <w:spacing w:line="400" w:lineRule="atLeast"/>
              <w:rPr>
                <w:rFonts w:hint="default" w:ascii="Times New Roman" w:hAnsi="Times New Roman" w:cs="Times New Roman"/>
                <w:color w:val="auto"/>
                <w:sz w:val="24"/>
                <w:highlight w:val="none"/>
              </w:rPr>
            </w:pPr>
          </w:p>
        </w:tc>
      </w:tr>
      <w:tr w14:paraId="3E10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1D15F040">
            <w:pPr>
              <w:pageBreakBefore w:val="0"/>
              <w:kinsoku/>
              <w:wordWrap w:val="0"/>
              <w:bidi w:val="0"/>
              <w:spacing w:line="400" w:lineRule="atLeast"/>
              <w:jc w:val="center"/>
              <w:rPr>
                <w:rFonts w:hint="default" w:ascii="Times New Roman" w:hAnsi="Times New Roman" w:cs="Times New Roman"/>
                <w:color w:val="auto"/>
                <w:sz w:val="24"/>
                <w:highlight w:val="none"/>
              </w:rPr>
            </w:pPr>
          </w:p>
        </w:tc>
        <w:tc>
          <w:tcPr>
            <w:tcW w:w="2161" w:type="dxa"/>
            <w:noWrap w:val="0"/>
            <w:vAlign w:val="center"/>
          </w:tcPr>
          <w:p w14:paraId="32BE21A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4282" w:type="dxa"/>
            <w:noWrap w:val="0"/>
            <w:vAlign w:val="center"/>
          </w:tcPr>
          <w:p w14:paraId="28B6D4E9">
            <w:pPr>
              <w:pageBreakBefore w:val="0"/>
              <w:kinsoku/>
              <w:wordWrap w:val="0"/>
              <w:bidi w:val="0"/>
              <w:spacing w:line="400" w:lineRule="atLeast"/>
              <w:rPr>
                <w:rFonts w:hint="default" w:ascii="Times New Roman" w:hAnsi="Times New Roman" w:cs="Times New Roman"/>
                <w:color w:val="auto"/>
                <w:sz w:val="24"/>
                <w:highlight w:val="none"/>
              </w:rPr>
            </w:pPr>
          </w:p>
        </w:tc>
      </w:tr>
    </w:tbl>
    <w:p w14:paraId="4936E647">
      <w:pPr>
        <w:pStyle w:val="6"/>
        <w:pageBreakBefore w:val="0"/>
        <w:kinsoku/>
        <w:wordWrap w:val="0"/>
        <w:bidi w:val="0"/>
        <w:spacing w:before="0" w:after="0" w:line="380" w:lineRule="atLeast"/>
        <w:jc w:val="both"/>
        <w:outlineLvl w:val="3"/>
        <w:rPr>
          <w:rFonts w:hint="default" w:ascii="Times New Roman" w:hAnsi="Times New Roman" w:eastAsia="黑体" w:cs="Times New Roman"/>
          <w:i w:val="0"/>
          <w:iCs/>
          <w:color w:val="auto"/>
          <w:sz w:val="24"/>
          <w:highlight w:val="none"/>
        </w:rPr>
      </w:pPr>
      <w:r>
        <w:rPr>
          <w:rFonts w:hint="default" w:ascii="Times New Roman" w:hAnsi="Times New Roman" w:eastAsia="黑体" w:cs="Times New Roman"/>
          <w:color w:val="auto"/>
          <w:sz w:val="24"/>
          <w:highlight w:val="none"/>
        </w:rPr>
        <w:br w:type="page"/>
      </w:r>
      <w:bookmarkStart w:id="1512" w:name="_Toc28190"/>
      <w:bookmarkStart w:id="1513" w:name="_Toc234833235"/>
      <w:bookmarkStart w:id="1514" w:name="_Toc22982"/>
      <w:bookmarkStart w:id="1515" w:name="_Toc28672"/>
      <w:r>
        <w:rPr>
          <w:rFonts w:hint="default" w:ascii="Times New Roman" w:hAnsi="Times New Roman" w:eastAsia="黑体" w:cs="Times New Roman"/>
          <w:i w:val="0"/>
          <w:iCs/>
          <w:color w:val="auto"/>
          <w:sz w:val="24"/>
          <w:highlight w:val="none"/>
        </w:rPr>
        <w:t>附件五</w:t>
      </w:r>
      <w:r>
        <w:rPr>
          <w:rFonts w:hint="eastAsia" w:ascii="Times New Roman" w:hAnsi="Times New Roman" w:eastAsia="黑体" w:cs="Times New Roman"/>
          <w:i w:val="0"/>
          <w:iCs/>
          <w:color w:val="auto"/>
          <w:sz w:val="24"/>
          <w:highlight w:val="none"/>
          <w:lang w:val="en-US" w:eastAsia="zh-CN"/>
        </w:rPr>
        <w:t xml:space="preserve"> </w:t>
      </w:r>
      <w:r>
        <w:rPr>
          <w:rFonts w:hint="default" w:ascii="Times New Roman" w:hAnsi="Times New Roman" w:eastAsia="黑体" w:cs="Times New Roman"/>
          <w:i w:val="0"/>
          <w:iCs/>
          <w:color w:val="auto"/>
          <w:sz w:val="24"/>
          <w:highlight w:val="none"/>
        </w:rPr>
        <w:t>主要机械设备和试验检测设备最低要求</w:t>
      </w:r>
      <w:r>
        <w:rPr>
          <w:rFonts w:hint="default" w:ascii="Times New Roman" w:hAnsi="Times New Roman" w:eastAsia="黑体" w:cs="Times New Roman"/>
          <w:i w:val="0"/>
          <w:iCs/>
          <w:color w:val="auto"/>
          <w:sz w:val="24"/>
          <w:highlight w:val="none"/>
          <w:vertAlign w:val="superscript"/>
        </w:rPr>
        <w:footnoteReference w:id="42"/>
      </w:r>
      <w:bookmarkEnd w:id="1512"/>
      <w:bookmarkEnd w:id="1513"/>
      <w:bookmarkEnd w:id="1514"/>
      <w:bookmarkEnd w:id="1515"/>
    </w:p>
    <w:p w14:paraId="64765A12">
      <w:pPr>
        <w:pageBreakBefore w:val="0"/>
        <w:kinsoku/>
        <w:wordWrap w:val="0"/>
        <w:bidi w:val="0"/>
        <w:spacing w:before="0" w:after="0" w:line="380" w:lineRule="atLeast"/>
        <w:jc w:val="both"/>
        <w:outlineLvl w:val="9"/>
        <w:rPr>
          <w:rFonts w:hint="default" w:ascii="Times New Roman" w:hAnsi="Times New Roman" w:eastAsia="黑体" w:cs="Times New Roman"/>
          <w:i w:val="0"/>
          <w:iCs/>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67F5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022457E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设备名称</w:t>
            </w:r>
          </w:p>
        </w:tc>
        <w:tc>
          <w:tcPr>
            <w:tcW w:w="2745" w:type="dxa"/>
            <w:noWrap w:val="0"/>
            <w:vAlign w:val="center"/>
          </w:tcPr>
          <w:p w14:paraId="4A12D5FE">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规格、功率及容量</w:t>
            </w:r>
          </w:p>
        </w:tc>
        <w:tc>
          <w:tcPr>
            <w:tcW w:w="1386" w:type="dxa"/>
            <w:noWrap w:val="0"/>
            <w:vAlign w:val="center"/>
          </w:tcPr>
          <w:p w14:paraId="7F42ED7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w:t>
            </w:r>
          </w:p>
        </w:tc>
        <w:tc>
          <w:tcPr>
            <w:tcW w:w="2194" w:type="dxa"/>
            <w:noWrap w:val="0"/>
            <w:vAlign w:val="center"/>
          </w:tcPr>
          <w:p w14:paraId="1A656A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最低数量要求</w:t>
            </w:r>
          </w:p>
        </w:tc>
      </w:tr>
      <w:tr w14:paraId="49AC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10A2A00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noWrap w:val="0"/>
            <w:vAlign w:val="center"/>
          </w:tcPr>
          <w:p w14:paraId="5106A18A">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noWrap w:val="0"/>
            <w:vAlign w:val="center"/>
          </w:tcPr>
          <w:p w14:paraId="70704E8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noWrap w:val="0"/>
            <w:vAlign w:val="center"/>
          </w:tcPr>
          <w:p w14:paraId="3BDFA144">
            <w:pPr>
              <w:pageBreakBefore w:val="0"/>
              <w:kinsoku/>
              <w:wordWrap w:val="0"/>
              <w:bidi w:val="0"/>
              <w:spacing w:line="400" w:lineRule="atLeast"/>
              <w:rPr>
                <w:rFonts w:hint="default" w:ascii="Times New Roman" w:hAnsi="Times New Roman" w:cs="Times New Roman"/>
                <w:color w:val="auto"/>
                <w:sz w:val="24"/>
                <w:highlight w:val="none"/>
              </w:rPr>
            </w:pPr>
          </w:p>
        </w:tc>
      </w:tr>
      <w:tr w14:paraId="093E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431BA58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noWrap w:val="0"/>
            <w:vAlign w:val="center"/>
          </w:tcPr>
          <w:p w14:paraId="2726C2A9">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noWrap w:val="0"/>
            <w:vAlign w:val="center"/>
          </w:tcPr>
          <w:p w14:paraId="366B21D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noWrap w:val="0"/>
            <w:vAlign w:val="center"/>
          </w:tcPr>
          <w:p w14:paraId="52F392B0">
            <w:pPr>
              <w:pageBreakBefore w:val="0"/>
              <w:kinsoku/>
              <w:wordWrap w:val="0"/>
              <w:bidi w:val="0"/>
              <w:spacing w:line="400" w:lineRule="atLeast"/>
              <w:rPr>
                <w:rFonts w:hint="default" w:ascii="Times New Roman" w:hAnsi="Times New Roman" w:cs="Times New Roman"/>
                <w:color w:val="auto"/>
                <w:sz w:val="24"/>
                <w:highlight w:val="none"/>
              </w:rPr>
            </w:pPr>
          </w:p>
        </w:tc>
      </w:tr>
      <w:tr w14:paraId="52CB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0E1CC23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noWrap w:val="0"/>
            <w:vAlign w:val="center"/>
          </w:tcPr>
          <w:p w14:paraId="5D976A74">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noWrap w:val="0"/>
            <w:vAlign w:val="center"/>
          </w:tcPr>
          <w:p w14:paraId="612E48F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noWrap w:val="0"/>
            <w:vAlign w:val="center"/>
          </w:tcPr>
          <w:p w14:paraId="1B60814B">
            <w:pPr>
              <w:pageBreakBefore w:val="0"/>
              <w:kinsoku/>
              <w:wordWrap w:val="0"/>
              <w:bidi w:val="0"/>
              <w:spacing w:line="400" w:lineRule="atLeast"/>
              <w:rPr>
                <w:rFonts w:hint="default" w:ascii="Times New Roman" w:hAnsi="Times New Roman" w:cs="Times New Roman"/>
                <w:color w:val="auto"/>
                <w:sz w:val="24"/>
                <w:highlight w:val="none"/>
              </w:rPr>
            </w:pPr>
          </w:p>
        </w:tc>
      </w:tr>
      <w:tr w14:paraId="352E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2AC7EBB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787D7E">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DD8CEF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5CB2A14">
            <w:pPr>
              <w:pageBreakBefore w:val="0"/>
              <w:kinsoku/>
              <w:wordWrap w:val="0"/>
              <w:bidi w:val="0"/>
              <w:spacing w:line="400" w:lineRule="atLeast"/>
              <w:rPr>
                <w:rFonts w:hint="default" w:ascii="Times New Roman" w:hAnsi="Times New Roman" w:cs="Times New Roman"/>
                <w:color w:val="auto"/>
                <w:sz w:val="24"/>
                <w:highlight w:val="none"/>
              </w:rPr>
            </w:pPr>
          </w:p>
        </w:tc>
      </w:tr>
      <w:tr w14:paraId="1D97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25FC5BE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6B3F6FB">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E5A774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7B59065">
            <w:pPr>
              <w:pageBreakBefore w:val="0"/>
              <w:kinsoku/>
              <w:wordWrap w:val="0"/>
              <w:bidi w:val="0"/>
              <w:spacing w:line="400" w:lineRule="atLeast"/>
              <w:rPr>
                <w:rFonts w:hint="default" w:ascii="Times New Roman" w:hAnsi="Times New Roman" w:cs="Times New Roman"/>
                <w:color w:val="auto"/>
                <w:sz w:val="24"/>
                <w:highlight w:val="none"/>
              </w:rPr>
            </w:pPr>
          </w:p>
        </w:tc>
      </w:tr>
      <w:tr w14:paraId="6BD5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E2B0C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548E780">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2F9BA06">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C18EF53">
            <w:pPr>
              <w:pageBreakBefore w:val="0"/>
              <w:kinsoku/>
              <w:wordWrap w:val="0"/>
              <w:bidi w:val="0"/>
              <w:spacing w:line="400" w:lineRule="atLeast"/>
              <w:rPr>
                <w:rFonts w:hint="default" w:ascii="Times New Roman" w:hAnsi="Times New Roman" w:cs="Times New Roman"/>
                <w:color w:val="auto"/>
                <w:sz w:val="24"/>
                <w:highlight w:val="none"/>
              </w:rPr>
            </w:pPr>
          </w:p>
        </w:tc>
      </w:tr>
      <w:tr w14:paraId="428D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EBBCC8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B6D4793">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764DA8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460F321">
            <w:pPr>
              <w:pageBreakBefore w:val="0"/>
              <w:kinsoku/>
              <w:wordWrap w:val="0"/>
              <w:bidi w:val="0"/>
              <w:spacing w:line="400" w:lineRule="atLeast"/>
              <w:rPr>
                <w:rFonts w:hint="default" w:ascii="Times New Roman" w:hAnsi="Times New Roman" w:cs="Times New Roman"/>
                <w:color w:val="auto"/>
                <w:sz w:val="24"/>
                <w:highlight w:val="none"/>
              </w:rPr>
            </w:pPr>
          </w:p>
        </w:tc>
      </w:tr>
      <w:tr w14:paraId="498E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6353459">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27477C">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34C17B">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568971A">
            <w:pPr>
              <w:pageBreakBefore w:val="0"/>
              <w:kinsoku/>
              <w:wordWrap w:val="0"/>
              <w:bidi w:val="0"/>
              <w:spacing w:line="400" w:lineRule="atLeast"/>
              <w:rPr>
                <w:rFonts w:hint="default" w:ascii="Times New Roman" w:hAnsi="Times New Roman" w:cs="Times New Roman"/>
                <w:color w:val="auto"/>
                <w:sz w:val="24"/>
                <w:highlight w:val="none"/>
              </w:rPr>
            </w:pPr>
          </w:p>
        </w:tc>
      </w:tr>
      <w:tr w14:paraId="7BE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E6EBDA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5B120C9">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368CAD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9DE44BF">
            <w:pPr>
              <w:pageBreakBefore w:val="0"/>
              <w:kinsoku/>
              <w:wordWrap w:val="0"/>
              <w:bidi w:val="0"/>
              <w:spacing w:line="400" w:lineRule="atLeast"/>
              <w:rPr>
                <w:rFonts w:hint="default" w:ascii="Times New Roman" w:hAnsi="Times New Roman" w:cs="Times New Roman"/>
                <w:color w:val="auto"/>
                <w:sz w:val="24"/>
                <w:highlight w:val="none"/>
              </w:rPr>
            </w:pPr>
          </w:p>
        </w:tc>
      </w:tr>
      <w:tr w14:paraId="2BB9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1F9BDCA">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55A0E23">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702435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C68510">
            <w:pPr>
              <w:pageBreakBefore w:val="0"/>
              <w:kinsoku/>
              <w:wordWrap w:val="0"/>
              <w:bidi w:val="0"/>
              <w:spacing w:line="400" w:lineRule="atLeast"/>
              <w:rPr>
                <w:rFonts w:hint="default" w:ascii="Times New Roman" w:hAnsi="Times New Roman" w:cs="Times New Roman"/>
                <w:color w:val="auto"/>
                <w:sz w:val="24"/>
                <w:highlight w:val="none"/>
              </w:rPr>
            </w:pPr>
          </w:p>
        </w:tc>
      </w:tr>
      <w:tr w14:paraId="2014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D175977">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12CF4D9">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E216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F5A7B82">
            <w:pPr>
              <w:pageBreakBefore w:val="0"/>
              <w:kinsoku/>
              <w:wordWrap w:val="0"/>
              <w:bidi w:val="0"/>
              <w:spacing w:line="400" w:lineRule="atLeast"/>
              <w:rPr>
                <w:rFonts w:hint="default" w:ascii="Times New Roman" w:hAnsi="Times New Roman" w:cs="Times New Roman"/>
                <w:color w:val="auto"/>
                <w:sz w:val="24"/>
                <w:highlight w:val="none"/>
              </w:rPr>
            </w:pPr>
          </w:p>
        </w:tc>
      </w:tr>
      <w:tr w14:paraId="1349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5B37823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BC90872">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CABDF81">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827E6B7">
            <w:pPr>
              <w:pageBreakBefore w:val="0"/>
              <w:kinsoku/>
              <w:wordWrap w:val="0"/>
              <w:bidi w:val="0"/>
              <w:spacing w:line="400" w:lineRule="atLeast"/>
              <w:rPr>
                <w:rFonts w:hint="default" w:ascii="Times New Roman" w:hAnsi="Times New Roman" w:cs="Times New Roman"/>
                <w:color w:val="auto"/>
                <w:sz w:val="24"/>
                <w:highlight w:val="none"/>
              </w:rPr>
            </w:pPr>
          </w:p>
        </w:tc>
      </w:tr>
      <w:tr w14:paraId="078F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898D522">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03E513">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64725CF">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DFCF529">
            <w:pPr>
              <w:pageBreakBefore w:val="0"/>
              <w:kinsoku/>
              <w:wordWrap w:val="0"/>
              <w:bidi w:val="0"/>
              <w:spacing w:line="400" w:lineRule="atLeast"/>
              <w:rPr>
                <w:rFonts w:hint="default" w:ascii="Times New Roman" w:hAnsi="Times New Roman" w:cs="Times New Roman"/>
                <w:color w:val="auto"/>
                <w:sz w:val="24"/>
                <w:highlight w:val="none"/>
              </w:rPr>
            </w:pPr>
          </w:p>
        </w:tc>
      </w:tr>
      <w:tr w14:paraId="30FC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17FA1BC">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B7F2DDE">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1BB16BD">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A15B7C3">
            <w:pPr>
              <w:pageBreakBefore w:val="0"/>
              <w:kinsoku/>
              <w:wordWrap w:val="0"/>
              <w:bidi w:val="0"/>
              <w:spacing w:line="400" w:lineRule="atLeast"/>
              <w:rPr>
                <w:rFonts w:hint="default" w:ascii="Times New Roman" w:hAnsi="Times New Roman" w:cs="Times New Roman"/>
                <w:color w:val="auto"/>
                <w:sz w:val="24"/>
                <w:highlight w:val="none"/>
              </w:rPr>
            </w:pPr>
          </w:p>
        </w:tc>
      </w:tr>
      <w:tr w14:paraId="00D5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966F5E5">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D123DAF">
            <w:pPr>
              <w:pageBreakBefore w:val="0"/>
              <w:kinsoku/>
              <w:wordWrap w:val="0"/>
              <w:bidi w:val="0"/>
              <w:spacing w:line="400" w:lineRule="atLeast"/>
              <w:rPr>
                <w:rFonts w:hint="default" w:ascii="Times New Roman" w:hAnsi="Times New Roman" w:cs="Times New Roman"/>
                <w:color w:val="auto"/>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F6B6AC8">
            <w:pPr>
              <w:pageBreakBefore w:val="0"/>
              <w:kinsoku/>
              <w:wordWrap w:val="0"/>
              <w:bidi w:val="0"/>
              <w:adjustRightInd w:val="0"/>
              <w:snapToGrid w:val="0"/>
              <w:spacing w:line="400" w:lineRule="atLeast"/>
              <w:jc w:val="center"/>
              <w:rPr>
                <w:rFonts w:hint="default" w:ascii="Times New Roman" w:hAnsi="Times New Roman" w:cs="Times New Roman"/>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1F3CD01F">
            <w:pPr>
              <w:pageBreakBefore w:val="0"/>
              <w:kinsoku/>
              <w:wordWrap w:val="0"/>
              <w:bidi w:val="0"/>
              <w:spacing w:line="400" w:lineRule="atLeast"/>
              <w:rPr>
                <w:rFonts w:hint="default" w:ascii="Times New Roman" w:hAnsi="Times New Roman" w:cs="Times New Roman"/>
                <w:color w:val="auto"/>
                <w:sz w:val="24"/>
                <w:highlight w:val="none"/>
              </w:rPr>
            </w:pPr>
          </w:p>
        </w:tc>
      </w:tr>
    </w:tbl>
    <w:p w14:paraId="2DC0CC53">
      <w:pPr>
        <w:pageBreakBefore w:val="0"/>
        <w:kinsoku/>
        <w:wordWrap w:val="0"/>
        <w:bidi w:val="0"/>
        <w:spacing w:line="400" w:lineRule="atLeast"/>
        <w:rPr>
          <w:rFonts w:hint="default" w:ascii="Times New Roman" w:hAnsi="Times New Roman" w:eastAsia="黑体" w:cs="Times New Roman"/>
          <w:color w:val="auto"/>
          <w:sz w:val="24"/>
          <w:highlight w:val="none"/>
        </w:rPr>
      </w:pPr>
    </w:p>
    <w:p w14:paraId="4ED4F958">
      <w:pPr>
        <w:pStyle w:val="6"/>
        <w:pageBreakBefore w:val="0"/>
        <w:kinsoku/>
        <w:wordWrap w:val="0"/>
        <w:bidi w:val="0"/>
        <w:spacing w:before="0" w:after="0" w:line="380" w:lineRule="atLeast"/>
        <w:jc w:val="both"/>
        <w:outlineLvl w:val="3"/>
        <w:rPr>
          <w:rFonts w:hint="default" w:ascii="Times New Roman" w:hAnsi="Times New Roman" w:eastAsia="黑体" w:cs="Times New Roman"/>
          <w:i w:val="0"/>
          <w:iCs/>
          <w:color w:val="auto"/>
          <w:sz w:val="24"/>
          <w:highlight w:val="none"/>
        </w:rPr>
      </w:pPr>
      <w:bookmarkStart w:id="1516" w:name="_Toc32399"/>
      <w:bookmarkStart w:id="1517" w:name="_Toc13117"/>
      <w:bookmarkStart w:id="1518" w:name="_Toc9623"/>
      <w:bookmarkStart w:id="1519" w:name="_Toc234833236"/>
      <w:r>
        <w:rPr>
          <w:rFonts w:hint="default" w:ascii="Times New Roman" w:hAnsi="Times New Roman" w:eastAsia="黑体" w:cs="Times New Roman"/>
          <w:i w:val="0"/>
          <w:iCs/>
          <w:color w:val="auto"/>
          <w:sz w:val="24"/>
          <w:highlight w:val="none"/>
        </w:rPr>
        <w:t>附件六</w:t>
      </w:r>
      <w:r>
        <w:rPr>
          <w:rFonts w:hint="eastAsia" w:ascii="Times New Roman" w:hAnsi="Times New Roman" w:eastAsia="黑体" w:cs="Times New Roman"/>
          <w:i w:val="0"/>
          <w:iCs/>
          <w:color w:val="auto"/>
          <w:sz w:val="24"/>
          <w:highlight w:val="none"/>
          <w:lang w:val="en-US" w:eastAsia="zh-CN"/>
        </w:rPr>
        <w:t xml:space="preserve"> </w:t>
      </w:r>
      <w:r>
        <w:rPr>
          <w:rFonts w:hint="default" w:ascii="Times New Roman" w:hAnsi="Times New Roman" w:eastAsia="黑体" w:cs="Times New Roman"/>
          <w:i w:val="0"/>
          <w:iCs/>
          <w:color w:val="auto"/>
          <w:sz w:val="24"/>
          <w:highlight w:val="none"/>
        </w:rPr>
        <w:t>项目经理委任书</w:t>
      </w:r>
      <w:bookmarkEnd w:id="1516"/>
      <w:bookmarkEnd w:id="1517"/>
      <w:bookmarkEnd w:id="1518"/>
      <w:bookmarkEnd w:id="1519"/>
    </w:p>
    <w:p w14:paraId="6E395060">
      <w:pPr>
        <w:pageBreakBefore w:val="0"/>
        <w:kinsoku/>
        <w:wordWrap w:val="0"/>
        <w:bidi w:val="0"/>
        <w:snapToGrid w:val="0"/>
        <w:spacing w:line="400" w:lineRule="atLeast"/>
        <w:jc w:val="center"/>
        <w:rPr>
          <w:rFonts w:hint="default" w:ascii="Times New Roman" w:hAnsi="Times New Roman" w:eastAsia="黑体" w:cs="Times New Roman"/>
          <w:color w:val="auto"/>
          <w:sz w:val="28"/>
          <w:szCs w:val="28"/>
          <w:highlight w:val="none"/>
          <w:u w:val="single"/>
        </w:rPr>
      </w:pPr>
      <w:r>
        <w:rPr>
          <w:rFonts w:hint="default" w:ascii="Times New Roman" w:hAnsi="Times New Roman" w:eastAsia="黑体" w:cs="Times New Roman"/>
          <w:color w:val="auto"/>
          <w:sz w:val="28"/>
          <w:szCs w:val="28"/>
          <w:highlight w:val="none"/>
          <w:u w:val="single"/>
        </w:rPr>
        <w:t>（承包人全称）</w:t>
      </w:r>
    </w:p>
    <w:p w14:paraId="0F3F5D78">
      <w:pPr>
        <w:pageBreakBefore w:val="0"/>
        <w:kinsoku/>
        <w:wordWrap w:val="0"/>
        <w:bidi w:val="0"/>
        <w:snapToGrid w:val="0"/>
        <w:spacing w:line="40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（合同工程名称）</w:t>
      </w:r>
      <w:r>
        <w:rPr>
          <w:rFonts w:hint="default" w:ascii="Times New Roman" w:hAnsi="Times New Roman" w:eastAsia="黑体" w:cs="Times New Roman"/>
          <w:color w:val="auto"/>
          <w:sz w:val="28"/>
          <w:szCs w:val="28"/>
          <w:highlight w:val="none"/>
        </w:rPr>
        <w:t>项目经理委任书</w:t>
      </w:r>
    </w:p>
    <w:p w14:paraId="104D86CF">
      <w:pPr>
        <w:pageBreakBefore w:val="0"/>
        <w:kinsoku/>
        <w:wordWrap w:val="0"/>
        <w:bidi w:val="0"/>
        <w:snapToGrid w:val="0"/>
        <w:spacing w:line="400" w:lineRule="atLeast"/>
        <w:rPr>
          <w:rFonts w:hint="default" w:ascii="Times New Roman" w:hAnsi="Times New Roman" w:eastAsia="黑体" w:cs="Times New Roman"/>
          <w:color w:val="auto"/>
          <w:sz w:val="24"/>
          <w:highlight w:val="none"/>
        </w:rPr>
      </w:pPr>
    </w:p>
    <w:p w14:paraId="53A141E1">
      <w:pPr>
        <w:pageBreakBefore w:val="0"/>
        <w:kinsoku/>
        <w:wordWrap w:val="0"/>
        <w:bidi w:val="0"/>
        <w:snapToGrid w:val="0"/>
        <w:spacing w:line="400" w:lineRule="atLeast"/>
        <w:rPr>
          <w:rFonts w:hint="default" w:ascii="Times New Roman" w:hAnsi="Times New Roman" w:eastAsia="黑体" w:cs="Times New Roman"/>
          <w:color w:val="auto"/>
          <w:sz w:val="24"/>
          <w:highlight w:val="none"/>
        </w:rPr>
      </w:pPr>
    </w:p>
    <w:p w14:paraId="339E26F7">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（发包人全称）</w:t>
      </w:r>
    </w:p>
    <w:p w14:paraId="078BAD4E">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（承包人全称） </w:t>
      </w: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（职务、姓名） </w:t>
      </w:r>
      <w:r>
        <w:rPr>
          <w:rFonts w:hint="default" w:ascii="Times New Roman" w:hAnsi="Times New Roman" w:cs="Times New Roman"/>
          <w:color w:val="auto"/>
          <w:sz w:val="24"/>
          <w:highlight w:val="none"/>
        </w:rPr>
        <w:t>代表本单位委任</w:t>
      </w:r>
      <w:r>
        <w:rPr>
          <w:rFonts w:hint="default" w:ascii="Times New Roman" w:hAnsi="Times New Roman" w:cs="Times New Roman"/>
          <w:color w:val="auto"/>
          <w:sz w:val="24"/>
          <w:highlight w:val="none"/>
          <w:u w:val="single"/>
        </w:rPr>
        <w:t xml:space="preserve"> （职务、姓名） </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（合同工程名称）</w:t>
      </w:r>
      <w:r>
        <w:rPr>
          <w:rFonts w:hint="default" w:ascii="Times New Roman" w:hAnsi="Times New Roman" w:cs="Times New Roman"/>
          <w:color w:val="auto"/>
          <w:sz w:val="24"/>
          <w:highlight w:val="none"/>
        </w:rPr>
        <w:t>的项目经理。凡本合同执行中的有关技术、工程进度、现场管理、质量检验、结算与支付等方面工作，由</w:t>
      </w:r>
      <w:r>
        <w:rPr>
          <w:rFonts w:hint="default" w:ascii="Times New Roman" w:hAnsi="Times New Roman" w:cs="Times New Roman"/>
          <w:color w:val="auto"/>
          <w:sz w:val="24"/>
          <w:highlight w:val="none"/>
          <w:u w:val="single"/>
        </w:rPr>
        <w:t xml:space="preserve">  （姓名） </w:t>
      </w:r>
      <w:r>
        <w:rPr>
          <w:rFonts w:hint="default" w:ascii="Times New Roman" w:hAnsi="Times New Roman" w:cs="Times New Roman"/>
          <w:color w:val="auto"/>
          <w:sz w:val="24"/>
          <w:highlight w:val="none"/>
        </w:rPr>
        <w:t>代表本单位全面负责。</w:t>
      </w:r>
    </w:p>
    <w:p w14:paraId="779573C9">
      <w:pPr>
        <w:pageBreakBefore w:val="0"/>
        <w:kinsoku/>
        <w:wordWrap w:val="0"/>
        <w:bidi w:val="0"/>
        <w:spacing w:line="400" w:lineRule="atLeast"/>
        <w:ind w:firstLine="616" w:firstLineChars="257"/>
        <w:rPr>
          <w:rFonts w:hint="default" w:ascii="Times New Roman" w:hAnsi="Times New Roman" w:cs="Times New Roman"/>
          <w:color w:val="auto"/>
          <w:sz w:val="24"/>
          <w:highlight w:val="none"/>
        </w:rPr>
      </w:pPr>
    </w:p>
    <w:p w14:paraId="1A4B4604">
      <w:pPr>
        <w:pageBreakBefore w:val="0"/>
        <w:kinsoku/>
        <w:wordWrap w:val="0"/>
        <w:bidi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282C711A">
      <w:pPr>
        <w:pageBreakBefore w:val="0"/>
        <w:kinsoku/>
        <w:wordWrap w:val="0"/>
        <w:bidi w:val="0"/>
        <w:snapToGrid w:val="0"/>
        <w:spacing w:line="400" w:lineRule="atLeast"/>
        <w:ind w:firstLine="4603" w:firstLineChars="1918"/>
        <w:jc w:val="lef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（职务）        </w:t>
      </w:r>
    </w:p>
    <w:p w14:paraId="704BA689">
      <w:pPr>
        <w:pageBreakBefore w:val="0"/>
        <w:kinsoku/>
        <w:wordWrap w:val="0"/>
        <w:bidi w:val="0"/>
        <w:snapToGrid w:val="0"/>
        <w:spacing w:line="400" w:lineRule="atLeas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（姓名）       </w:t>
      </w:r>
    </w:p>
    <w:p w14:paraId="308C8BCD">
      <w:pPr>
        <w:pageBreakBefore w:val="0"/>
        <w:kinsoku/>
        <w:wordWrap w:val="0"/>
        <w:bidi w:val="0"/>
        <w:snapToGrid w:val="0"/>
        <w:spacing w:line="400" w:lineRule="atLeast"/>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（签字）       </w:t>
      </w:r>
    </w:p>
    <w:p w14:paraId="7EF2FD54">
      <w:pPr>
        <w:pageBreakBefore w:val="0"/>
        <w:kinsoku/>
        <w:wordWrap w:val="0"/>
        <w:bidi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81D7C33">
      <w:pPr>
        <w:pStyle w:val="28"/>
        <w:pageBreakBefore w:val="0"/>
        <w:tabs>
          <w:tab w:val="clear" w:pos="4153"/>
          <w:tab w:val="clear" w:pos="8306"/>
        </w:tabs>
        <w:kinsoku/>
        <w:wordWrap w:val="0"/>
        <w:bidi w:val="0"/>
        <w:spacing w:line="400" w:lineRule="atLeas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w:t>
      </w:r>
    </w:p>
    <w:p w14:paraId="6D1AB8DE">
      <w:pPr>
        <w:pStyle w:val="28"/>
        <w:pageBreakBefore w:val="0"/>
        <w:tabs>
          <w:tab w:val="clear" w:pos="4153"/>
          <w:tab w:val="clear" w:pos="8306"/>
        </w:tabs>
        <w:kinsoku/>
        <w:wordWrap w:val="0"/>
        <w:bidi w:val="0"/>
        <w:spacing w:line="400" w:lineRule="atLeast"/>
        <w:rPr>
          <w:rFonts w:hint="default" w:ascii="Times New Roman" w:hAnsi="Times New Roman" w:cs="Times New Roman"/>
          <w:color w:val="auto"/>
          <w:sz w:val="24"/>
          <w:szCs w:val="24"/>
          <w:highlight w:val="none"/>
        </w:rPr>
      </w:pPr>
    </w:p>
    <w:p w14:paraId="17C5F632">
      <w:pPr>
        <w:pageBreakBefore w:val="0"/>
        <w:kinsoku/>
        <w:wordWrap w:val="0"/>
        <w:bidi w:val="0"/>
        <w:snapToGrid w:val="0"/>
        <w:spacing w:line="400" w:lineRule="atLeast"/>
        <w:rPr>
          <w:rFonts w:hint="default" w:ascii="Times New Roman" w:hAnsi="Times New Roman" w:cs="Times New Roman"/>
          <w:color w:val="auto"/>
          <w:sz w:val="24"/>
          <w:highlight w:val="none"/>
        </w:rPr>
      </w:pPr>
    </w:p>
    <w:p w14:paraId="739D49B1">
      <w:pPr>
        <w:pageBreakBefore w:val="0"/>
        <w:kinsoku/>
        <w:wordWrap w:val="0"/>
        <w:bidi w:val="0"/>
        <w:snapToGrid w:val="0"/>
        <w:spacing w:line="400" w:lineRule="atLeast"/>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抄送：</w:t>
      </w:r>
      <w:r>
        <w:rPr>
          <w:rFonts w:hint="default" w:ascii="Times New Roman" w:hAnsi="Times New Roman" w:cs="Times New Roman"/>
          <w:color w:val="auto"/>
          <w:sz w:val="24"/>
          <w:highlight w:val="none"/>
          <w:u w:val="single"/>
        </w:rPr>
        <w:t xml:space="preserve">  （监理人）  </w:t>
      </w:r>
      <w:r>
        <w:rPr>
          <w:rFonts w:hint="default" w:ascii="Times New Roman" w:hAnsi="Times New Roman" w:cs="Times New Roman"/>
          <w:color w:val="auto"/>
          <w:sz w:val="24"/>
          <w:highlight w:val="none"/>
        </w:rPr>
        <w:br w:type="page"/>
      </w:r>
    </w:p>
    <w:p w14:paraId="5B974FE2">
      <w:pPr>
        <w:pStyle w:val="6"/>
        <w:pageBreakBefore w:val="0"/>
        <w:kinsoku/>
        <w:wordWrap w:val="0"/>
        <w:bidi w:val="0"/>
        <w:spacing w:before="0" w:after="0" w:line="380" w:lineRule="atLeast"/>
        <w:jc w:val="both"/>
        <w:outlineLvl w:val="3"/>
        <w:rPr>
          <w:rFonts w:hint="default" w:ascii="Times New Roman" w:hAnsi="Times New Roman" w:eastAsia="黑体" w:cs="Times New Roman"/>
          <w:b w:val="0"/>
          <w:i w:val="0"/>
          <w:iCs/>
          <w:color w:val="auto"/>
          <w:sz w:val="24"/>
          <w:szCs w:val="24"/>
          <w:highlight w:val="none"/>
        </w:rPr>
      </w:pPr>
      <w:r>
        <w:rPr>
          <w:rFonts w:hint="default" w:ascii="Times New Roman" w:hAnsi="Times New Roman" w:eastAsia="黑体" w:cs="Times New Roman"/>
          <w:b w:val="0"/>
          <w:i w:val="0"/>
          <w:iCs/>
          <w:color w:val="auto"/>
          <w:sz w:val="24"/>
          <w:szCs w:val="24"/>
          <w:highlight w:val="none"/>
          <w:lang w:val="en-US" w:eastAsia="zh-CN"/>
        </w:rPr>
        <w:t>附件七</w:t>
      </w:r>
      <w:r>
        <w:rPr>
          <w:rFonts w:hint="eastAsia" w:ascii="Times New Roman" w:hAnsi="Times New Roman" w:eastAsia="黑体" w:cs="Times New Roman"/>
          <w:b w:val="0"/>
          <w:i w:val="0"/>
          <w:iCs/>
          <w:color w:val="auto"/>
          <w:sz w:val="24"/>
          <w:szCs w:val="24"/>
          <w:highlight w:val="none"/>
          <w:lang w:val="en-US" w:eastAsia="zh-CN"/>
        </w:rPr>
        <w:t xml:space="preserve"> </w:t>
      </w:r>
      <w:r>
        <w:rPr>
          <w:rFonts w:hint="default" w:ascii="Times New Roman" w:hAnsi="Times New Roman" w:eastAsia="黑体" w:cs="Times New Roman"/>
          <w:b w:val="0"/>
          <w:i w:val="0"/>
          <w:iCs/>
          <w:color w:val="auto"/>
          <w:sz w:val="24"/>
          <w:szCs w:val="24"/>
          <w:highlight w:val="none"/>
          <w:lang w:val="en-US" w:eastAsia="zh-CN"/>
        </w:rPr>
        <w:t>履约保证金格式</w:t>
      </w:r>
    </w:p>
    <w:p w14:paraId="78CE23F1">
      <w:pPr>
        <w:pageBreakBefore w:val="0"/>
        <w:kinsoku/>
        <w:wordWrap w:val="0"/>
        <w:bidi w:val="0"/>
        <w:spacing w:line="400" w:lineRule="atLeast"/>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如采用银行保函，格式如下。</w:t>
      </w:r>
    </w:p>
    <w:p w14:paraId="6BDCE1BF">
      <w:pPr>
        <w:pageBreakBefore w:val="0"/>
        <w:kinsoku/>
        <w:wordWrap w:val="0"/>
        <w:bidi w:val="0"/>
        <w:spacing w:line="400" w:lineRule="atLeast"/>
        <w:ind w:firstLine="3360" w:firstLineChars="1200"/>
        <w:rPr>
          <w:rFonts w:hint="default" w:ascii="Times New Roman" w:hAnsi="Times New Roman" w:eastAsia="黑体" w:cs="Times New Roman"/>
          <w:color w:val="auto"/>
          <w:sz w:val="28"/>
          <w:szCs w:val="28"/>
          <w:highlight w:val="none"/>
        </w:rPr>
      </w:pPr>
    </w:p>
    <w:p w14:paraId="7B437576">
      <w:pPr>
        <w:pageBreakBefore w:val="0"/>
        <w:kinsoku/>
        <w:wordWrap w:val="0"/>
        <w:bidi w:val="0"/>
        <w:spacing w:line="40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履约保证金</w:t>
      </w:r>
    </w:p>
    <w:p w14:paraId="223730E9">
      <w:pPr>
        <w:pageBreakBefore w:val="0"/>
        <w:kinsoku/>
        <w:wordWrap w:val="0"/>
        <w:bidi w:val="0"/>
        <w:spacing w:line="400" w:lineRule="atLeast"/>
        <w:rPr>
          <w:rFonts w:hint="default" w:ascii="Times New Roman" w:hAnsi="Times New Roman" w:cs="Times New Roman"/>
          <w:color w:val="auto"/>
          <w:sz w:val="24"/>
          <w:highlight w:val="none"/>
        </w:rPr>
      </w:pPr>
    </w:p>
    <w:p w14:paraId="5F93E186">
      <w:pPr>
        <w:pageBreakBefore w:val="0"/>
        <w:kinsoku/>
        <w:wordWrap w:val="0"/>
        <w:bidi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w:t>
      </w:r>
    </w:p>
    <w:p w14:paraId="798F6A4F">
      <w:pPr>
        <w:pageBreakBefore w:val="0"/>
        <w:kinsoku/>
        <w:wordWrap w:val="0"/>
        <w:bidi w:val="0"/>
        <w:spacing w:line="400" w:lineRule="atLeast"/>
        <w:rPr>
          <w:rFonts w:hint="default" w:ascii="Times New Roman" w:hAnsi="Times New Roman" w:cs="Times New Roman"/>
          <w:color w:val="auto"/>
          <w:sz w:val="24"/>
          <w:highlight w:val="none"/>
        </w:rPr>
      </w:pPr>
    </w:p>
    <w:p w14:paraId="0FCDD719">
      <w:pPr>
        <w:pageBreakBefore w:val="0"/>
        <w:kinsoku/>
        <w:wordWrap w:val="0"/>
        <w:bidi w:val="0"/>
        <w:spacing w:line="400" w:lineRule="atLeast"/>
        <w:ind w:firstLine="600" w:firstLineChars="2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（发包人名称，以下简称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发包人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）接受</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（承包人名称，以下简称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标段施工的投标。我方愿意无条件地、不可撤销地就承包人履行与你方订立的合同，向你方提供担保。</w:t>
      </w:r>
    </w:p>
    <w:p w14:paraId="03F2A582">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担保金额人民币（大写）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元（¥</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39FE78A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担保有效期自发包人与承包人签订的合同生效之日起至发包人签发交工验收证书且承包人按照合同约定缴纳质量保证金之日止。</w:t>
      </w:r>
      <w:r>
        <w:rPr>
          <w:rStyle w:val="48"/>
          <w:rFonts w:hint="default" w:ascii="Times New Roman" w:hAnsi="Times New Roman" w:eastAsia="黑体" w:cs="Times New Roman"/>
          <w:color w:val="auto"/>
          <w:sz w:val="28"/>
          <w:szCs w:val="28"/>
          <w:highlight w:val="none"/>
        </w:rPr>
        <w:footnoteReference w:id="43"/>
      </w:r>
    </w:p>
    <w:p w14:paraId="482B2552">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70539777">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发包人和承包人按合同条款第15条变更合同时，无论我方是否收到该变更，我方承担本担保规定的义务不变。</w:t>
      </w:r>
    </w:p>
    <w:p w14:paraId="2BCEC8FC">
      <w:pPr>
        <w:pageBreakBefore w:val="0"/>
        <w:kinsoku/>
        <w:wordWrap w:val="0"/>
        <w:bidi w:val="0"/>
        <w:spacing w:line="400" w:lineRule="atLeast"/>
        <w:rPr>
          <w:rFonts w:hint="default" w:ascii="Times New Roman" w:hAnsi="Times New Roman" w:cs="Times New Roman"/>
          <w:color w:val="auto"/>
          <w:sz w:val="24"/>
          <w:highlight w:val="none"/>
        </w:rPr>
      </w:pPr>
    </w:p>
    <w:p w14:paraId="30B709CE">
      <w:pPr>
        <w:pageBreakBefore w:val="0"/>
        <w:kinsoku/>
        <w:wordWrap w:val="0"/>
        <w:bidi w:val="0"/>
        <w:spacing w:line="400" w:lineRule="atLeast"/>
        <w:rPr>
          <w:rFonts w:hint="default" w:ascii="Times New Roman" w:hAnsi="Times New Roman" w:cs="Times New Roman"/>
          <w:color w:val="auto"/>
          <w:sz w:val="24"/>
          <w:highlight w:val="none"/>
        </w:rPr>
      </w:pPr>
    </w:p>
    <w:p w14:paraId="4281545E">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担保人名称：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2B9C3CD6">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p>
    <w:p w14:paraId="37D96521">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p>
    <w:p w14:paraId="4D2FC985">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r>
        <w:rPr>
          <w:rFonts w:hint="default" w:ascii="Times New Roman" w:hAnsi="Times New Roman" w:cs="Times New Roman"/>
          <w:color w:val="auto"/>
          <w:sz w:val="24"/>
          <w:highlight w:val="none"/>
          <w:u w:val="single"/>
        </w:rPr>
        <w:tab/>
      </w:r>
    </w:p>
    <w:p w14:paraId="61FB1DA8">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6680E0F">
      <w:pPr>
        <w:pageBreakBefore w:val="0"/>
        <w:kinsoku/>
        <w:wordWrap w:val="0"/>
        <w:bidi w:val="0"/>
        <w:spacing w:line="400" w:lineRule="atLeast"/>
        <w:ind w:firstLine="3496" w:firstLineChars="145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4D335D6">
      <w:pPr>
        <w:pageBreakBefore w:val="0"/>
        <w:kinsoku/>
        <w:wordWrap w:val="0"/>
        <w:bidi w:val="0"/>
        <w:spacing w:line="400" w:lineRule="atLeast"/>
        <w:ind w:firstLine="4216" w:firstLineChars="1757"/>
        <w:jc w:val="righ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3A844DC5">
      <w:pPr>
        <w:pageBreakBefore w:val="0"/>
        <w:kinsoku/>
        <w:wordWrap w:val="0"/>
        <w:bidi w:val="0"/>
        <w:spacing w:line="400" w:lineRule="atLeast"/>
        <w:rPr>
          <w:rFonts w:hint="default" w:ascii="Times New Roman" w:hAnsi="Times New Roman" w:cs="Times New Roman"/>
          <w:color w:val="auto"/>
          <w:sz w:val="24"/>
          <w:highlight w:val="none"/>
        </w:rPr>
      </w:pPr>
    </w:p>
    <w:p w14:paraId="2FCEDF54">
      <w:pPr>
        <w:pageBreakBefore w:val="0"/>
        <w:kinsoku/>
        <w:wordWrap w:val="0"/>
        <w:bidi w:val="0"/>
        <w:spacing w:line="400" w:lineRule="atLeast"/>
        <w:rPr>
          <w:rFonts w:hint="default" w:ascii="Times New Roman" w:hAnsi="Times New Roman" w:eastAsia="黑体" w:cs="Times New Roman"/>
          <w:color w:val="auto"/>
          <w:sz w:val="24"/>
          <w:highlight w:val="none"/>
        </w:rPr>
      </w:pPr>
    </w:p>
    <w:p w14:paraId="266F3195">
      <w:pPr>
        <w:pStyle w:val="6"/>
        <w:pageBreakBefore w:val="0"/>
        <w:kinsoku/>
        <w:wordWrap w:val="0"/>
        <w:bidi w:val="0"/>
        <w:spacing w:before="0" w:after="0" w:line="380" w:lineRule="atLeast"/>
        <w:jc w:val="both"/>
        <w:outlineLvl w:val="3"/>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520" w:name="_Toc21835"/>
      <w:bookmarkStart w:id="1521" w:name="_Toc18852"/>
      <w:bookmarkStart w:id="1522" w:name="_Toc234833238"/>
      <w:bookmarkStart w:id="1523" w:name="_Toc24417"/>
      <w:r>
        <w:rPr>
          <w:rFonts w:hint="default" w:ascii="Times New Roman" w:hAnsi="Times New Roman" w:eastAsia="黑体" w:cs="Times New Roman"/>
          <w:b w:val="0"/>
          <w:i w:val="0"/>
          <w:iCs/>
          <w:color w:val="auto"/>
          <w:sz w:val="24"/>
          <w:szCs w:val="24"/>
          <w:highlight w:val="none"/>
        </w:rPr>
        <w:t>附件八</w:t>
      </w:r>
      <w:r>
        <w:rPr>
          <w:rFonts w:hint="default" w:ascii="Times New Roman" w:hAnsi="Times New Roman" w:eastAsia="黑体" w:cs="Times New Roman"/>
          <w:b w:val="0"/>
          <w:i w:val="0"/>
          <w:iCs/>
          <w:color w:val="auto"/>
          <w:sz w:val="24"/>
          <w:szCs w:val="24"/>
          <w:highlight w:val="none"/>
          <w:lang w:eastAsia="zh-CN"/>
        </w:rPr>
        <w:t xml:space="preserve"> </w:t>
      </w:r>
      <w:r>
        <w:rPr>
          <w:rFonts w:hint="default" w:ascii="Times New Roman" w:hAnsi="Times New Roman" w:eastAsia="黑体" w:cs="Times New Roman"/>
          <w:b w:val="0"/>
          <w:i w:val="0"/>
          <w:iCs/>
          <w:color w:val="auto"/>
          <w:sz w:val="24"/>
          <w:szCs w:val="24"/>
          <w:highlight w:val="none"/>
        </w:rPr>
        <w:t>工程资金监管协议格式</w:t>
      </w:r>
      <w:bookmarkEnd w:id="1520"/>
      <w:bookmarkEnd w:id="1521"/>
      <w:bookmarkEnd w:id="1522"/>
      <w:bookmarkEnd w:id="1523"/>
    </w:p>
    <w:p w14:paraId="6E31E48B">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（发包人与承包人签订合同协议书时应与发包人指定的银行签署工程资金监管协议，工程资金监管协议内容在保证本项目资金有效监管的前提下由三方共同商定）</w:t>
      </w:r>
    </w:p>
    <w:p w14:paraId="10662783">
      <w:pPr>
        <w:pageBreakBefore w:val="0"/>
        <w:kinsoku/>
        <w:wordWrap w:val="0"/>
        <w:bidi w:val="0"/>
        <w:spacing w:line="380" w:lineRule="atLeast"/>
        <w:rPr>
          <w:rFonts w:hint="default" w:ascii="Times New Roman" w:hAnsi="Times New Roman" w:eastAsia="黑体" w:cs="Times New Roman"/>
          <w:color w:val="auto"/>
          <w:sz w:val="24"/>
          <w:highlight w:val="none"/>
        </w:rPr>
      </w:pPr>
    </w:p>
    <w:p w14:paraId="504CE6D2">
      <w:pPr>
        <w:pageBreakBefore w:val="0"/>
        <w:kinsoku/>
        <w:wordWrap w:val="0"/>
        <w:bidi w:val="0"/>
        <w:spacing w:line="38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工程资金监管协议</w:t>
      </w:r>
    </w:p>
    <w:p w14:paraId="7CBC1821">
      <w:pPr>
        <w:pageBreakBefore w:val="0"/>
        <w:kinsoku/>
        <w:wordWrap w:val="0"/>
        <w:bidi w:val="0"/>
        <w:spacing w:line="380" w:lineRule="atLeast"/>
        <w:jc w:val="center"/>
        <w:rPr>
          <w:rFonts w:hint="default" w:ascii="Times New Roman" w:hAnsi="Times New Roman" w:eastAsia="黑体" w:cs="Times New Roman"/>
          <w:color w:val="auto"/>
          <w:sz w:val="28"/>
          <w:szCs w:val="28"/>
          <w:highlight w:val="none"/>
        </w:rPr>
      </w:pPr>
    </w:p>
    <w:p w14:paraId="13DB93F1">
      <w:pPr>
        <w:pageBreakBefore w:val="0"/>
        <w:kinsoku/>
        <w:wordWrap w:val="0"/>
        <w:bidi w:val="0"/>
        <w:spacing w:line="380" w:lineRule="atLeast"/>
        <w:rPr>
          <w:rFonts w:hint="default" w:ascii="Times New Roman" w:hAnsi="Times New Roman" w:cs="Times New Roman"/>
          <w:color w:val="auto"/>
          <w:sz w:val="24"/>
          <w:highlight w:val="none"/>
        </w:rPr>
      </w:pPr>
      <w:bookmarkStart w:id="1524" w:name="_Toc234833239"/>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甲方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bookmarkEnd w:id="1524"/>
    </w:p>
    <w:p w14:paraId="1DD56B80">
      <w:pPr>
        <w:pageBreakBefore w:val="0"/>
        <w:kinsoku/>
        <w:wordWrap w:val="0"/>
        <w:bidi w:val="0"/>
        <w:spacing w:line="38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乙方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p>
    <w:p w14:paraId="335A2157">
      <w:pPr>
        <w:pageBreakBefore w:val="0"/>
        <w:kinsoku/>
        <w:wordWrap w:val="0"/>
        <w:bidi w:val="0"/>
        <w:spacing w:line="38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经办银行：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丙方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p>
    <w:p w14:paraId="09052958">
      <w:pPr>
        <w:pageBreakBefore w:val="0"/>
        <w:kinsoku/>
        <w:wordWrap w:val="0"/>
        <w:bidi w:val="0"/>
        <w:spacing w:line="380" w:lineRule="atLeast"/>
        <w:jc w:val="left"/>
        <w:rPr>
          <w:rFonts w:hint="default" w:ascii="Times New Roman" w:hAnsi="Times New Roman" w:cs="Times New Roman"/>
          <w:color w:val="auto"/>
          <w:sz w:val="24"/>
          <w:highlight w:val="none"/>
        </w:rPr>
      </w:pPr>
    </w:p>
    <w:p w14:paraId="3D2AD694">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为了促进</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（项目名称）的顺利实施，管好用好建设资金，确保工程资金专款专用，同时为承包人提供便捷有效的银行业务服务，根据</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（项目名称）合同条款有关规定，经甲、乙、丙三方协商，达成协议如下：</w:t>
      </w:r>
    </w:p>
    <w:p w14:paraId="722460D7">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资金管理的内容</w:t>
      </w:r>
    </w:p>
    <w:p w14:paraId="0FEB7E11">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（1）乙方为完成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（项目名称）工程成立的项目经理部在丙方开设基本结算户；</w:t>
      </w:r>
    </w:p>
    <w:p w14:paraId="30B16078">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（2）甲方应按合同规定将工程款汇入乙方在丙方开设的账户；</w:t>
      </w:r>
    </w:p>
    <w:p w14:paraId="4C745CCD">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（3）乙方应将流动资金及甲方所拨付资金专项用于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p>
    <w:p w14:paraId="4ED88207">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（4）丙方应为乙方提供便捷有效的银行业务服务，并接受甲方委托对乙方在丙方开设的基本结算户资金使用情况进行监督。</w:t>
      </w:r>
    </w:p>
    <w:p w14:paraId="3F0F602E">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 甲方的权责</w:t>
      </w:r>
    </w:p>
    <w:p w14:paraId="3F551000">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（1）按照</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（项目名称）合同有关条款规定的时间和方式，向乙方支付工程款；</w:t>
      </w:r>
    </w:p>
    <w:p w14:paraId="02E98D25">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（2）在发现乙方将本项目资金挪用、转移时，甲方有权中止工程支付，直至乙方改正为止；</w:t>
      </w:r>
    </w:p>
    <w:p w14:paraId="06C47B96">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（3）不定期审查丙方对乙方的资金使用监督情况，如丙方不能履行其责任，甲方有权随时终止本协议；</w:t>
      </w:r>
    </w:p>
    <w:p w14:paraId="74A38BF2">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（4）在乙、丙双方发生争议时，甲方应负责协调、解决。</w:t>
      </w:r>
    </w:p>
    <w:p w14:paraId="08F7C078">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乙方的权责</w:t>
      </w:r>
    </w:p>
    <w:p w14:paraId="634FECA3">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（1）项目经理部成立以后，乙方应尽快在丙方开设基本结算户；</w:t>
      </w:r>
    </w:p>
    <w:p w14:paraId="1C95E0DA">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（2）确保本项目资金专款专用，不发生挪用、转移资金的现象；保证不通过权益转让、抵押、担保承担债务等任何其他方式使用基本结算户的资金；</w:t>
      </w:r>
    </w:p>
    <w:p w14:paraId="17993F09">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（3）办理材料、设备等采购业务金额在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万元以上的，应出示购货合同、协议和发票；在办理总额超过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万元以上的采购业务时，应将合同、协议和发票复印件送丙方备案；购买应急材料、设备时可先办理支付手续，但事后必须补备有关资料；</w:t>
      </w:r>
    </w:p>
    <w:p w14:paraId="022A9C86">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（4）用银行转账支票办理支付款项时，必须将转账支票送交丙方，由丙方负责办理支票转付手续；</w:t>
      </w:r>
    </w:p>
    <w:p w14:paraId="3A90C807">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（5）向分包单位支付工程进度款时，应附甲方批准分包的文件；</w:t>
      </w:r>
    </w:p>
    <w:p w14:paraId="7D5DD901">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（6）向上级单位缴纳管理费、机械设备及周转材料租赁摊销费等款项时，应附上级单位出具的转账通知等有关资料，以确保资金专款专用。</w:t>
      </w:r>
    </w:p>
    <w:p w14:paraId="53F5DA16">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丙方的权责</w:t>
      </w:r>
    </w:p>
    <w:p w14:paraId="30B7BAF1">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（1）成立</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（项目名称）工程资金管理服务小组，明确业务流程，提高工作效率，杜绝</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压票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现象；</w:t>
      </w:r>
    </w:p>
    <w:p w14:paraId="2723026C">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pacing w:val="-6"/>
          <w:sz w:val="24"/>
          <w:highlight w:val="none"/>
        </w:rPr>
        <w:t>根据乙方提供的购货合同、协议和发票，检查其所购材料、设备是否用于</w:t>
      </w:r>
      <w:r>
        <w:rPr>
          <w:rFonts w:hint="default" w:ascii="Times New Roman" w:hAnsi="Times New Roman" w:cs="Times New Roman"/>
          <w:color w:val="auto"/>
          <w:spacing w:val="-6"/>
          <w:sz w:val="24"/>
          <w:highlight w:val="none"/>
          <w:u w:val="single"/>
        </w:rPr>
        <w:t xml:space="preserve">   </w:t>
      </w:r>
      <w:r>
        <w:rPr>
          <w:rFonts w:hint="default" w:ascii="Times New Roman" w:hAnsi="Times New Roman" w:cs="Times New Roman"/>
          <w:color w:val="auto"/>
          <w:sz w:val="24"/>
          <w:highlight w:val="none"/>
        </w:rPr>
        <w:t>（项目名称）工程建设，对本标段以外的购货款项，有权拒绝办理，并及时报告甲方；</w:t>
      </w:r>
    </w:p>
    <w:p w14:paraId="08B5C85F">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（3）根据乙方与分包单位签订的合同及支付文件，检查其支付款项是否符合有关条件，向分包单位以外单位的支付有权拒绝办理，并及时报告甲方；</w:t>
      </w:r>
    </w:p>
    <w:p w14:paraId="37A6FE23">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4EF1F19C">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（5）定期将乙方前一个周期的支付情况，整理后书面报送甲方；乙方复印备案的材料一并送甲方。</w:t>
      </w:r>
    </w:p>
    <w:p w14:paraId="16D6EBF4">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 甲、乙、丙三方都应履行保密责任，不得将其他两方的业务情况透露给三方以外的其他单位或个人。</w:t>
      </w:r>
    </w:p>
    <w:p w14:paraId="4CC5F732">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 本协议有效期自乙方在丙方开户起，至工程交工验收甲方向乙方颁发交工验收证书后结束。</w:t>
      </w:r>
    </w:p>
    <w:p w14:paraId="44075BAF">
      <w:pPr>
        <w:pageBreakBefore w:val="0"/>
        <w:kinsoku/>
        <w:wordWrap w:val="0"/>
        <w:bidi w:val="0"/>
        <w:spacing w:line="380" w:lineRule="atLeast"/>
        <w:ind w:firstLine="480" w:firstLineChars="200"/>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 本协议未尽事宜，由甲方牵头，三方协商解决。</w:t>
      </w:r>
    </w:p>
    <w:p w14:paraId="18EA7CB9">
      <w:pPr>
        <w:pageBreakBefore w:val="0"/>
        <w:kinsoku/>
        <w:wordWrap w:val="0"/>
        <w:bidi w:val="0"/>
        <w:spacing w:line="38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 本协议正本三份、副本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份。合同三方各执正本一份、副本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份，当正本与副本内容不一致时，以正本为准。</w:t>
      </w:r>
    </w:p>
    <w:p w14:paraId="2A2DB9FB">
      <w:pPr>
        <w:pageBreakBefore w:val="0"/>
        <w:kinsoku/>
        <w:wordWrap w:val="0"/>
        <w:bidi w:val="0"/>
        <w:spacing w:line="340" w:lineRule="atLeast"/>
        <w:outlineLvl w:val="9"/>
        <w:rPr>
          <w:rFonts w:hint="default" w:ascii="Times New Roman" w:hAnsi="Times New Roman" w:cs="Times New Roman"/>
          <w:b/>
          <w:color w:val="auto"/>
          <w:sz w:val="24"/>
          <w:highlight w:val="none"/>
        </w:rPr>
      </w:pPr>
    </w:p>
    <w:p w14:paraId="2091F5DA">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（盖单位章）    </w:t>
      </w:r>
    </w:p>
    <w:p w14:paraId="3CEE4CC0">
      <w:pPr>
        <w:pageBreakBefore w:val="0"/>
        <w:kinsoku/>
        <w:wordWrap w:val="0"/>
        <w:bidi w:val="0"/>
        <w:spacing w:line="340" w:lineRule="atLeast"/>
        <w:outlineLvl w:val="9"/>
        <w:rPr>
          <w:rFonts w:hint="default" w:ascii="Times New Roman" w:hAnsi="Times New Roman" w:cs="Times New Roman"/>
          <w:color w:val="auto"/>
          <w:sz w:val="24"/>
          <w:highlight w:val="none"/>
        </w:rPr>
      </w:pPr>
      <w:bookmarkStart w:id="1525" w:name="_Toc25487"/>
      <w:bookmarkStart w:id="1526" w:name="_Toc27026"/>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bookmarkEnd w:id="1525"/>
      <w:bookmarkEnd w:id="1526"/>
      <w:r>
        <w:rPr>
          <w:rFonts w:hint="default" w:ascii="Times New Roman" w:hAnsi="Times New Roman" w:cs="Times New Roman"/>
          <w:color w:val="auto"/>
          <w:sz w:val="24"/>
          <w:highlight w:val="none"/>
        </w:rPr>
        <w:t xml:space="preserve">  </w:t>
      </w:r>
    </w:p>
    <w:p w14:paraId="42D786FC">
      <w:pPr>
        <w:pageBreakBefore w:val="0"/>
        <w:kinsoku/>
        <w:wordWrap w:val="0"/>
        <w:bidi w:val="0"/>
        <w:spacing w:line="340" w:lineRule="atLeast"/>
        <w:ind w:firstLine="1920" w:firstLineChars="800"/>
        <w:rPr>
          <w:rFonts w:hint="default" w:ascii="Times New Roman" w:hAnsi="Times New Roman" w:cs="Times New Roman"/>
          <w:b/>
          <w:bCs/>
          <w:color w:val="auto"/>
          <w:sz w:val="4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1C28BC1D">
      <w:pPr>
        <w:pageBreakBefore w:val="0"/>
        <w:kinsoku/>
        <w:wordWrap w:val="0"/>
        <w:bidi w:val="0"/>
        <w:spacing w:line="340" w:lineRule="atLeast"/>
        <w:rPr>
          <w:rFonts w:hint="default" w:ascii="Times New Roman" w:hAnsi="Times New Roman" w:cs="Times New Roman"/>
          <w:color w:val="auto"/>
          <w:sz w:val="24"/>
          <w:highlight w:val="none"/>
        </w:rPr>
      </w:pPr>
    </w:p>
    <w:p w14:paraId="1414C8CA">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（盖单位章）    </w:t>
      </w:r>
    </w:p>
    <w:p w14:paraId="30AE40FF">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（签字）  </w:t>
      </w:r>
    </w:p>
    <w:p w14:paraId="00458D6D">
      <w:pPr>
        <w:pageBreakBefore w:val="0"/>
        <w:kinsoku/>
        <w:wordWrap w:val="0"/>
        <w:bidi w:val="0"/>
        <w:spacing w:line="340" w:lineRule="atLeast"/>
        <w:ind w:firstLine="1920" w:firstLineChars="800"/>
        <w:rPr>
          <w:rFonts w:hint="default" w:ascii="Times New Roman" w:hAnsi="Times New Roman" w:cs="Times New Roman"/>
          <w:b/>
          <w:bCs/>
          <w:color w:val="auto"/>
          <w:sz w:val="4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7A7D099A">
      <w:pPr>
        <w:pageBreakBefore w:val="0"/>
        <w:kinsoku/>
        <w:wordWrap w:val="0"/>
        <w:bidi w:val="0"/>
        <w:spacing w:line="340" w:lineRule="atLeast"/>
        <w:rPr>
          <w:rFonts w:hint="default" w:ascii="Times New Roman" w:hAnsi="Times New Roman" w:cs="Times New Roman"/>
          <w:color w:val="auto"/>
          <w:sz w:val="24"/>
          <w:highlight w:val="none"/>
        </w:rPr>
      </w:pPr>
    </w:p>
    <w:p w14:paraId="785C2B32">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经办银行：</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（盖单位章）    </w:t>
      </w:r>
    </w:p>
    <w:p w14:paraId="3CFEF524">
      <w:pPr>
        <w:pageBreakBefore w:val="0"/>
        <w:kinsoku/>
        <w:wordWrap w:val="0"/>
        <w:bidi w:val="0"/>
        <w:spacing w:line="34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（签字）  </w:t>
      </w:r>
    </w:p>
    <w:p w14:paraId="3F2B6691">
      <w:pPr>
        <w:pageBreakBefore w:val="0"/>
        <w:kinsoku/>
        <w:wordWrap w:val="0"/>
        <w:bidi w:val="0"/>
        <w:spacing w:line="340" w:lineRule="atLeast"/>
        <w:ind w:firstLine="1920" w:firstLineChars="800"/>
        <w:rPr>
          <w:rFonts w:hint="default" w:ascii="Times New Roman" w:hAnsi="Times New Roman" w:cs="Times New Roman"/>
          <w:color w:val="auto"/>
          <w:sz w:val="24"/>
          <w:highlight w:val="none"/>
        </w:rPr>
        <w:sectPr>
          <w:headerReference r:id="rId31" w:type="default"/>
          <w:footerReference r:id="rId32"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  </w:t>
      </w:r>
    </w:p>
    <w:p w14:paraId="07D6095F">
      <w:pPr>
        <w:pageBreakBefore w:val="0"/>
        <w:kinsoku/>
        <w:wordWrap w:val="0"/>
        <w:bidi w:val="0"/>
        <w:spacing w:line="340" w:lineRule="atLeast"/>
        <w:rPr>
          <w:rFonts w:hint="default" w:ascii="Times New Roman" w:hAnsi="Times New Roman" w:cs="Times New Roman"/>
          <w:b/>
          <w:bCs/>
          <w:color w:val="auto"/>
          <w:sz w:val="44"/>
          <w:highlight w:val="none"/>
        </w:rPr>
      </w:pPr>
    </w:p>
    <w:p w14:paraId="31670C83">
      <w:pPr>
        <w:pageBreakBefore w:val="0"/>
        <w:kinsoku/>
        <w:wordWrap w:val="0"/>
        <w:bidi w:val="0"/>
        <w:spacing w:line="400" w:lineRule="exact"/>
        <w:rPr>
          <w:rFonts w:hint="default" w:ascii="Times New Roman" w:hAnsi="Times New Roman" w:cs="Times New Roman"/>
          <w:color w:val="auto"/>
          <w:sz w:val="24"/>
          <w:highlight w:val="none"/>
        </w:rPr>
      </w:pPr>
    </w:p>
    <w:p w14:paraId="4698DAD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5B4446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813B16">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513AE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E7342B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2CDB162">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56"/>
          <w:szCs w:val="56"/>
          <w:highlight w:val="none"/>
        </w:rPr>
      </w:pPr>
    </w:p>
    <w:p w14:paraId="3F4884D9">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56"/>
          <w:szCs w:val="56"/>
          <w:highlight w:val="none"/>
        </w:rPr>
      </w:pPr>
    </w:p>
    <w:p w14:paraId="2E6FB1D1">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56"/>
          <w:szCs w:val="56"/>
          <w:highlight w:val="none"/>
        </w:rPr>
      </w:pPr>
    </w:p>
    <w:p w14:paraId="34A12DB1">
      <w:pPr>
        <w:pageBreakBefore w:val="0"/>
        <w:kinsoku/>
        <w:wordWrap w:val="0"/>
        <w:bidi w:val="0"/>
        <w:spacing w:before="0" w:after="480" w:afterLines="200" w:line="380" w:lineRule="atLeast"/>
        <w:ind w:firstLine="1680" w:firstLineChars="300"/>
        <w:jc w:val="both"/>
        <w:outlineLvl w:val="1"/>
        <w:rPr>
          <w:rFonts w:hint="default" w:ascii="Times New Roman" w:hAnsi="Times New Roman" w:eastAsia="黑体" w:cs="Times New Roman"/>
          <w:b w:val="0"/>
          <w:color w:val="auto"/>
          <w:sz w:val="32"/>
          <w:szCs w:val="32"/>
          <w:highlight w:val="none"/>
        </w:rPr>
        <w:sectPr>
          <w:headerReference r:id="rId33" w:type="default"/>
          <w:footerReference r:id="rId34"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527" w:name="_Toc15757"/>
      <w:bookmarkStart w:id="1528" w:name="_Toc234833240"/>
      <w:bookmarkStart w:id="1529" w:name="_Toc234835927"/>
      <w:bookmarkStart w:id="1530" w:name="_Toc28723"/>
      <w:bookmarkStart w:id="1531" w:name="_Toc14742"/>
      <w:bookmarkStart w:id="1532" w:name="_Toc3845"/>
      <w:r>
        <w:rPr>
          <w:rFonts w:hint="default" w:ascii="Times New Roman" w:hAnsi="Times New Roman" w:eastAsia="黑体" w:cs="Times New Roman"/>
          <w:color w:val="auto"/>
          <w:sz w:val="56"/>
          <w:szCs w:val="56"/>
          <w:highlight w:val="none"/>
        </w:rPr>
        <w:t>第五章</w:t>
      </w:r>
      <w:r>
        <w:rPr>
          <w:rFonts w:hint="eastAsia" w:eastAsia="黑体" w:cs="Times New Roman"/>
          <w:color w:val="auto"/>
          <w:sz w:val="56"/>
          <w:szCs w:val="56"/>
          <w:highlight w:val="none"/>
          <w:lang w:val="en-US" w:eastAsia="zh-CN"/>
        </w:rPr>
        <w:t xml:space="preserve"> </w:t>
      </w:r>
      <w:r>
        <w:rPr>
          <w:rFonts w:hint="default" w:ascii="Times New Roman" w:hAnsi="Times New Roman" w:eastAsia="黑体" w:cs="Times New Roman"/>
          <w:color w:val="auto"/>
          <w:sz w:val="56"/>
          <w:szCs w:val="56"/>
          <w:highlight w:val="none"/>
        </w:rPr>
        <w:t>工程量清单</w:t>
      </w:r>
      <w:bookmarkEnd w:id="1527"/>
      <w:bookmarkEnd w:id="1528"/>
      <w:bookmarkEnd w:id="1529"/>
      <w:bookmarkEnd w:id="1530"/>
      <w:bookmarkStart w:id="1533" w:name="_Toc234833241"/>
      <w:r>
        <w:rPr>
          <w:rStyle w:val="48"/>
          <w:rFonts w:hint="default" w:ascii="Times New Roman" w:hAnsi="Times New Roman" w:eastAsia="黑体" w:cs="Times New Roman"/>
          <w:b w:val="0"/>
          <w:color w:val="auto"/>
          <w:sz w:val="56"/>
          <w:szCs w:val="56"/>
          <w:highlight w:val="none"/>
        </w:rPr>
        <w:footnoteReference w:id="44"/>
      </w:r>
      <w:bookmarkEnd w:id="1531"/>
      <w:bookmarkEnd w:id="1532"/>
    </w:p>
    <w:p w14:paraId="25F2D036">
      <w:pPr>
        <w:pageBreakBefore w:val="0"/>
        <w:kinsoku/>
        <w:wordWrap w:val="0"/>
        <w:bidi w:val="0"/>
        <w:spacing w:before="0" w:after="480" w:afterLines="200" w:line="380" w:lineRule="atLeast"/>
        <w:jc w:val="center"/>
        <w:outlineLvl w:val="9"/>
        <w:rPr>
          <w:rFonts w:hint="default" w:ascii="Times New Roman" w:hAnsi="Times New Roman" w:eastAsia="黑体" w:cs="Times New Roman"/>
          <w:b w:val="0"/>
          <w:color w:val="auto"/>
          <w:sz w:val="32"/>
          <w:szCs w:val="32"/>
          <w:highlight w:val="none"/>
        </w:rPr>
      </w:pPr>
      <w:bookmarkStart w:id="1534" w:name="_Toc3537"/>
      <w:bookmarkStart w:id="1535" w:name="_Toc2221"/>
      <w:bookmarkStart w:id="1536" w:name="_Toc9304"/>
      <w:r>
        <w:rPr>
          <w:rFonts w:hint="default" w:ascii="Times New Roman" w:hAnsi="Times New Roman" w:eastAsia="黑体" w:cs="Times New Roman"/>
          <w:b w:val="0"/>
          <w:color w:val="auto"/>
          <w:sz w:val="32"/>
          <w:szCs w:val="32"/>
          <w:highlight w:val="none"/>
        </w:rPr>
        <w:t>第五章</w:t>
      </w:r>
      <w:r>
        <w:rPr>
          <w:rFonts w:hint="eastAsia" w:eastAsia="黑体" w:cs="Times New Roman"/>
          <w:b w:val="0"/>
          <w:color w:val="auto"/>
          <w:sz w:val="32"/>
          <w:szCs w:val="32"/>
          <w:highlight w:val="none"/>
          <w:lang w:val="en-US" w:eastAsia="zh-CN"/>
        </w:rPr>
        <w:t xml:space="preserve"> </w:t>
      </w:r>
      <w:r>
        <w:rPr>
          <w:rFonts w:hint="default" w:ascii="Times New Roman" w:hAnsi="Times New Roman" w:eastAsia="黑体" w:cs="Times New Roman"/>
          <w:b w:val="0"/>
          <w:color w:val="auto"/>
          <w:sz w:val="32"/>
          <w:szCs w:val="32"/>
          <w:highlight w:val="none"/>
        </w:rPr>
        <w:t>工程量清单</w:t>
      </w:r>
      <w:bookmarkEnd w:id="1533"/>
      <w:bookmarkEnd w:id="1534"/>
      <w:bookmarkEnd w:id="1535"/>
      <w:bookmarkEnd w:id="1536"/>
    </w:p>
    <w:p w14:paraId="74AA9323">
      <w:pPr>
        <w:pStyle w:val="5"/>
        <w:pageBreakBefore w:val="0"/>
        <w:kinsoku/>
        <w:wordWrap w:val="0"/>
        <w:bidi w:val="0"/>
        <w:spacing w:before="240" w:beforeLines="100" w:after="240" w:afterLines="100" w:line="380" w:lineRule="atLeast"/>
        <w:jc w:val="both"/>
        <w:outlineLvl w:val="2"/>
        <w:rPr>
          <w:rFonts w:hint="default" w:ascii="Times New Roman" w:hAnsi="Times New Roman" w:eastAsia="黑体" w:cs="Times New Roman"/>
          <w:b w:val="0"/>
          <w:color w:val="auto"/>
          <w:sz w:val="28"/>
          <w:szCs w:val="28"/>
          <w:highlight w:val="none"/>
        </w:rPr>
      </w:pPr>
      <w:bookmarkStart w:id="1537" w:name="_Toc32385"/>
      <w:bookmarkStart w:id="1538" w:name="_Toc30480"/>
      <w:bookmarkStart w:id="1539" w:name="_Toc7467"/>
      <w:bookmarkStart w:id="1540" w:name="_Toc27094"/>
      <w:bookmarkStart w:id="1541" w:name="_Toc21336"/>
      <w:bookmarkStart w:id="1542" w:name="_Toc234833242"/>
      <w:bookmarkStart w:id="1543" w:name="_Toc30213"/>
      <w:bookmarkStart w:id="1544" w:name="_Toc234833246"/>
      <w:bookmarkStart w:id="1545" w:name="_Toc14229"/>
      <w:bookmarkStart w:id="1546" w:name="_Toc18734"/>
      <w:r>
        <w:rPr>
          <w:rFonts w:hint="default" w:ascii="Times New Roman" w:hAnsi="Times New Roman" w:eastAsia="黑体" w:cs="Times New Roman"/>
          <w:b w:val="0"/>
          <w:color w:val="auto"/>
          <w:sz w:val="28"/>
          <w:szCs w:val="28"/>
          <w:highlight w:val="none"/>
        </w:rPr>
        <w:t>1. 工程量清单说明</w:t>
      </w:r>
      <w:bookmarkEnd w:id="1537"/>
      <w:bookmarkEnd w:id="1538"/>
      <w:bookmarkEnd w:id="1539"/>
      <w:bookmarkEnd w:id="1540"/>
      <w:bookmarkEnd w:id="1541"/>
      <w:bookmarkEnd w:id="1542"/>
    </w:p>
    <w:p w14:paraId="7DF73EB9">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14FD2F4A">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 本工程量清单应与招标文件中的投标人须知、通用合同条款、专用合同条款、工程量清单计量规则、技术规范及图纸等一起阅读和理解。</w:t>
      </w:r>
    </w:p>
    <w:p w14:paraId="6CD07294">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87DBCF5">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 工程量清单各章是按第八章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工程量清单计量规则</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、第七章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技术规范</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的相应章次编号的，因此，工程量清单中各章的工程子目的范围与计量等应与</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工程量清单计量规则</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 xml:space="preserve"> </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技术规范</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相应章节的范围、计量与支付条款结合起来理解或解释。</w:t>
      </w:r>
    </w:p>
    <w:p w14:paraId="43318341">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 对作业和材料的一般说明或规定，未重复写入工程量清单内，在给工程量清单各子目标价前，应参阅第七章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技术规范</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的有关内容。</w:t>
      </w:r>
    </w:p>
    <w:p w14:paraId="4416225F">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 工程量清单中所列工程量的变动，丝毫不会降低或影响合同条款的效力，也不免除承包人按规定的标准进行施工和修复缺陷的责任。</w:t>
      </w:r>
    </w:p>
    <w:p w14:paraId="248D3D8F">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 图纸中所列的工程数量表及数量汇总表仅是提供资料，不是工程量清单的外延。当图纸与工程量清单所列数量不一致时，以工程量清单所列数量作为报价的依据。</w:t>
      </w:r>
    </w:p>
    <w:p w14:paraId="6B1344A4">
      <w:pPr>
        <w:pStyle w:val="5"/>
        <w:pageBreakBefore w:val="0"/>
        <w:kinsoku/>
        <w:wordWrap w:val="0"/>
        <w:bidi w:val="0"/>
        <w:spacing w:before="240" w:beforeLines="100" w:after="240" w:afterLines="100" w:line="380" w:lineRule="atLeast"/>
        <w:jc w:val="both"/>
        <w:outlineLvl w:val="2"/>
        <w:rPr>
          <w:rFonts w:hint="default" w:ascii="Times New Roman" w:hAnsi="Times New Roman" w:eastAsia="黑体" w:cs="Times New Roman"/>
          <w:b w:val="0"/>
          <w:color w:val="auto"/>
          <w:sz w:val="28"/>
          <w:szCs w:val="28"/>
          <w:highlight w:val="none"/>
          <w:lang w:val="en-US" w:eastAsia="zh-CN"/>
        </w:rPr>
      </w:pPr>
      <w:bookmarkStart w:id="1547" w:name="_Toc16502"/>
      <w:bookmarkStart w:id="1548" w:name="_Toc29747"/>
      <w:bookmarkStart w:id="1549" w:name="_Toc234833243"/>
      <w:bookmarkStart w:id="1550" w:name="_Toc28425"/>
      <w:bookmarkStart w:id="1551" w:name="_Toc26778"/>
      <w:bookmarkStart w:id="1552" w:name="_Toc31685"/>
      <w:r>
        <w:rPr>
          <w:rFonts w:hint="default" w:ascii="Times New Roman" w:hAnsi="Times New Roman" w:eastAsia="黑体" w:cs="Times New Roman"/>
          <w:b w:val="0"/>
          <w:color w:val="auto"/>
          <w:sz w:val="28"/>
          <w:szCs w:val="28"/>
          <w:highlight w:val="none"/>
          <w:lang w:val="en-US" w:eastAsia="zh-CN"/>
        </w:rPr>
        <w:t>2. 投标报价说明</w:t>
      </w:r>
      <w:bookmarkEnd w:id="1547"/>
      <w:bookmarkEnd w:id="1548"/>
      <w:bookmarkEnd w:id="1549"/>
      <w:bookmarkEnd w:id="1550"/>
      <w:bookmarkEnd w:id="1551"/>
      <w:bookmarkEnd w:id="1552"/>
    </w:p>
    <w:p w14:paraId="57C801BE">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 工程量清单中的每一子目须填入单价或价格，且只允许有一个报价。</w:t>
      </w:r>
    </w:p>
    <w:p w14:paraId="1408669A">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C5EA108">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353488D">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54BE21C6">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 承包人用于本合同工程的各类装备的提供、运输、维护、拆卸、拼装等支付的费用，已包括在工程量清单的单价与总额价之中。</w:t>
      </w:r>
    </w:p>
    <w:p w14:paraId="63E7945B">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 工程量清单中各项金额均以人民币（元）结算。</w:t>
      </w:r>
    </w:p>
    <w:p w14:paraId="4D473AD3">
      <w:pPr>
        <w:pageBreakBefore w:val="0"/>
        <w:kinsoku/>
        <w:wordWrap w:val="0"/>
        <w:bidi w:val="0"/>
        <w:spacing w:line="400" w:lineRule="atLeast"/>
        <w:ind w:firstLine="540" w:firstLineChars="2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 暂列金额（不含计日工总额）的数量及拟用子目的说明：</w:t>
      </w:r>
      <w:r>
        <w:rPr>
          <w:rFonts w:hint="default"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5B46AEC1">
      <w:pPr>
        <w:pageBreakBefore w:val="0"/>
        <w:kinsoku/>
        <w:wordWrap w:val="0"/>
        <w:bidi w:val="0"/>
        <w:spacing w:line="400" w:lineRule="atLeast"/>
        <w:ind w:firstLine="540" w:firstLineChars="225"/>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rPr>
        <w:t>2.8 暂估价的数量及拟用子目的说明：</w:t>
      </w:r>
      <w:r>
        <w:rPr>
          <w:rFonts w:hint="default" w:ascii="Times New Roman" w:hAnsi="Times New Roman" w:cs="Times New Roman"/>
          <w:color w:val="auto"/>
          <w:sz w:val="24"/>
          <w:highlight w:val="none"/>
          <w:u w:val="single"/>
        </w:rPr>
        <w:t xml:space="preserve">          </w:t>
      </w:r>
      <w:r>
        <w:rPr>
          <w:rFonts w:hint="eastAsia"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DA4166C">
      <w:pPr>
        <w:pStyle w:val="5"/>
        <w:pageBreakBefore w:val="0"/>
        <w:kinsoku/>
        <w:wordWrap w:val="0"/>
        <w:bidi w:val="0"/>
        <w:spacing w:before="240" w:beforeLines="100" w:after="240" w:afterLines="100" w:line="380" w:lineRule="atLeast"/>
        <w:jc w:val="both"/>
        <w:outlineLvl w:val="2"/>
        <w:rPr>
          <w:rFonts w:hint="default" w:ascii="Times New Roman" w:hAnsi="Times New Roman" w:eastAsia="黑体" w:cs="Times New Roman"/>
          <w:b w:val="0"/>
          <w:color w:val="auto"/>
          <w:sz w:val="28"/>
          <w:szCs w:val="28"/>
          <w:highlight w:val="none"/>
          <w:lang w:val="en-US" w:eastAsia="zh-CN"/>
        </w:rPr>
      </w:pPr>
      <w:bookmarkStart w:id="1553" w:name="_Toc19"/>
      <w:bookmarkStart w:id="1554" w:name="_Toc17693"/>
      <w:bookmarkStart w:id="1555" w:name="_Toc17259"/>
      <w:bookmarkStart w:id="1556" w:name="_Toc234833244"/>
      <w:bookmarkStart w:id="1557" w:name="_Toc3776"/>
      <w:bookmarkStart w:id="1558" w:name="_Toc6852"/>
      <w:r>
        <w:rPr>
          <w:rFonts w:hint="default" w:ascii="Times New Roman" w:hAnsi="Times New Roman" w:eastAsia="黑体" w:cs="Times New Roman"/>
          <w:b w:val="0"/>
          <w:color w:val="auto"/>
          <w:sz w:val="28"/>
          <w:szCs w:val="28"/>
          <w:highlight w:val="none"/>
          <w:lang w:val="en-US" w:eastAsia="zh-CN"/>
        </w:rPr>
        <w:t>3. 计日工说明</w:t>
      </w:r>
      <w:bookmarkEnd w:id="1553"/>
      <w:bookmarkEnd w:id="1554"/>
      <w:bookmarkEnd w:id="1555"/>
      <w:bookmarkEnd w:id="1556"/>
      <w:bookmarkEnd w:id="1557"/>
      <w:bookmarkEnd w:id="1558"/>
    </w:p>
    <w:p w14:paraId="40D52F62">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59" w:name="_Toc4285"/>
      <w:r>
        <w:rPr>
          <w:rFonts w:hint="default" w:ascii="Times New Roman" w:hAnsi="Times New Roman" w:cs="Times New Roman"/>
          <w:color w:val="auto"/>
          <w:sz w:val="24"/>
          <w:highlight w:val="none"/>
        </w:rPr>
        <w:t>3.1 总则</w:t>
      </w:r>
      <w:bookmarkEnd w:id="1559"/>
    </w:p>
    <w:p w14:paraId="11ED0BA7">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（1）本说明应参照通用合同条款第15.7款一并理解。</w:t>
      </w:r>
    </w:p>
    <w:p w14:paraId="332E422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（2）未经监理人书面指令，任何工程不得按计日工施工；接到监理人按计日工施工的书面指令，承包人也不得拒绝。</w:t>
      </w:r>
    </w:p>
    <w:p w14:paraId="244A2C99">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0FE8FD8D">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（4）计日工不调价。</w:t>
      </w:r>
    </w:p>
    <w:p w14:paraId="141FB53A">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60" w:name="_Toc20973"/>
      <w:r>
        <w:rPr>
          <w:rFonts w:hint="default" w:ascii="Times New Roman" w:hAnsi="Times New Roman" w:cs="Times New Roman"/>
          <w:color w:val="auto"/>
          <w:sz w:val="24"/>
          <w:highlight w:val="none"/>
        </w:rPr>
        <w:t>3.2 计日工劳务</w:t>
      </w:r>
      <w:bookmarkEnd w:id="1560"/>
    </w:p>
    <w:p w14:paraId="37C66B9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134A059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（2）承包人可以得到用于计日工劳务的全部工时的支付，此支付按承包人填报的</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计日工劳务单价表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所列单价计算，该单价应包括基本单价及承包人的管理费、税费、利润等所有附加费，说明如下：</w:t>
      </w:r>
    </w:p>
    <w:p w14:paraId="67332940">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 劳务基本单价包括：承包人劳务的全部直接费用，如：工资、加班费、津贴、福利费及劳动保护费等。</w:t>
      </w:r>
    </w:p>
    <w:p w14:paraId="6181D141">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 承包人的利润、管理、质检、保险、税费；易耗品的使用，水电及照明费，工作台、脚手架、临时设施费，手动机具与工具的使用及维修，以及上述各项伴随而来的费用。</w:t>
      </w:r>
    </w:p>
    <w:p w14:paraId="2798D1E5">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61" w:name="_Toc6706"/>
      <w:r>
        <w:rPr>
          <w:rFonts w:hint="default" w:ascii="Times New Roman" w:hAnsi="Times New Roman" w:cs="Times New Roman"/>
          <w:color w:val="auto"/>
          <w:sz w:val="24"/>
          <w:highlight w:val="none"/>
        </w:rPr>
        <w:t>3.3 计日工材料</w:t>
      </w:r>
      <w:bookmarkEnd w:id="1561"/>
    </w:p>
    <w:p w14:paraId="57D5BAAE">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承包人可以得到计日工使用的材料费用（上述3.2款已计入劳务费内的材料费用除外）的支付，此费用按承包人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计日工材料单价表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中所填报的单价计算，该单价应包括基本单价及承包人的管理费、税费、利润等所有附加费，说明如下：</w:t>
      </w:r>
    </w:p>
    <w:p w14:paraId="784D4256">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（1）材料基本单价按供货价加运杂费（到达承包人现场仓库）、保险费、仓库管理费以及运输损耗等计算；</w:t>
      </w:r>
    </w:p>
    <w:p w14:paraId="78A9A03B">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（2）承包人的利润、管理、质检、保险、税费及其他附加费；</w:t>
      </w:r>
    </w:p>
    <w:p w14:paraId="083EF417">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（3）从现场运至使用地点的人工费和施工机械使用费不包括在上述基本单价内。</w:t>
      </w:r>
    </w:p>
    <w:p w14:paraId="6419F4B3">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bookmarkStart w:id="1562" w:name="_Toc4756"/>
      <w:r>
        <w:rPr>
          <w:rFonts w:hint="default" w:ascii="Times New Roman" w:hAnsi="Times New Roman" w:cs="Times New Roman"/>
          <w:color w:val="auto"/>
          <w:sz w:val="24"/>
          <w:highlight w:val="none"/>
        </w:rPr>
        <w:t>3.4 计日工施工机械</w:t>
      </w:r>
      <w:bookmarkEnd w:id="1562"/>
    </w:p>
    <w:p w14:paraId="6D4860E0">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（1）承包人可以得到用于计日工作的施工机械费用的支付，该费用按承包人填报的</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计日工施工机械单价表</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153DC117">
      <w:pPr>
        <w:pageBreakBefore w:val="0"/>
        <w:kinsoku/>
        <w:wordWrap w:val="0"/>
        <w:bidi w:val="0"/>
        <w:spacing w:line="400" w:lineRule="atLeast"/>
        <w:ind w:firstLine="540" w:firstLineChars="225"/>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05D5221">
      <w:pPr>
        <w:pStyle w:val="5"/>
        <w:pageBreakBefore w:val="0"/>
        <w:kinsoku/>
        <w:wordWrap w:val="0"/>
        <w:bidi w:val="0"/>
        <w:spacing w:before="360" w:beforeLines="150" w:after="240" w:afterLines="100" w:line="380" w:lineRule="atLeast"/>
        <w:jc w:val="both"/>
        <w:outlineLvl w:val="2"/>
        <w:rPr>
          <w:rFonts w:hint="default" w:ascii="Times New Roman" w:hAnsi="Times New Roman" w:eastAsia="黑体" w:cs="Times New Roman"/>
          <w:b w:val="0"/>
          <w:color w:val="auto"/>
          <w:sz w:val="28"/>
          <w:szCs w:val="28"/>
          <w:highlight w:val="none"/>
        </w:rPr>
      </w:pPr>
      <w:bookmarkStart w:id="1563" w:name="_Toc2204"/>
      <w:bookmarkStart w:id="1564" w:name="_Toc28230"/>
      <w:bookmarkStart w:id="1565" w:name="_Toc27598"/>
      <w:bookmarkStart w:id="1566" w:name="_Toc8597"/>
      <w:bookmarkStart w:id="1567" w:name="_Toc12492"/>
      <w:bookmarkStart w:id="1568" w:name="_Toc234833245"/>
      <w:r>
        <w:rPr>
          <w:rFonts w:hint="default" w:ascii="Times New Roman" w:hAnsi="Times New Roman" w:eastAsia="黑体" w:cs="Times New Roman"/>
          <w:b w:val="0"/>
          <w:color w:val="auto"/>
          <w:sz w:val="28"/>
          <w:szCs w:val="28"/>
          <w:highlight w:val="none"/>
        </w:rPr>
        <w:t>4. 其他说明</w:t>
      </w:r>
      <w:bookmarkEnd w:id="1563"/>
      <w:bookmarkEnd w:id="1564"/>
      <w:bookmarkEnd w:id="1565"/>
      <w:bookmarkEnd w:id="1566"/>
      <w:bookmarkEnd w:id="1567"/>
      <w:bookmarkEnd w:id="1568"/>
    </w:p>
    <w:p w14:paraId="17BF6E77">
      <w:pPr>
        <w:rPr>
          <w:rFonts w:hint="eastAsia" w:eastAsia="黑体" w:cs="Times New Roman"/>
          <w:b w:val="0"/>
          <w:color w:val="auto"/>
          <w:sz w:val="28"/>
          <w:szCs w:val="28"/>
          <w:highlight w:val="none"/>
          <w:lang w:val="en-US" w:eastAsia="zh-CN"/>
        </w:rPr>
      </w:pPr>
      <w:r>
        <w:rPr>
          <w:rFonts w:hint="eastAsia" w:eastAsia="黑体" w:cs="Times New Roman"/>
          <w:b w:val="0"/>
          <w:color w:val="auto"/>
          <w:sz w:val="28"/>
          <w:szCs w:val="28"/>
          <w:highlight w:val="none"/>
          <w:lang w:val="en-US" w:eastAsia="zh-CN"/>
        </w:rPr>
        <w:t>无</w:t>
      </w:r>
    </w:p>
    <w:p w14:paraId="316D970D">
      <w:pPr>
        <w:rPr>
          <w:rFonts w:hint="default" w:ascii="Times New Roman" w:hAnsi="Times New Roman" w:eastAsia="黑体" w:cs="Times New Roman"/>
          <w:b w:val="0"/>
          <w:color w:val="auto"/>
          <w:sz w:val="28"/>
          <w:szCs w:val="28"/>
          <w:highlight w:val="none"/>
        </w:rPr>
      </w:pPr>
    </w:p>
    <w:p w14:paraId="13966896">
      <w:pPr>
        <w:pStyle w:val="5"/>
        <w:pageBreakBefore w:val="0"/>
        <w:kinsoku/>
        <w:wordWrap w:val="0"/>
        <w:bidi w:val="0"/>
        <w:spacing w:before="360" w:beforeLines="150" w:after="240" w:afterLines="100" w:line="380" w:lineRule="atLeast"/>
        <w:jc w:val="both"/>
        <w:outlineLvl w:val="2"/>
        <w:rPr>
          <w:rFonts w:hint="eastAsia" w:ascii="Times New Roman" w:hAnsi="Times New Roman" w:eastAsia="黑体" w:cs="Times New Roman"/>
          <w:b w:val="0"/>
          <w:color w:val="auto"/>
          <w:sz w:val="28"/>
          <w:szCs w:val="28"/>
          <w:highlight w:val="none"/>
          <w:lang w:val="en-US" w:eastAsia="zh-CN"/>
        </w:rPr>
      </w:pPr>
      <w:bookmarkStart w:id="1569" w:name="_Toc26230"/>
      <w:bookmarkStart w:id="1570" w:name="_Toc8596"/>
      <w:r>
        <w:rPr>
          <w:rFonts w:hint="default" w:ascii="Times New Roman" w:hAnsi="Times New Roman" w:eastAsia="黑体" w:cs="Times New Roman"/>
          <w:b w:val="0"/>
          <w:color w:val="auto"/>
          <w:sz w:val="28"/>
          <w:szCs w:val="28"/>
          <w:highlight w:val="none"/>
          <w:lang w:val="en-US" w:eastAsia="zh-CN"/>
        </w:rPr>
        <w:t>5.工程量清单</w:t>
      </w:r>
      <w:bookmarkEnd w:id="1543"/>
      <w:bookmarkEnd w:id="1544"/>
      <w:bookmarkEnd w:id="1545"/>
      <w:bookmarkEnd w:id="1546"/>
      <w:bookmarkEnd w:id="1569"/>
      <w:bookmarkEnd w:id="1570"/>
    </w:p>
    <w:p w14:paraId="2D3A36D8">
      <w:pPr>
        <w:shd w:val="clear"/>
        <w:rPr>
          <w:rFonts w:hint="default" w:eastAsia="黑体" w:cs="Times New Roman"/>
          <w:b w:val="0"/>
          <w:color w:val="auto"/>
          <w:sz w:val="28"/>
          <w:szCs w:val="28"/>
          <w:highlight w:val="none"/>
          <w:lang w:val="en-US" w:eastAsia="zh-CN"/>
        </w:rPr>
      </w:pPr>
      <w:r>
        <w:rPr>
          <w:rFonts w:hint="default" w:eastAsia="黑体" w:cs="Times New Roman"/>
          <w:b w:val="0"/>
          <w:color w:val="auto"/>
          <w:sz w:val="28"/>
          <w:szCs w:val="28"/>
          <w:highlight w:val="none"/>
          <w:lang w:val="en-US" w:eastAsia="zh-CN"/>
        </w:rPr>
        <w:t>（另册）</w:t>
      </w:r>
    </w:p>
    <w:p w14:paraId="72CCB79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BA45DFD">
      <w:pP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29"/>
          <w:szCs w:val="29"/>
          <w:highlight w:val="none"/>
        </w:rPr>
        <w:br w:type="page"/>
      </w:r>
    </w:p>
    <w:p w14:paraId="09AE00E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044661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A7343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485556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F2FCD6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A10230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46FBEC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9F096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DF923B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02BD80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E256A4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8B0457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4888A01">
      <w:pPr>
        <w:pageBreakBefore w:val="0"/>
        <w:kinsoku/>
        <w:wordWrap w:val="0"/>
        <w:bidi w:val="0"/>
        <w:jc w:val="center"/>
        <w:outlineLvl w:val="0"/>
        <w:rPr>
          <w:rFonts w:hint="default" w:ascii="Times New Roman" w:hAnsi="Times New Roman" w:eastAsia="黑体" w:cs="Times New Roman"/>
          <w:color w:val="auto"/>
          <w:sz w:val="76"/>
          <w:szCs w:val="76"/>
          <w:highlight w:val="none"/>
        </w:rPr>
      </w:pPr>
      <w:bookmarkStart w:id="1571" w:name="_Toc21475"/>
      <w:bookmarkStart w:id="1572" w:name="_Toc30494"/>
      <w:bookmarkStart w:id="1573" w:name="_Toc7411"/>
      <w:bookmarkStart w:id="1574" w:name="_Toc9041"/>
      <w:bookmarkStart w:id="1575" w:name="_Toc234833247"/>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二</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1571"/>
      <w:bookmarkEnd w:id="1572"/>
      <w:bookmarkEnd w:id="1573"/>
      <w:bookmarkEnd w:id="1574"/>
      <w:bookmarkEnd w:id="1575"/>
    </w:p>
    <w:p w14:paraId="556346CB">
      <w:pPr>
        <w:pageBreakBefore w:val="0"/>
        <w:kinsoku/>
        <w:wordWrap w:val="0"/>
        <w:bidi w:val="0"/>
        <w:jc w:val="center"/>
        <w:rPr>
          <w:rFonts w:hint="default" w:ascii="Times New Roman" w:hAnsi="Times New Roman" w:eastAsia="黑体" w:cs="Times New Roman"/>
          <w:color w:val="auto"/>
          <w:sz w:val="76"/>
          <w:szCs w:val="76"/>
          <w:highlight w:val="none"/>
        </w:rPr>
      </w:pPr>
    </w:p>
    <w:p w14:paraId="2AEFA81B">
      <w:pPr>
        <w:pageBreakBefore w:val="0"/>
        <w:kinsoku/>
        <w:wordWrap w:val="0"/>
        <w:bidi w:val="0"/>
        <w:jc w:val="center"/>
        <w:rPr>
          <w:rFonts w:hint="default" w:ascii="Times New Roman" w:hAnsi="Times New Roman" w:eastAsia="黑体" w:cs="Times New Roman"/>
          <w:color w:val="auto"/>
          <w:sz w:val="76"/>
          <w:szCs w:val="76"/>
          <w:highlight w:val="none"/>
        </w:rPr>
        <w:sectPr>
          <w:headerReference r:id="rId35" w:type="default"/>
          <w:footerReference r:id="rId37" w:type="default"/>
          <w:headerReference r:id="rId36" w:type="even"/>
          <w:footerReference r:id="rId38"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3DA96CC">
      <w:pPr>
        <w:pageBreakBefore w:val="0"/>
        <w:kinsoku/>
        <w:wordWrap w:val="0"/>
        <w:bidi w:val="0"/>
        <w:jc w:val="center"/>
        <w:rPr>
          <w:rFonts w:hint="default" w:ascii="Times New Roman" w:hAnsi="Times New Roman" w:eastAsia="黑体" w:cs="Times New Roman"/>
          <w:color w:val="auto"/>
          <w:sz w:val="76"/>
          <w:szCs w:val="76"/>
          <w:highlight w:val="none"/>
        </w:rPr>
      </w:pPr>
    </w:p>
    <w:p w14:paraId="122814CF">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0FA241E3">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363FBE4D">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2184957E">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65414D6C">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3DE6B7C7">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0629B61A">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241704FF">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1B7B7A06">
      <w:pPr>
        <w:pageBreakBefore w:val="0"/>
        <w:kinsoku/>
        <w:wordWrap w:val="0"/>
        <w:bidi w:val="0"/>
        <w:spacing w:line="440" w:lineRule="exact"/>
        <w:ind w:firstLine="3045" w:firstLineChars="1050"/>
        <w:rPr>
          <w:rFonts w:hint="default" w:ascii="Times New Roman" w:hAnsi="Times New Roman" w:eastAsia="黑体" w:cs="Times New Roman"/>
          <w:color w:val="auto"/>
          <w:sz w:val="29"/>
          <w:szCs w:val="29"/>
          <w:highlight w:val="none"/>
        </w:rPr>
      </w:pPr>
    </w:p>
    <w:p w14:paraId="216BB743">
      <w:pPr>
        <w:pStyle w:val="3"/>
        <w:pageBreakBefore w:val="0"/>
        <w:kinsoku/>
        <w:wordWrap w:val="0"/>
        <w:bidi w:val="0"/>
        <w:spacing w:before="360" w:beforeLines="150" w:after="240" w:afterLines="100" w:line="380" w:lineRule="atLeast"/>
        <w:jc w:val="center"/>
        <w:outlineLvl w:val="1"/>
        <w:rPr>
          <w:rFonts w:hint="default" w:ascii="Times New Roman" w:hAnsi="Times New Roman" w:eastAsia="黑体" w:cs="Times New Roman"/>
          <w:b w:val="0"/>
          <w:i w:val="0"/>
          <w:iCs w:val="0"/>
          <w:color w:val="auto"/>
          <w:sz w:val="56"/>
          <w:szCs w:val="56"/>
          <w:highlight w:val="none"/>
        </w:rPr>
      </w:pPr>
      <w:bookmarkStart w:id="1576" w:name="_Toc16205"/>
      <w:bookmarkStart w:id="1577" w:name="_Toc16740"/>
      <w:bookmarkStart w:id="1578" w:name="_Toc15063"/>
      <w:bookmarkStart w:id="1579" w:name="_Toc4896"/>
      <w:bookmarkStart w:id="1580" w:name="_Toc234833248"/>
      <w:r>
        <w:rPr>
          <w:rFonts w:hint="default" w:ascii="Times New Roman" w:hAnsi="Times New Roman" w:eastAsia="黑体" w:cs="Times New Roman"/>
          <w:b w:val="0"/>
          <w:i w:val="0"/>
          <w:iCs w:val="0"/>
          <w:color w:val="auto"/>
          <w:sz w:val="56"/>
          <w:szCs w:val="56"/>
          <w:highlight w:val="none"/>
        </w:rPr>
        <w:t>第六章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图纸（另册）</w:t>
      </w:r>
      <w:bookmarkEnd w:id="1576"/>
      <w:bookmarkEnd w:id="1577"/>
      <w:bookmarkEnd w:id="1578"/>
      <w:bookmarkEnd w:id="1579"/>
      <w:bookmarkEnd w:id="1580"/>
    </w:p>
    <w:p w14:paraId="4D1C4E11">
      <w:pPr>
        <w:pStyle w:val="2"/>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80CBD88">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pPr>
    </w:p>
    <w:p w14:paraId="106B60B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A47834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CA8583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C4328E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9FBD8F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C5CFA2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D5E4A0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C6639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F36F95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8C6291D">
      <w:pPr>
        <w:pageBreakBefore w:val="0"/>
        <w:kinsoku/>
        <w:wordWrap w:val="0"/>
        <w:bidi w:val="0"/>
        <w:jc w:val="center"/>
        <w:outlineLvl w:val="0"/>
        <w:rPr>
          <w:rFonts w:hint="default" w:ascii="Times New Roman" w:hAnsi="Times New Roman" w:eastAsia="黑体" w:cs="Times New Roman"/>
          <w:color w:val="auto"/>
          <w:sz w:val="76"/>
          <w:szCs w:val="76"/>
          <w:highlight w:val="none"/>
        </w:rPr>
      </w:pPr>
      <w:bookmarkStart w:id="1581" w:name="_Toc234833249"/>
      <w:bookmarkStart w:id="1582" w:name="_Toc13842"/>
      <w:bookmarkStart w:id="1583" w:name="_Toc26586"/>
      <w:bookmarkStart w:id="1584" w:name="_Toc5182"/>
      <w:bookmarkStart w:id="1585" w:name="_Toc1328"/>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三</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1581"/>
      <w:r>
        <w:rPr>
          <w:rFonts w:hint="default" w:ascii="Times New Roman" w:hAnsi="Times New Roman" w:eastAsia="黑体" w:cs="Times New Roman"/>
          <w:color w:val="auto"/>
          <w:sz w:val="76"/>
          <w:szCs w:val="76"/>
          <w:highlight w:val="none"/>
        </w:rPr>
        <w:br w:type="page"/>
      </w:r>
      <w:bookmarkEnd w:id="1582"/>
      <w:bookmarkEnd w:id="1583"/>
      <w:bookmarkEnd w:id="1584"/>
      <w:bookmarkEnd w:id="1585"/>
    </w:p>
    <w:p w14:paraId="0695BDF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550DDE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0EBF862">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CFA239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517FC7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495687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79E9F1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BF13A1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C1890F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3DA3A34">
      <w:pPr>
        <w:pStyle w:val="3"/>
        <w:pageBreakBefore w:val="0"/>
        <w:kinsoku/>
        <w:wordWrap w:val="0"/>
        <w:bidi w:val="0"/>
        <w:spacing w:before="360" w:beforeLines="150" w:after="240" w:afterLines="100" w:line="380" w:lineRule="atLeast"/>
        <w:jc w:val="center"/>
        <w:rPr>
          <w:rFonts w:hint="default" w:ascii="Times New Roman" w:hAnsi="Times New Roman" w:eastAsia="黑体" w:cs="Times New Roman"/>
          <w:b w:val="0"/>
          <w:color w:val="auto"/>
          <w:sz w:val="56"/>
          <w:szCs w:val="56"/>
          <w:highlight w:val="none"/>
        </w:rPr>
      </w:pPr>
      <w:bookmarkStart w:id="1586" w:name="_Toc15579"/>
      <w:bookmarkStart w:id="1587" w:name="_Toc234833250"/>
      <w:bookmarkStart w:id="1588" w:name="_Toc15033"/>
      <w:bookmarkStart w:id="1589" w:name="_Toc16845"/>
      <w:bookmarkStart w:id="1590" w:name="_Toc29070"/>
      <w:r>
        <w:rPr>
          <w:rFonts w:hint="default" w:ascii="Times New Roman" w:hAnsi="Times New Roman" w:eastAsia="黑体" w:cs="Times New Roman"/>
          <w:b w:val="0"/>
          <w:i w:val="0"/>
          <w:iCs w:val="0"/>
          <w:color w:val="auto"/>
          <w:sz w:val="56"/>
          <w:szCs w:val="56"/>
          <w:highlight w:val="none"/>
        </w:rPr>
        <w:t>第七章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技术规范（另册）</w:t>
      </w:r>
      <w:bookmarkEnd w:id="1586"/>
      <w:bookmarkEnd w:id="1587"/>
      <w:bookmarkEnd w:id="1588"/>
      <w:r>
        <w:rPr>
          <w:rFonts w:hint="default" w:ascii="Times New Roman" w:hAnsi="Times New Roman" w:eastAsia="黑体" w:cs="Times New Roman"/>
          <w:b w:val="0"/>
          <w:bCs w:val="0"/>
          <w:i w:val="0"/>
          <w:iCs w:val="0"/>
          <w:color w:val="auto"/>
          <w:sz w:val="28"/>
          <w:szCs w:val="36"/>
          <w:highlight w:val="none"/>
          <w:vertAlign w:val="superscript"/>
        </w:rPr>
        <w:footnoteReference w:id="45"/>
      </w:r>
      <w:bookmarkEnd w:id="1589"/>
      <w:bookmarkEnd w:id="1590"/>
    </w:p>
    <w:p w14:paraId="76A7601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A71B386">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BE7CC5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D14957B">
      <w:pPr>
        <w:pageBreakBefore w:val="0"/>
        <w:kinsoku/>
        <w:wordWrap w:val="0"/>
        <w:bidi w:val="0"/>
        <w:jc w:val="center"/>
        <w:rPr>
          <w:rFonts w:hint="default" w:ascii="Times New Roman" w:hAnsi="Times New Roman" w:eastAsia="黑体" w:cs="Times New Roman"/>
          <w:color w:val="auto"/>
          <w:sz w:val="76"/>
          <w:szCs w:val="76"/>
          <w:highlight w:val="none"/>
        </w:rPr>
      </w:pPr>
      <w:r>
        <w:rPr>
          <w:rFonts w:hint="default" w:ascii="Times New Roman" w:hAnsi="Times New Roman" w:eastAsia="黑体" w:cs="Times New Roman"/>
          <w:color w:val="auto"/>
          <w:sz w:val="20"/>
          <w:szCs w:val="20"/>
          <w:highlight w:val="none"/>
        </w:rPr>
        <w:br w:type="page"/>
      </w:r>
    </w:p>
    <w:p w14:paraId="422EA939">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0A2342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33FF4A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228E22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14F2D2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5DA7267">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05072F">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8611DE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BE2583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4F735AC">
      <w:pPr>
        <w:pStyle w:val="3"/>
        <w:pageBreakBefore w:val="0"/>
        <w:kinsoku/>
        <w:wordWrap w:val="0"/>
        <w:bidi w:val="0"/>
        <w:spacing w:before="360" w:beforeLines="150" w:after="240" w:afterLines="100" w:line="380" w:lineRule="atLeast"/>
        <w:jc w:val="center"/>
        <w:rPr>
          <w:rFonts w:hint="default" w:ascii="Times New Roman" w:hAnsi="Times New Roman" w:eastAsia="黑体" w:cs="Times New Roman"/>
          <w:b w:val="0"/>
          <w:color w:val="auto"/>
          <w:sz w:val="56"/>
          <w:szCs w:val="56"/>
          <w:highlight w:val="none"/>
        </w:rPr>
      </w:pPr>
      <w:bookmarkStart w:id="1591" w:name="_Toc31352"/>
      <w:bookmarkStart w:id="1592" w:name="_Toc11545"/>
      <w:bookmarkStart w:id="1593" w:name="_Toc7638"/>
      <w:bookmarkStart w:id="1594" w:name="_Toc12046"/>
      <w:r>
        <w:rPr>
          <w:rFonts w:hint="default" w:ascii="Times New Roman" w:hAnsi="Times New Roman" w:eastAsia="黑体" w:cs="Times New Roman"/>
          <w:b w:val="0"/>
          <w:i w:val="0"/>
          <w:iCs w:val="0"/>
          <w:color w:val="auto"/>
          <w:sz w:val="56"/>
          <w:szCs w:val="56"/>
          <w:highlight w:val="none"/>
        </w:rPr>
        <w:t>第八章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工程量清单计量规则</w:t>
      </w:r>
      <w:bookmarkEnd w:id="1591"/>
      <w:bookmarkEnd w:id="1592"/>
      <w:r>
        <w:rPr>
          <w:rFonts w:hint="default" w:ascii="Times New Roman" w:hAnsi="Times New Roman" w:eastAsia="黑体" w:cs="Times New Roman"/>
          <w:b w:val="0"/>
          <w:bCs w:val="0"/>
          <w:i w:val="0"/>
          <w:iCs w:val="0"/>
          <w:color w:val="auto"/>
          <w:sz w:val="28"/>
          <w:szCs w:val="36"/>
          <w:highlight w:val="none"/>
          <w:vertAlign w:val="superscript"/>
        </w:rPr>
        <w:footnoteReference w:id="46"/>
      </w:r>
      <w:bookmarkEnd w:id="1593"/>
      <w:bookmarkEnd w:id="1594"/>
    </w:p>
    <w:p w14:paraId="6A576EA8">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color w:val="auto"/>
          <w:sz w:val="56"/>
          <w:szCs w:val="56"/>
          <w:highlight w:val="none"/>
        </w:rPr>
      </w:pPr>
      <w:bookmarkStart w:id="1595" w:name="_Toc501257474"/>
      <w:bookmarkStart w:id="1596" w:name="_Toc470752702"/>
      <w:r>
        <w:rPr>
          <w:rFonts w:hint="default" w:ascii="Times New Roman" w:hAnsi="Times New Roman" w:eastAsia="黑体" w:cs="Times New Roman"/>
          <w:b w:val="0"/>
          <w:color w:val="auto"/>
          <w:sz w:val="56"/>
          <w:szCs w:val="56"/>
          <w:highlight w:val="none"/>
        </w:rPr>
        <w:t>（另册）</w:t>
      </w:r>
      <w:bookmarkEnd w:id="1595"/>
      <w:bookmarkEnd w:id="1596"/>
    </w:p>
    <w:p w14:paraId="4A333769">
      <w:pPr>
        <w:spacing w:after="240" w:line="360" w:lineRule="auto"/>
        <w:ind w:left="2100" w:leftChars="1000"/>
        <w:jc w:val="both"/>
        <w:rPr>
          <w:rFonts w:hint="default" w:ascii="Times New Roman" w:hAnsi="Times New Roman" w:eastAsia="黑体" w:cs="Times New Roman"/>
          <w:b w:val="0"/>
          <w:bCs w:val="0"/>
          <w:color w:val="auto"/>
          <w:sz w:val="28"/>
          <w:szCs w:val="36"/>
          <w:highlight w:val="none"/>
        </w:rPr>
      </w:pPr>
    </w:p>
    <w:p w14:paraId="4757F57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F8B045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122E35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942CE7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EDD04F2">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0C204DF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r>
        <w:rPr>
          <w:rFonts w:hint="default" w:ascii="Times New Roman" w:hAnsi="Times New Roman" w:eastAsia="黑体" w:cs="Times New Roman"/>
          <w:color w:val="auto"/>
          <w:sz w:val="20"/>
          <w:szCs w:val="20"/>
          <w:highlight w:val="none"/>
        </w:rPr>
        <w:br w:type="page"/>
      </w:r>
    </w:p>
    <w:p w14:paraId="2E1EBF2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70301C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6F6855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5E468B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26762B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C8A36BC">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972FF3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C160D5E">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62CD9B0">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4120E016">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BACD21D">
      <w:pPr>
        <w:pageBreakBefore w:val="0"/>
        <w:kinsoku/>
        <w:wordWrap w:val="0"/>
        <w:bidi w:val="0"/>
        <w:jc w:val="center"/>
        <w:outlineLvl w:val="0"/>
        <w:rPr>
          <w:rFonts w:hint="default" w:ascii="Times New Roman" w:hAnsi="Times New Roman" w:eastAsia="黑体" w:cs="Times New Roman"/>
          <w:color w:val="auto"/>
          <w:sz w:val="29"/>
          <w:szCs w:val="29"/>
          <w:highlight w:val="none"/>
        </w:rPr>
      </w:pPr>
      <w:bookmarkStart w:id="1597" w:name="_Toc234833251"/>
      <w:bookmarkStart w:id="1598" w:name="_Toc2682"/>
      <w:bookmarkStart w:id="1599" w:name="_Toc13633"/>
      <w:bookmarkStart w:id="1600" w:name="_Toc30898"/>
      <w:bookmarkStart w:id="1601" w:name="_Toc27378"/>
      <w:r>
        <w:rPr>
          <w:rFonts w:hint="default" w:ascii="Times New Roman" w:hAnsi="Times New Roman" w:eastAsia="黑体" w:cs="Times New Roman"/>
          <w:color w:val="auto"/>
          <w:sz w:val="76"/>
          <w:szCs w:val="76"/>
          <w:highlight w:val="none"/>
        </w:rPr>
        <w:t>第</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四</w:t>
      </w:r>
      <w:r>
        <w:rPr>
          <w:rFonts w:hint="eastAsia" w:eastAsia="黑体" w:cs="Times New Roman"/>
          <w:color w:val="auto"/>
          <w:sz w:val="76"/>
          <w:szCs w:val="76"/>
          <w:highlight w:val="none"/>
          <w:lang w:val="en-US" w:eastAsia="zh-CN"/>
        </w:rPr>
        <w:t xml:space="preserve"> </w:t>
      </w:r>
      <w:r>
        <w:rPr>
          <w:rFonts w:hint="default" w:ascii="Times New Roman" w:hAnsi="Times New Roman" w:eastAsia="黑体" w:cs="Times New Roman"/>
          <w:color w:val="auto"/>
          <w:sz w:val="76"/>
          <w:szCs w:val="76"/>
          <w:highlight w:val="none"/>
        </w:rPr>
        <w:t>卷</w:t>
      </w:r>
      <w:bookmarkEnd w:id="1597"/>
      <w:r>
        <w:rPr>
          <w:rFonts w:hint="default" w:ascii="Times New Roman" w:hAnsi="Times New Roman" w:eastAsia="黑体" w:cs="Times New Roman"/>
          <w:color w:val="auto"/>
          <w:sz w:val="76"/>
          <w:szCs w:val="76"/>
          <w:highlight w:val="none"/>
        </w:rPr>
        <w:br w:type="page"/>
      </w:r>
      <w:bookmarkEnd w:id="1598"/>
      <w:bookmarkEnd w:id="1599"/>
      <w:bookmarkEnd w:id="1600"/>
      <w:bookmarkEnd w:id="1601"/>
    </w:p>
    <w:p w14:paraId="35F22E74">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BF91E4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7A01D33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5519D1C1">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08C3E3EB">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DE567F8">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1FA5D38D">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69FD4D8A">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2E53AC45">
      <w:pPr>
        <w:pageBreakBefore w:val="0"/>
        <w:kinsoku/>
        <w:wordWrap w:val="0"/>
        <w:bidi w:val="0"/>
        <w:spacing w:line="440" w:lineRule="exact"/>
        <w:jc w:val="center"/>
        <w:rPr>
          <w:rFonts w:hint="default" w:ascii="Times New Roman" w:hAnsi="Times New Roman" w:eastAsia="黑体" w:cs="Times New Roman"/>
          <w:color w:val="auto"/>
          <w:sz w:val="29"/>
          <w:szCs w:val="29"/>
          <w:highlight w:val="none"/>
        </w:rPr>
      </w:pPr>
    </w:p>
    <w:p w14:paraId="36971F2E">
      <w:pPr>
        <w:pStyle w:val="3"/>
        <w:pageBreakBefore w:val="0"/>
        <w:kinsoku/>
        <w:wordWrap w:val="0"/>
        <w:bidi w:val="0"/>
        <w:spacing w:before="360" w:beforeLines="150" w:after="240" w:afterLines="100" w:line="380" w:lineRule="atLeast"/>
        <w:jc w:val="center"/>
        <w:outlineLvl w:val="1"/>
        <w:rPr>
          <w:rFonts w:hint="default" w:ascii="Times New Roman" w:hAnsi="Times New Roman" w:eastAsia="黑体" w:cs="Times New Roman"/>
          <w:b w:val="0"/>
          <w:i w:val="0"/>
          <w:iCs w:val="0"/>
          <w:color w:val="auto"/>
          <w:sz w:val="56"/>
          <w:szCs w:val="56"/>
          <w:highlight w:val="none"/>
        </w:rPr>
      </w:pPr>
      <w:bookmarkStart w:id="1602" w:name="_Toc12459"/>
      <w:bookmarkStart w:id="1603" w:name="_Toc12509"/>
      <w:bookmarkStart w:id="1604" w:name="_Toc234833252"/>
      <w:bookmarkStart w:id="1605" w:name="_Toc14222"/>
      <w:bookmarkStart w:id="1606" w:name="_Toc29271"/>
      <w:r>
        <w:rPr>
          <w:rFonts w:hint="default" w:ascii="Times New Roman" w:hAnsi="Times New Roman" w:eastAsia="黑体" w:cs="Times New Roman"/>
          <w:b w:val="0"/>
          <w:i w:val="0"/>
          <w:iCs w:val="0"/>
          <w:color w:val="auto"/>
          <w:sz w:val="56"/>
          <w:szCs w:val="56"/>
          <w:highlight w:val="none"/>
        </w:rPr>
        <w:t>第九章</w:t>
      </w:r>
      <w:r>
        <w:rPr>
          <w:rFonts w:hint="eastAsia" w:cs="Times New Roman"/>
          <w:b w:val="0"/>
          <w:i w:val="0"/>
          <w:iCs w:val="0"/>
          <w:color w:val="auto"/>
          <w:sz w:val="56"/>
          <w:szCs w:val="56"/>
          <w:highlight w:val="none"/>
          <w:lang w:val="en-US" w:eastAsia="zh-CN"/>
        </w:rPr>
        <w:t xml:space="preserve"> </w:t>
      </w:r>
      <w:r>
        <w:rPr>
          <w:rFonts w:hint="default" w:ascii="Times New Roman" w:hAnsi="Times New Roman" w:eastAsia="黑体" w:cs="Times New Roman"/>
          <w:b w:val="0"/>
          <w:i w:val="0"/>
          <w:iCs w:val="0"/>
          <w:color w:val="auto"/>
          <w:sz w:val="56"/>
          <w:szCs w:val="56"/>
          <w:highlight w:val="none"/>
        </w:rPr>
        <w:t>投标文件格式</w:t>
      </w:r>
      <w:r>
        <w:rPr>
          <w:rStyle w:val="48"/>
          <w:rFonts w:hint="default" w:ascii="Times New Roman" w:hAnsi="Times New Roman" w:eastAsia="黑体" w:cs="Times New Roman"/>
          <w:i w:val="0"/>
          <w:iCs w:val="0"/>
          <w:color w:val="auto"/>
          <w:sz w:val="56"/>
          <w:szCs w:val="56"/>
          <w:highlight w:val="none"/>
        </w:rPr>
        <w:footnoteReference w:id="47"/>
      </w:r>
      <w:bookmarkEnd w:id="1602"/>
      <w:bookmarkEnd w:id="1603"/>
      <w:bookmarkEnd w:id="1604"/>
      <w:bookmarkEnd w:id="1605"/>
      <w:bookmarkEnd w:id="1606"/>
    </w:p>
    <w:p w14:paraId="5AB668CE">
      <w:pPr>
        <w:pageBreakBefore w:val="0"/>
        <w:kinsoku/>
        <w:wordWrap w:val="0"/>
        <w:bidi w:val="0"/>
        <w:spacing w:line="440" w:lineRule="exact"/>
        <w:jc w:val="center"/>
        <w:rPr>
          <w:rFonts w:hint="default" w:ascii="Times New Roman" w:hAnsi="Times New Roman" w:eastAsia="黑体" w:cs="Times New Roman"/>
          <w:color w:val="auto"/>
          <w:sz w:val="36"/>
          <w:szCs w:val="36"/>
          <w:highlight w:val="none"/>
        </w:rPr>
      </w:pPr>
    </w:p>
    <w:p w14:paraId="09495DCF">
      <w:pPr>
        <w:pageBreakBefore w:val="0"/>
        <w:kinsoku/>
        <w:wordWrap w:val="0"/>
        <w:bidi w:val="0"/>
        <w:spacing w:line="440" w:lineRule="exact"/>
        <w:rPr>
          <w:rFonts w:hint="eastAsia" w:ascii="Times New Roman" w:hAnsi="Times New Roman" w:eastAsia="黑体" w:cs="Times New Roman"/>
          <w:color w:val="auto"/>
          <w:sz w:val="20"/>
          <w:szCs w:val="20"/>
          <w:highlight w:val="none"/>
          <w:lang w:eastAsia="zh-CN"/>
        </w:rPr>
      </w:pPr>
    </w:p>
    <w:p w14:paraId="6FA8FCE0">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6B73A0E1">
      <w:pPr>
        <w:pageBreakBefore w:val="0"/>
        <w:kinsoku/>
        <w:wordWrap w:val="0"/>
        <w:bidi w:val="0"/>
        <w:spacing w:line="440" w:lineRule="exact"/>
        <w:jc w:val="center"/>
        <w:rPr>
          <w:rFonts w:hint="default" w:ascii="Times New Roman" w:hAnsi="Times New Roman" w:eastAsia="黑体" w:cs="Times New Roman"/>
          <w:b w:val="0"/>
          <w:bCs w:val="0"/>
          <w:color w:val="auto"/>
          <w:sz w:val="31"/>
          <w:szCs w:val="31"/>
          <w:highlight w:val="none"/>
          <w:u w:val="single"/>
          <w:lang w:val="en-US"/>
        </w:rPr>
      </w:pPr>
      <w:r>
        <w:rPr>
          <w:rFonts w:hint="eastAsia" w:ascii="Times New Roman" w:hAnsi="Times New Roman" w:eastAsia="黑体" w:cs="Times New Roman"/>
          <w:b w:val="0"/>
          <w:bCs w:val="0"/>
          <w:color w:val="auto"/>
          <w:sz w:val="31"/>
          <w:szCs w:val="31"/>
          <w:highlight w:val="none"/>
          <w:u w:val="single"/>
          <w:lang w:eastAsia="zh-CN"/>
        </w:rPr>
        <w:t>辽宁省</w:t>
      </w:r>
    </w:p>
    <w:p w14:paraId="4AACFF54">
      <w:pPr>
        <w:pageBreakBefore w:val="0"/>
        <w:kinsoku/>
        <w:wordWrap w:val="0"/>
        <w:bidi w:val="0"/>
        <w:spacing w:line="440" w:lineRule="exact"/>
        <w:rPr>
          <w:rFonts w:hint="default" w:ascii="Times New Roman" w:hAnsi="Times New Roman" w:eastAsia="黑体" w:cs="Times New Roman"/>
          <w:color w:val="auto"/>
          <w:sz w:val="24"/>
          <w:highlight w:val="none"/>
          <w:lang w:val="en-US"/>
        </w:rPr>
      </w:pP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（项目名称）</w:t>
      </w: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w:t>
      </w:r>
      <w:r>
        <w:rPr>
          <w:rFonts w:hint="default" w:ascii="Times New Roman" w:hAnsi="Times New Roman" w:eastAsia="黑体" w:cs="Times New Roman"/>
          <w:b w:val="0"/>
          <w:bCs w:val="0"/>
          <w:color w:val="auto"/>
          <w:sz w:val="31"/>
          <w:szCs w:val="31"/>
          <w:highlight w:val="none"/>
          <w:lang w:val="en-US" w:eastAsia="zh-CN"/>
        </w:rPr>
        <w:t>标段</w:t>
      </w:r>
      <w:r>
        <w:rPr>
          <w:rFonts w:hint="default" w:ascii="Times New Roman" w:hAnsi="Times New Roman" w:eastAsia="黑体" w:cs="Times New Roman"/>
          <w:b w:val="0"/>
          <w:bCs w:val="0"/>
          <w:color w:val="auto"/>
          <w:sz w:val="31"/>
          <w:szCs w:val="31"/>
          <w:highlight w:val="none"/>
        </w:rPr>
        <w:t>名称</w:t>
      </w:r>
      <w:r>
        <w:rPr>
          <w:rFonts w:hint="default" w:ascii="Times New Roman" w:hAnsi="Times New Roman" w:eastAsia="黑体" w:cs="Times New Roman"/>
          <w:b w:val="0"/>
          <w:bCs w:val="0"/>
          <w:color w:val="auto"/>
          <w:sz w:val="31"/>
          <w:szCs w:val="31"/>
          <w:highlight w:val="none"/>
          <w:lang w:eastAsia="zh-CN"/>
        </w:rPr>
        <w:t>）</w:t>
      </w:r>
      <w:r>
        <w:rPr>
          <w:rFonts w:hint="default" w:ascii="Times New Roman" w:hAnsi="Times New Roman" w:eastAsia="黑体" w:cs="Times New Roman"/>
          <w:b w:val="0"/>
          <w:bCs w:val="0"/>
          <w:color w:val="auto"/>
          <w:sz w:val="31"/>
          <w:szCs w:val="31"/>
          <w:highlight w:val="none"/>
          <w:lang w:val="en-US" w:eastAsia="zh-CN"/>
        </w:rPr>
        <w:t>施工招标</w:t>
      </w:r>
    </w:p>
    <w:p w14:paraId="256C0CAC">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14:paraId="6CE278DB">
      <w:pPr>
        <w:pageBreakBefore w:val="0"/>
        <w:kinsoku/>
        <w:wordWrap w:val="0"/>
        <w:bidi w:val="0"/>
        <w:spacing w:line="440" w:lineRule="exact"/>
        <w:rPr>
          <w:rFonts w:hint="default" w:ascii="Times New Roman" w:hAnsi="Times New Roman" w:eastAsia="黑体" w:cs="Times New Roman"/>
          <w:color w:val="auto"/>
          <w:sz w:val="40"/>
          <w:szCs w:val="40"/>
          <w:highlight w:val="none"/>
        </w:rPr>
      </w:pPr>
    </w:p>
    <w:p w14:paraId="3D8CF1C4">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36BC6158">
      <w:pPr>
        <w:pStyle w:val="17"/>
        <w:rPr>
          <w:rFonts w:hint="default" w:ascii="Times New Roman" w:hAnsi="Times New Roman" w:eastAsia="黑体" w:cs="Times New Roman"/>
          <w:color w:val="auto"/>
          <w:sz w:val="40"/>
          <w:szCs w:val="40"/>
          <w:highlight w:val="none"/>
        </w:rPr>
      </w:pPr>
    </w:p>
    <w:p w14:paraId="6A8FB2D8">
      <w:pPr>
        <w:pStyle w:val="17"/>
        <w:rPr>
          <w:rFonts w:hint="default" w:ascii="Times New Roman" w:hAnsi="Times New Roman" w:eastAsia="黑体" w:cs="Times New Roman"/>
          <w:color w:val="auto"/>
          <w:sz w:val="40"/>
          <w:szCs w:val="40"/>
          <w:highlight w:val="none"/>
        </w:rPr>
      </w:pPr>
    </w:p>
    <w:p w14:paraId="497518FF">
      <w:pPr>
        <w:pStyle w:val="17"/>
        <w:rPr>
          <w:rFonts w:hint="default" w:ascii="Times New Roman" w:hAnsi="Times New Roman" w:eastAsia="黑体" w:cs="Times New Roman"/>
          <w:color w:val="auto"/>
          <w:sz w:val="40"/>
          <w:szCs w:val="40"/>
          <w:highlight w:val="none"/>
        </w:rPr>
      </w:pPr>
    </w:p>
    <w:p w14:paraId="6922AFC4">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60BBD2C9">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182923A7">
      <w:pPr>
        <w:pageBreakBefore w:val="0"/>
        <w:kinsoku/>
        <w:wordWrap/>
        <w:bidi w:val="0"/>
        <w:spacing w:before="0" w:after="0" w:line="360" w:lineRule="auto"/>
        <w:jc w:val="center"/>
        <w:outlineLvl w:val="9"/>
        <w:rPr>
          <w:rFonts w:hint="default" w:ascii="Times New Roman" w:hAnsi="Times New Roman" w:eastAsia="黑体" w:cs="Times New Roman"/>
          <w:b w:val="0"/>
          <w:color w:val="auto"/>
          <w:sz w:val="30"/>
          <w:szCs w:val="30"/>
          <w:highlight w:val="none"/>
        </w:rPr>
      </w:pPr>
      <w:bookmarkStart w:id="1607" w:name="_Toc1346"/>
      <w:bookmarkStart w:id="1608" w:name="_Toc26407"/>
      <w:bookmarkStart w:id="1609" w:name="_Toc11253"/>
      <w:bookmarkStart w:id="1610" w:name="_Toc11276"/>
      <w:bookmarkStart w:id="1611" w:name="_Toc23497"/>
      <w:r>
        <w:rPr>
          <w:rFonts w:hint="default" w:ascii="Times New Roman" w:hAnsi="Times New Roman" w:eastAsia="黑体" w:cs="Times New Roman"/>
          <w:b w:val="0"/>
          <w:color w:val="auto"/>
          <w:sz w:val="72"/>
          <w:szCs w:val="72"/>
          <w:highlight w:val="none"/>
        </w:rPr>
        <w:t xml:space="preserve">投  标  文  件 </w:t>
      </w:r>
    </w:p>
    <w:p w14:paraId="6E0425BC">
      <w:pPr>
        <w:pageBreakBefore w:val="0"/>
        <w:kinsoku/>
        <w:wordWrap/>
        <w:bidi w:val="0"/>
        <w:spacing w:before="0" w:after="0" w:line="360" w:lineRule="auto"/>
        <w:jc w:val="center"/>
        <w:outlineLvl w:val="2"/>
        <w:rPr>
          <w:rFonts w:hint="default" w:ascii="Times New Roman" w:hAnsi="Times New Roman" w:eastAsia="黑体" w:cs="Times New Roman"/>
          <w:b w:val="0"/>
          <w:color w:val="auto"/>
          <w:sz w:val="30"/>
          <w:szCs w:val="30"/>
          <w:highlight w:val="none"/>
        </w:rPr>
      </w:pPr>
      <w:bookmarkStart w:id="1612" w:name="_Toc274"/>
      <w:bookmarkStart w:id="1613" w:name="_Toc27427"/>
      <w:r>
        <w:rPr>
          <w:rFonts w:hint="default" w:ascii="Times New Roman" w:hAnsi="Times New Roman" w:eastAsia="黑体" w:cs="Times New Roman"/>
          <w:b w:val="0"/>
          <w:color w:val="auto"/>
          <w:sz w:val="32"/>
          <w:szCs w:val="32"/>
          <w:highlight w:val="none"/>
        </w:rPr>
        <w:t>（</w:t>
      </w:r>
      <w:r>
        <w:rPr>
          <w:rFonts w:hint="default" w:ascii="Times New Roman" w:hAnsi="Times New Roman" w:eastAsia="黑体" w:cs="Times New Roman"/>
          <w:b w:val="0"/>
          <w:color w:val="auto"/>
          <w:sz w:val="32"/>
          <w:szCs w:val="32"/>
          <w:highlight w:val="none"/>
          <w:lang w:val="en-US" w:eastAsia="zh-CN"/>
        </w:rPr>
        <w:t>第一个信封</w:t>
      </w:r>
      <w:r>
        <w:rPr>
          <w:rFonts w:hint="default" w:ascii="Times New Roman" w:hAnsi="Times New Roman" w:cs="Times New Roman"/>
          <w:b w:val="0"/>
          <w:color w:val="auto"/>
          <w:sz w:val="32"/>
          <w:szCs w:val="32"/>
          <w:highlight w:val="none"/>
          <w:lang w:val="en-US" w:eastAsia="zh-CN"/>
        </w:rPr>
        <w:t xml:space="preserve"> </w:t>
      </w:r>
      <w:r>
        <w:rPr>
          <w:rFonts w:hint="default" w:ascii="Times New Roman" w:hAnsi="Times New Roman" w:eastAsia="黑体" w:cs="Times New Roman"/>
          <w:b w:val="0"/>
          <w:color w:val="auto"/>
          <w:sz w:val="32"/>
          <w:szCs w:val="32"/>
          <w:highlight w:val="none"/>
        </w:rPr>
        <w:t>商务及技术文件）</w:t>
      </w:r>
      <w:bookmarkEnd w:id="1607"/>
      <w:bookmarkEnd w:id="1608"/>
      <w:bookmarkEnd w:id="1609"/>
      <w:bookmarkEnd w:id="1610"/>
      <w:bookmarkEnd w:id="1611"/>
      <w:bookmarkEnd w:id="1612"/>
      <w:bookmarkEnd w:id="1613"/>
    </w:p>
    <w:p w14:paraId="402C06F8">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55776A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FA6541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D632F45">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CDFB71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CE50113">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1024175">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DD1FC8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88A15B4">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投标人：</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highlight w:val="none"/>
          <w:lang w:eastAsia="zh-CN"/>
        </w:rPr>
        <w:t>盖单位电子印章</w:t>
      </w:r>
      <w:r>
        <w:rPr>
          <w:rFonts w:hint="default" w:ascii="Times New Roman" w:hAnsi="Times New Roman" w:eastAsia="黑体" w:cs="Times New Roman"/>
          <w:color w:val="auto"/>
          <w:sz w:val="28"/>
          <w:szCs w:val="28"/>
          <w:highlight w:val="none"/>
        </w:rPr>
        <w:t>）</w:t>
      </w:r>
    </w:p>
    <w:p w14:paraId="2E8B68DF">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17119C57">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p>
    <w:p w14:paraId="49D47572">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1644843C">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0F6FA0FC">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color w:val="auto"/>
          <w:sz w:val="30"/>
          <w:szCs w:val="30"/>
          <w:highlight w:val="none"/>
        </w:rPr>
      </w:pPr>
      <w:r>
        <w:rPr>
          <w:rFonts w:hint="default" w:ascii="Times New Roman" w:hAnsi="Times New Roman" w:eastAsia="黑体" w:cs="Times New Roman"/>
          <w:color w:val="auto"/>
          <w:sz w:val="20"/>
          <w:szCs w:val="20"/>
          <w:highlight w:val="none"/>
        </w:rPr>
        <w:br w:type="page"/>
      </w:r>
      <w:bookmarkStart w:id="1614" w:name="_Toc18939"/>
      <w:bookmarkStart w:id="1615" w:name="_Toc234833253"/>
      <w:bookmarkStart w:id="1616" w:name="_Toc23660"/>
      <w:bookmarkStart w:id="1617" w:name="_Toc16968"/>
      <w:r>
        <w:rPr>
          <w:rFonts w:hint="default" w:ascii="Times New Roman" w:hAnsi="Times New Roman" w:eastAsia="黑体" w:cs="Times New Roman"/>
          <w:b w:val="0"/>
          <w:color w:val="auto"/>
          <w:sz w:val="30"/>
          <w:szCs w:val="30"/>
          <w:highlight w:val="none"/>
        </w:rPr>
        <w:t>目录</w:t>
      </w:r>
      <w:bookmarkEnd w:id="1614"/>
      <w:bookmarkEnd w:id="1615"/>
      <w:bookmarkEnd w:id="1616"/>
      <w:bookmarkEnd w:id="1617"/>
    </w:p>
    <w:p w14:paraId="4D7293D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E14032D">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一、投标函及投标函附录</w:t>
      </w:r>
    </w:p>
    <w:p w14:paraId="7018F981">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二、授权委托书或法定代表人身份证明</w:t>
      </w:r>
    </w:p>
    <w:p w14:paraId="7C6E1D71">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三、联合体协议书</w:t>
      </w:r>
    </w:p>
    <w:p w14:paraId="57B96CA8">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四、投标保证金</w:t>
      </w:r>
    </w:p>
    <w:p w14:paraId="3E49CC26">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五、施工组织设计</w:t>
      </w:r>
    </w:p>
    <w:p w14:paraId="72FFFA9C">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六、项目管理机构</w:t>
      </w:r>
    </w:p>
    <w:p w14:paraId="28630471">
      <w:pPr>
        <w:pageBreakBefore w:val="0"/>
        <w:kinsoku/>
        <w:wordWrap w:val="0"/>
        <w:bidi w:val="0"/>
        <w:spacing w:line="440" w:lineRule="exact"/>
        <w:ind w:left="1619" w:leftChars="771" w:firstLine="1"/>
        <w:rPr>
          <w:rFonts w:hint="default" w:cs="Times New Roman"/>
          <w:color w:val="auto"/>
          <w:sz w:val="24"/>
          <w:highlight w:val="none"/>
          <w:lang w:val="en-US" w:eastAsia="zh-CN"/>
        </w:rPr>
      </w:pPr>
      <w:r>
        <w:rPr>
          <w:rFonts w:hint="eastAsia" w:cs="Times New Roman"/>
          <w:color w:val="auto"/>
          <w:sz w:val="24"/>
          <w:highlight w:val="none"/>
          <w:lang w:val="en-US" w:eastAsia="zh-CN"/>
        </w:rPr>
        <w:t>七、拟分包项目情况表</w:t>
      </w:r>
    </w:p>
    <w:p w14:paraId="0DA4D9D0">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eastAsia" w:cs="Times New Roman"/>
          <w:color w:val="auto"/>
          <w:sz w:val="24"/>
          <w:highlight w:val="none"/>
          <w:lang w:val="en-US" w:eastAsia="zh-CN"/>
        </w:rPr>
        <w:t>八</w:t>
      </w:r>
      <w:r>
        <w:rPr>
          <w:rFonts w:hint="default" w:ascii="Times New Roman" w:hAnsi="Times New Roman" w:cs="Times New Roman"/>
          <w:color w:val="auto"/>
          <w:sz w:val="24"/>
          <w:highlight w:val="none"/>
        </w:rPr>
        <w:t>、资格审查资料</w:t>
      </w:r>
    </w:p>
    <w:p w14:paraId="4690C6A6">
      <w:pPr>
        <w:pageBreakBefore w:val="0"/>
        <w:kinsoku/>
        <w:wordWrap w:val="0"/>
        <w:overflowPunct/>
        <w:bidi w:val="0"/>
        <w:spacing w:line="440" w:lineRule="exact"/>
        <w:ind w:left="1619" w:leftChars="771" w:firstLine="1"/>
        <w:rPr>
          <w:rFonts w:hint="default" w:ascii="Times New Roman" w:hAnsi="Times New Roman" w:cs="Times New Roman"/>
          <w:color w:val="auto"/>
          <w:sz w:val="24"/>
          <w:highlight w:val="none"/>
        </w:rPr>
      </w:pPr>
      <w:r>
        <w:rPr>
          <w:rFonts w:hint="eastAsia" w:cs="Times New Roman"/>
          <w:color w:val="auto"/>
          <w:sz w:val="24"/>
          <w:highlight w:val="none"/>
          <w:lang w:val="en-US" w:eastAsia="zh-CN"/>
        </w:rPr>
        <w:t>九</w:t>
      </w:r>
      <w:r>
        <w:rPr>
          <w:rFonts w:hint="default" w:ascii="Times New Roman" w:hAnsi="Times New Roman" w:cs="Times New Roman"/>
          <w:color w:val="auto"/>
          <w:sz w:val="24"/>
          <w:highlight w:val="none"/>
        </w:rPr>
        <w:t>、投标人告知承诺函</w:t>
      </w:r>
    </w:p>
    <w:p w14:paraId="64A59930">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eastAsia" w:cs="Times New Roman"/>
          <w:color w:val="auto"/>
          <w:sz w:val="24"/>
          <w:highlight w:val="none"/>
          <w:lang w:val="en-US" w:eastAsia="zh-CN"/>
        </w:rPr>
        <w:t>十</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其他资料</w:t>
      </w:r>
    </w:p>
    <w:p w14:paraId="61F53621">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pPr>
    </w:p>
    <w:p w14:paraId="63ED4AEA">
      <w:pPr>
        <w:pStyle w:val="2"/>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color w:val="auto"/>
          <w:sz w:val="30"/>
          <w:szCs w:val="3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618" w:name="_Toc234833254"/>
    </w:p>
    <w:bookmarkEnd w:id="1618"/>
    <w:p w14:paraId="77231354">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bookmarkStart w:id="1619" w:name="_Toc21625"/>
      <w:bookmarkStart w:id="1620" w:name="_Toc234833255"/>
      <w:bookmarkStart w:id="1621" w:name="_Toc25446"/>
      <w:r>
        <w:rPr>
          <w:rFonts w:hint="default" w:ascii="Times New Roman" w:hAnsi="Times New Roman" w:eastAsia="黑体" w:cs="Times New Roman"/>
          <w:b w:val="0"/>
          <w:i w:val="0"/>
          <w:iCs/>
          <w:color w:val="auto"/>
          <w:sz w:val="30"/>
          <w:szCs w:val="30"/>
          <w:highlight w:val="none"/>
          <w:lang w:val="en-US" w:eastAsia="zh-CN"/>
        </w:rPr>
        <w:t>一、投标函及投标函附录</w:t>
      </w:r>
      <w:bookmarkEnd w:id="1619"/>
      <w:bookmarkEnd w:id="1620"/>
      <w:bookmarkEnd w:id="1621"/>
    </w:p>
    <w:p w14:paraId="30CA9826">
      <w:pPr>
        <w:pageBreakBefore w:val="0"/>
        <w:kinsoku/>
        <w:wordWrap w:val="0"/>
        <w:bidi w:val="0"/>
        <w:spacing w:before="360" w:beforeLines="150" w:after="240" w:afterLines="100" w:line="360" w:lineRule="atLeast"/>
        <w:jc w:val="center"/>
        <w:outlineLvl w:val="9"/>
        <w:rPr>
          <w:rFonts w:hint="default" w:ascii="Times New Roman" w:hAnsi="Times New Roman" w:eastAsia="黑体" w:cs="Times New Roman"/>
          <w:b w:val="0"/>
          <w:i w:val="0"/>
          <w:iCs/>
          <w:color w:val="auto"/>
          <w:sz w:val="28"/>
          <w:szCs w:val="28"/>
          <w:highlight w:val="none"/>
        </w:rPr>
      </w:pPr>
      <w:bookmarkStart w:id="1622" w:name="_Toc585"/>
      <w:bookmarkStart w:id="1623" w:name="_Toc18251"/>
      <w:bookmarkStart w:id="1624" w:name="_Toc234833256"/>
      <w:r>
        <w:rPr>
          <w:rFonts w:hint="default" w:ascii="Times New Roman" w:hAnsi="Times New Roman" w:eastAsia="黑体" w:cs="Times New Roman"/>
          <w:b w:val="0"/>
          <w:i w:val="0"/>
          <w:iCs/>
          <w:color w:val="auto"/>
          <w:sz w:val="28"/>
          <w:szCs w:val="28"/>
          <w:highlight w:val="none"/>
        </w:rPr>
        <w:t>（一） 投 标 函</w:t>
      </w:r>
      <w:bookmarkEnd w:id="1622"/>
      <w:bookmarkEnd w:id="1623"/>
      <w:bookmarkEnd w:id="1624"/>
    </w:p>
    <w:p w14:paraId="7E4156A3">
      <w:pPr>
        <w:pageBreakBefore w:val="0"/>
        <w:kinsoku/>
        <w:wordWrap w:val="0"/>
        <w:bidi w:val="0"/>
        <w:spacing w:before="240" w:beforeLines="100" w:after="120" w:afterLines="50" w:line="36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14:paraId="7D566353">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default" w:ascii="Times New Roman" w:hAnsi="Times New Roman" w:cs="Times New Roman"/>
          <w:color w:val="auto"/>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6043E1B6">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2．我方承诺在招标文件规定的投标有效期内不撤销投标文件。</w:t>
      </w:r>
    </w:p>
    <w:p w14:paraId="1FB3067B">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3．工程质量：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，安全目标：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日历天。</w:t>
      </w:r>
    </w:p>
    <w:p w14:paraId="3D6FA87D">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4．如我方中标，我方承诺：</w:t>
      </w:r>
    </w:p>
    <w:p w14:paraId="47B969E3">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（1）在收到中标通知书后，在中标通知书规定的期限内与你方签订合同；</w:t>
      </w:r>
    </w:p>
    <w:p w14:paraId="74A9A331">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（2）在签订合同时不向你方提出附加条件；</w:t>
      </w:r>
    </w:p>
    <w:p w14:paraId="4A80A6E3">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（3）按照招标文件要求提交履约保证金；</w:t>
      </w:r>
      <w:bookmarkStart w:id="1625" w:name="_Toc1187"/>
      <w:bookmarkStart w:id="1626" w:name="_Toc352691658"/>
      <w:bookmarkStart w:id="1627" w:name="_Toc369531694"/>
    </w:p>
    <w:p w14:paraId="7DF198BB">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（4）在合</w:t>
      </w:r>
      <w:bookmarkEnd w:id="1625"/>
      <w:bookmarkEnd w:id="1626"/>
      <w:bookmarkEnd w:id="1627"/>
      <w:r>
        <w:rPr>
          <w:rFonts w:hint="default" w:ascii="Times New Roman" w:hAnsi="Times New Roman" w:cs="Times New Roman"/>
          <w:color w:val="auto"/>
          <w:sz w:val="24"/>
          <w:highlight w:val="none"/>
        </w:rPr>
        <w:t>同约定的期限内完成合同规定的全部义务；</w:t>
      </w:r>
    </w:p>
    <w:p w14:paraId="57B623BE">
      <w:pPr>
        <w:pageBreakBefore w:val="0"/>
        <w:kinsoku/>
        <w:wordWrap w:val="0"/>
        <w:bidi w:val="0"/>
        <w:spacing w:line="360" w:lineRule="atLeast"/>
        <w:ind w:firstLine="480" w:firstLineChars="200"/>
        <w:rPr>
          <w:rFonts w:hint="default" w:ascii="Times New Roman" w:hAnsi="Times New Roman" w:cs="Times New Roman"/>
          <w:color w:val="auto"/>
          <w:sz w:val="24"/>
          <w:highlight w:val="none"/>
          <w:vertAlign w:val="superscript"/>
        </w:rPr>
      </w:pPr>
      <w:r>
        <w:rPr>
          <w:rFonts w:hint="default" w:ascii="Times New Roman" w:hAnsi="Times New Roman" w:cs="Times New Roman"/>
          <w:color w:val="auto"/>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color w:val="auto"/>
          <w:sz w:val="24"/>
          <w:highlight w:val="none"/>
          <w:vertAlign w:val="superscript"/>
        </w:rPr>
        <w:footnoteReference w:id="48"/>
      </w:r>
    </w:p>
    <w:p w14:paraId="5F015631">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5．我方在此声明，所递交的投标文件及有关资料内容完整、真实和准确，且不存在招标文件第二章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投标人须知</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第1.4.3项和第1.4.4项规定的任何一种情形。</w:t>
      </w:r>
    </w:p>
    <w:p w14:paraId="17CB1718">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6．在合同协议书正式签署生效之前，本投标函连同你方的中标通知书将构成我们双方之间共同遵守的文件，对双方具有约束力。</w:t>
      </w:r>
    </w:p>
    <w:p w14:paraId="144FC7EA">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14:paraId="3A18563E">
      <w:pPr>
        <w:pageBreakBefore w:val="0"/>
        <w:kinsoku/>
        <w:wordWrap w:val="0"/>
        <w:bidi w:val="0"/>
        <w:spacing w:line="360" w:lineRule="atLeast"/>
        <w:ind w:firstLine="480" w:firstLineChars="200"/>
        <w:rPr>
          <w:rFonts w:hint="default" w:ascii="Times New Roman" w:hAnsi="Times New Roman" w:cs="Times New Roman"/>
          <w:color w:val="auto"/>
          <w:sz w:val="24"/>
          <w:highlight w:val="none"/>
        </w:rPr>
      </w:pPr>
    </w:p>
    <w:p w14:paraId="7697C0A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 标 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w:t>
      </w:r>
      <w:r>
        <w:rPr>
          <w:rFonts w:hint="default" w:ascii="Times New Roman" w:hAnsi="Times New Roman" w:cs="Times New Roman"/>
          <w:color w:val="auto"/>
          <w:sz w:val="24"/>
          <w:highlight w:val="none"/>
          <w:lang w:val="en-US" w:eastAsia="zh-CN"/>
        </w:rPr>
        <w:t>电子印</w:t>
      </w:r>
      <w:r>
        <w:rPr>
          <w:rFonts w:hint="default" w:ascii="Times New Roman" w:hAnsi="Times New Roman" w:cs="Times New Roman"/>
          <w:color w:val="auto"/>
          <w:sz w:val="24"/>
          <w:highlight w:val="none"/>
        </w:rPr>
        <w:t>章）</w:t>
      </w:r>
    </w:p>
    <w:p w14:paraId="2684FFE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outlineLvl w:val="9"/>
        <w:rPr>
          <w:rFonts w:hint="default" w:ascii="Times New Roman" w:hAnsi="Times New Roman" w:cs="Times New Roman"/>
          <w:color w:val="auto"/>
          <w:sz w:val="24"/>
          <w:highlight w:val="none"/>
        </w:rPr>
      </w:pPr>
      <w:bookmarkStart w:id="1628" w:name="_Toc26277"/>
      <w:bookmarkStart w:id="1629" w:name="_Toc23140"/>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bookmarkEnd w:id="1628"/>
      <w:bookmarkEnd w:id="1629"/>
    </w:p>
    <w:p w14:paraId="2795EC33">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708B33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p>
    <w:p w14:paraId="29F14A03">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6A147F65">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4A21CD3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p>
    <w:p w14:paraId="1DCA1303">
      <w:pPr>
        <w:pageBreakBefore w:val="0"/>
        <w:kinsoku/>
        <w:wordWrap w:val="0"/>
        <w:overflowPunct/>
        <w:bidi w:val="0"/>
        <w:spacing w:line="400" w:lineRule="atLeas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163857D">
      <w:pPr>
        <w:pageBreakBefore w:val="0"/>
        <w:kinsoku/>
        <w:wordWrap w:val="0"/>
        <w:bidi w:val="0"/>
        <w:spacing w:before="360" w:beforeLines="150" w:after="240" w:afterLines="100" w:line="360" w:lineRule="atLeast"/>
        <w:jc w:val="center"/>
        <w:outlineLvl w:val="9"/>
        <w:rPr>
          <w:rFonts w:hint="default" w:ascii="Times New Roman" w:hAnsi="Times New Roman" w:eastAsia="黑体" w:cs="Times New Roman"/>
          <w:b w:val="0"/>
          <w:i w:val="0"/>
          <w:iCs/>
          <w:color w:val="auto"/>
          <w:sz w:val="28"/>
          <w:szCs w:val="28"/>
          <w:highlight w:val="none"/>
        </w:rPr>
      </w:pPr>
      <w:r>
        <w:rPr>
          <w:rFonts w:hint="default" w:ascii="Times New Roman" w:hAnsi="Times New Roman" w:eastAsia="黑体" w:cs="Times New Roman"/>
          <w:color w:val="auto"/>
          <w:sz w:val="23"/>
          <w:szCs w:val="23"/>
          <w:highlight w:val="none"/>
        </w:rPr>
        <w:br w:type="page"/>
      </w:r>
      <w:bookmarkStart w:id="1630" w:name="_Toc27025"/>
      <w:bookmarkStart w:id="1631" w:name="_Toc27486"/>
      <w:bookmarkStart w:id="1632" w:name="_Toc234833257"/>
      <w:r>
        <w:rPr>
          <w:rFonts w:hint="default" w:ascii="Times New Roman" w:hAnsi="Times New Roman" w:eastAsia="黑体" w:cs="Times New Roman"/>
          <w:b w:val="0"/>
          <w:i w:val="0"/>
          <w:iCs/>
          <w:color w:val="auto"/>
          <w:sz w:val="28"/>
          <w:szCs w:val="28"/>
          <w:highlight w:val="none"/>
        </w:rPr>
        <w:t>（二）投标函附录</w:t>
      </w:r>
      <w:bookmarkEnd w:id="1630"/>
      <w:bookmarkEnd w:id="1631"/>
      <w:bookmarkEnd w:id="163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5268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6C782BA7">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2710" w:type="dxa"/>
            <w:noWrap w:val="0"/>
            <w:vAlign w:val="center"/>
          </w:tcPr>
          <w:p w14:paraId="613FF8AB">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条款名称</w:t>
            </w:r>
          </w:p>
        </w:tc>
        <w:tc>
          <w:tcPr>
            <w:tcW w:w="1185" w:type="dxa"/>
            <w:noWrap w:val="0"/>
            <w:vAlign w:val="center"/>
          </w:tcPr>
          <w:p w14:paraId="3FF346B2">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合同条目号</w:t>
            </w:r>
          </w:p>
        </w:tc>
        <w:tc>
          <w:tcPr>
            <w:tcW w:w="3613" w:type="dxa"/>
            <w:noWrap w:val="0"/>
            <w:vAlign w:val="center"/>
          </w:tcPr>
          <w:p w14:paraId="33ABCB86">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约定内容</w:t>
            </w:r>
          </w:p>
        </w:tc>
        <w:tc>
          <w:tcPr>
            <w:tcW w:w="749" w:type="dxa"/>
            <w:noWrap w:val="0"/>
            <w:vAlign w:val="center"/>
          </w:tcPr>
          <w:p w14:paraId="38E05B9F">
            <w:pPr>
              <w:pageBreakBefore w:val="0"/>
              <w:kinsoku/>
              <w:wordWrap w:val="0"/>
              <w:bidi w:val="0"/>
              <w:spacing w:line="400" w:lineRule="atLeast"/>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备注</w:t>
            </w:r>
          </w:p>
        </w:tc>
      </w:tr>
      <w:tr w14:paraId="2234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720398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2710" w:type="dxa"/>
            <w:noWrap w:val="0"/>
            <w:vAlign w:val="center"/>
          </w:tcPr>
          <w:p w14:paraId="01370F4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缺陷责任期</w:t>
            </w:r>
          </w:p>
        </w:tc>
        <w:tc>
          <w:tcPr>
            <w:tcW w:w="1185" w:type="dxa"/>
            <w:noWrap w:val="0"/>
            <w:vAlign w:val="center"/>
          </w:tcPr>
          <w:p w14:paraId="6C3C189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1.1.4.5</w:t>
            </w:r>
          </w:p>
        </w:tc>
        <w:tc>
          <w:tcPr>
            <w:tcW w:w="3613" w:type="dxa"/>
            <w:noWrap w:val="0"/>
            <w:vAlign w:val="center"/>
          </w:tcPr>
          <w:p w14:paraId="27CBCA9A">
            <w:pPr>
              <w:pageBreakBefore w:val="0"/>
              <w:kinsoku/>
              <w:wordWrap w:val="0"/>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自实际交工日期起计算</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749" w:type="dxa"/>
            <w:noWrap w:val="0"/>
            <w:vAlign w:val="center"/>
          </w:tcPr>
          <w:p w14:paraId="07F17618">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E9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169E405">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2710" w:type="dxa"/>
            <w:noWrap w:val="0"/>
            <w:vAlign w:val="center"/>
          </w:tcPr>
          <w:p w14:paraId="2F9F6D47">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逾期交工违约金</w:t>
            </w:r>
          </w:p>
        </w:tc>
        <w:tc>
          <w:tcPr>
            <w:tcW w:w="1185" w:type="dxa"/>
            <w:noWrap w:val="0"/>
            <w:vAlign w:val="center"/>
          </w:tcPr>
          <w:p w14:paraId="63C1D62C">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11.5（3）</w:t>
            </w:r>
          </w:p>
        </w:tc>
        <w:tc>
          <w:tcPr>
            <w:tcW w:w="3613" w:type="dxa"/>
            <w:noWrap w:val="0"/>
            <w:vAlign w:val="center"/>
          </w:tcPr>
          <w:p w14:paraId="79E212B6">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元/天</w:t>
            </w:r>
          </w:p>
        </w:tc>
        <w:tc>
          <w:tcPr>
            <w:tcW w:w="749" w:type="dxa"/>
            <w:noWrap w:val="0"/>
            <w:vAlign w:val="center"/>
          </w:tcPr>
          <w:p w14:paraId="0D30D9FF">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E1E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6EF80C3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2710" w:type="dxa"/>
            <w:noWrap w:val="0"/>
            <w:vAlign w:val="center"/>
          </w:tcPr>
          <w:p w14:paraId="2BD2BF1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逾期交工违约金限额</w:t>
            </w:r>
          </w:p>
        </w:tc>
        <w:tc>
          <w:tcPr>
            <w:tcW w:w="1185" w:type="dxa"/>
            <w:noWrap w:val="0"/>
            <w:vAlign w:val="center"/>
          </w:tcPr>
          <w:p w14:paraId="3F7C18E4">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11.5（3）</w:t>
            </w:r>
          </w:p>
        </w:tc>
        <w:tc>
          <w:tcPr>
            <w:tcW w:w="3613" w:type="dxa"/>
            <w:noWrap w:val="0"/>
            <w:vAlign w:val="center"/>
          </w:tcPr>
          <w:p w14:paraId="53CF120A">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w:t>
            </w:r>
          </w:p>
        </w:tc>
        <w:tc>
          <w:tcPr>
            <w:tcW w:w="749" w:type="dxa"/>
            <w:noWrap w:val="0"/>
            <w:vAlign w:val="center"/>
          </w:tcPr>
          <w:p w14:paraId="6E728773">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F16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51A93CD">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2710" w:type="dxa"/>
            <w:noWrap w:val="0"/>
            <w:vAlign w:val="center"/>
          </w:tcPr>
          <w:p w14:paraId="7EF07E0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提前交工的奖金 </w:t>
            </w:r>
          </w:p>
        </w:tc>
        <w:tc>
          <w:tcPr>
            <w:tcW w:w="1185" w:type="dxa"/>
            <w:noWrap w:val="0"/>
            <w:vAlign w:val="center"/>
          </w:tcPr>
          <w:p w14:paraId="445E8533">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w:t>
            </w:r>
          </w:p>
        </w:tc>
        <w:tc>
          <w:tcPr>
            <w:tcW w:w="3613" w:type="dxa"/>
            <w:noWrap w:val="0"/>
            <w:vAlign w:val="center"/>
          </w:tcPr>
          <w:p w14:paraId="0C3C19B3">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元/天</w:t>
            </w:r>
          </w:p>
        </w:tc>
        <w:tc>
          <w:tcPr>
            <w:tcW w:w="749" w:type="dxa"/>
            <w:noWrap w:val="0"/>
            <w:vAlign w:val="center"/>
          </w:tcPr>
          <w:p w14:paraId="3EB06A0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2DC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E1ED169">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2710" w:type="dxa"/>
            <w:noWrap w:val="0"/>
            <w:vAlign w:val="center"/>
          </w:tcPr>
          <w:p w14:paraId="580DC616">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提前交工的奖金限额</w:t>
            </w:r>
          </w:p>
        </w:tc>
        <w:tc>
          <w:tcPr>
            <w:tcW w:w="1185" w:type="dxa"/>
            <w:noWrap w:val="0"/>
            <w:vAlign w:val="center"/>
          </w:tcPr>
          <w:p w14:paraId="5D0F9DD9">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11.6</w:t>
            </w:r>
          </w:p>
        </w:tc>
        <w:tc>
          <w:tcPr>
            <w:tcW w:w="3613" w:type="dxa"/>
            <w:noWrap w:val="0"/>
            <w:vAlign w:val="center"/>
          </w:tcPr>
          <w:p w14:paraId="589AFAF2">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w:t>
            </w:r>
          </w:p>
        </w:tc>
        <w:tc>
          <w:tcPr>
            <w:tcW w:w="749" w:type="dxa"/>
            <w:noWrap w:val="0"/>
            <w:vAlign w:val="center"/>
          </w:tcPr>
          <w:p w14:paraId="254BD01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17AC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F7DB78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2710" w:type="dxa"/>
            <w:noWrap w:val="0"/>
            <w:vAlign w:val="center"/>
          </w:tcPr>
          <w:p w14:paraId="6EEA03D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价格调整的差额计算</w:t>
            </w:r>
          </w:p>
        </w:tc>
        <w:tc>
          <w:tcPr>
            <w:tcW w:w="1185" w:type="dxa"/>
            <w:noWrap w:val="0"/>
            <w:vAlign w:val="center"/>
          </w:tcPr>
          <w:p w14:paraId="7DB4B497">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16.1.1</w:t>
            </w:r>
          </w:p>
        </w:tc>
        <w:tc>
          <w:tcPr>
            <w:tcW w:w="3613" w:type="dxa"/>
            <w:noWrap w:val="0"/>
            <w:vAlign w:val="center"/>
          </w:tcPr>
          <w:p w14:paraId="3B73F9D7">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见价格指数和权重表</w:t>
            </w:r>
          </w:p>
        </w:tc>
        <w:tc>
          <w:tcPr>
            <w:tcW w:w="749" w:type="dxa"/>
            <w:noWrap w:val="0"/>
            <w:vAlign w:val="center"/>
          </w:tcPr>
          <w:p w14:paraId="5121CB05">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031C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03C434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2710" w:type="dxa"/>
            <w:noWrap w:val="0"/>
            <w:vAlign w:val="center"/>
          </w:tcPr>
          <w:p w14:paraId="30ED062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开工预付款金额</w:t>
            </w:r>
          </w:p>
        </w:tc>
        <w:tc>
          <w:tcPr>
            <w:tcW w:w="1185" w:type="dxa"/>
            <w:noWrap w:val="0"/>
            <w:vAlign w:val="center"/>
          </w:tcPr>
          <w:p w14:paraId="12232FB9">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17.2.1（1）</w:t>
            </w:r>
          </w:p>
        </w:tc>
        <w:tc>
          <w:tcPr>
            <w:tcW w:w="3613" w:type="dxa"/>
            <w:noWrap w:val="0"/>
            <w:vAlign w:val="center"/>
          </w:tcPr>
          <w:p w14:paraId="1989C320">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w:t>
            </w:r>
          </w:p>
        </w:tc>
        <w:tc>
          <w:tcPr>
            <w:tcW w:w="749" w:type="dxa"/>
            <w:noWrap w:val="0"/>
            <w:vAlign w:val="center"/>
          </w:tcPr>
          <w:p w14:paraId="440FF4C3">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EB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C09632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2710" w:type="dxa"/>
            <w:noWrap w:val="0"/>
            <w:vAlign w:val="center"/>
          </w:tcPr>
          <w:p w14:paraId="6F797C8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材料、设备预付款比例</w:t>
            </w:r>
          </w:p>
        </w:tc>
        <w:tc>
          <w:tcPr>
            <w:tcW w:w="1185" w:type="dxa"/>
            <w:noWrap w:val="0"/>
            <w:vAlign w:val="center"/>
          </w:tcPr>
          <w:p w14:paraId="5752A08A">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17.2.1（2）</w:t>
            </w:r>
          </w:p>
        </w:tc>
        <w:tc>
          <w:tcPr>
            <w:tcW w:w="3613" w:type="dxa"/>
            <w:noWrap w:val="0"/>
            <w:vAlign w:val="center"/>
          </w:tcPr>
          <w:p w14:paraId="700F3660">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等主要材料、设备单据所列费用的</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c>
          <w:tcPr>
            <w:tcW w:w="749" w:type="dxa"/>
            <w:noWrap w:val="0"/>
            <w:vAlign w:val="center"/>
          </w:tcPr>
          <w:p w14:paraId="67D09A47">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14E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7949DCD">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2710" w:type="dxa"/>
            <w:noWrap w:val="0"/>
            <w:vAlign w:val="center"/>
          </w:tcPr>
          <w:p w14:paraId="557B459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进度付款证书最低限额</w:t>
            </w:r>
          </w:p>
        </w:tc>
        <w:tc>
          <w:tcPr>
            <w:tcW w:w="1185" w:type="dxa"/>
            <w:noWrap w:val="0"/>
            <w:vAlign w:val="center"/>
          </w:tcPr>
          <w:p w14:paraId="3D7DB606">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17.3.3（1）</w:t>
            </w:r>
          </w:p>
        </w:tc>
        <w:tc>
          <w:tcPr>
            <w:tcW w:w="3613" w:type="dxa"/>
            <w:noWrap w:val="0"/>
            <w:vAlign w:val="center"/>
          </w:tcPr>
          <w:p w14:paraId="023AD14B">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%签约合同价或</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749" w:type="dxa"/>
            <w:noWrap w:val="0"/>
            <w:vAlign w:val="center"/>
          </w:tcPr>
          <w:p w14:paraId="21C5AE5A">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9A2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2671AA9">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2710" w:type="dxa"/>
            <w:noWrap w:val="0"/>
            <w:vAlign w:val="center"/>
          </w:tcPr>
          <w:p w14:paraId="2F73AF7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逾期付款违约金的利率</w:t>
            </w:r>
          </w:p>
        </w:tc>
        <w:tc>
          <w:tcPr>
            <w:tcW w:w="1185" w:type="dxa"/>
            <w:noWrap w:val="0"/>
            <w:vAlign w:val="center"/>
          </w:tcPr>
          <w:p w14:paraId="14AF118B">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17.3.3（2）</w:t>
            </w:r>
          </w:p>
        </w:tc>
        <w:tc>
          <w:tcPr>
            <w:tcW w:w="3613" w:type="dxa"/>
            <w:noWrap w:val="0"/>
            <w:vAlign w:val="center"/>
          </w:tcPr>
          <w:p w14:paraId="2DFBFA63">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‰/天</w:t>
            </w:r>
          </w:p>
        </w:tc>
        <w:tc>
          <w:tcPr>
            <w:tcW w:w="749" w:type="dxa"/>
            <w:noWrap w:val="0"/>
            <w:vAlign w:val="center"/>
          </w:tcPr>
          <w:p w14:paraId="67D9B06E">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8B1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365E4A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w:t>
            </w:r>
          </w:p>
        </w:tc>
        <w:tc>
          <w:tcPr>
            <w:tcW w:w="2710" w:type="dxa"/>
            <w:noWrap w:val="0"/>
            <w:vAlign w:val="center"/>
          </w:tcPr>
          <w:p w14:paraId="4D225E5E">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质量保证金金额</w:t>
            </w:r>
          </w:p>
        </w:tc>
        <w:tc>
          <w:tcPr>
            <w:tcW w:w="1185" w:type="dxa"/>
            <w:noWrap w:val="0"/>
            <w:vAlign w:val="center"/>
          </w:tcPr>
          <w:p w14:paraId="3367936E">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17.4.1</w:t>
            </w:r>
          </w:p>
        </w:tc>
        <w:tc>
          <w:tcPr>
            <w:tcW w:w="3613" w:type="dxa"/>
            <w:noWrap w:val="0"/>
            <w:vAlign w:val="center"/>
          </w:tcPr>
          <w:p w14:paraId="44ADB325">
            <w:pPr>
              <w:pageBreakBefore w:val="0"/>
              <w:kinsoku/>
              <w:wordWrap w:val="0"/>
              <w:bidi w:val="0"/>
              <w:snapToGrid w:val="0"/>
              <w:spacing w:line="400" w:lineRule="atLeast"/>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red"/>
              </w:rPr>
              <w:t>工程价款结算总额</w:t>
            </w:r>
          </w:p>
        </w:tc>
        <w:tc>
          <w:tcPr>
            <w:tcW w:w="749" w:type="dxa"/>
            <w:noWrap w:val="0"/>
            <w:vAlign w:val="center"/>
          </w:tcPr>
          <w:p w14:paraId="0DFDB488">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09C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40AB28F">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2710" w:type="dxa"/>
            <w:noWrap w:val="0"/>
            <w:vAlign w:val="center"/>
          </w:tcPr>
          <w:p w14:paraId="0E1281D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保修期</w:t>
            </w:r>
          </w:p>
        </w:tc>
        <w:tc>
          <w:tcPr>
            <w:tcW w:w="1185" w:type="dxa"/>
            <w:noWrap w:val="0"/>
            <w:vAlign w:val="center"/>
          </w:tcPr>
          <w:p w14:paraId="3D5DEA52">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19.7（1）</w:t>
            </w:r>
          </w:p>
        </w:tc>
        <w:tc>
          <w:tcPr>
            <w:tcW w:w="3613" w:type="dxa"/>
            <w:noWrap w:val="0"/>
            <w:vAlign w:val="center"/>
          </w:tcPr>
          <w:p w14:paraId="6D2694A7">
            <w:pPr>
              <w:pageBreakBefore w:val="0"/>
              <w:kinsoku/>
              <w:wordWrap w:val="0"/>
              <w:bidi w:val="0"/>
              <w:snapToGrid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自实际交工日期起计算</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749" w:type="dxa"/>
            <w:noWrap w:val="0"/>
            <w:vAlign w:val="center"/>
          </w:tcPr>
          <w:p w14:paraId="32F67F47">
            <w:pPr>
              <w:pageBreakBefore w:val="0"/>
              <w:kinsoku/>
              <w:wordWrap w:val="0"/>
              <w:bidi w:val="0"/>
              <w:spacing w:line="400" w:lineRule="atLeast"/>
              <w:jc w:val="center"/>
              <w:rPr>
                <w:rFonts w:hint="default" w:ascii="Times New Roman" w:hAnsi="Times New Roman" w:cs="Times New Roman"/>
                <w:color w:val="auto"/>
                <w:szCs w:val="21"/>
                <w:highlight w:val="none"/>
              </w:rPr>
            </w:pPr>
          </w:p>
        </w:tc>
      </w:tr>
    </w:tbl>
    <w:p w14:paraId="78CDC5E6">
      <w:pPr>
        <w:pageBreakBefore w:val="0"/>
        <w:kinsoku/>
        <w:wordWrap w:val="0"/>
        <w:bidi w:val="0"/>
        <w:snapToGrid w:val="0"/>
        <w:spacing w:line="400" w:lineRule="atLeast"/>
        <w:ind w:firstLine="3240" w:firstLineChars="1350"/>
        <w:rPr>
          <w:rFonts w:hint="default" w:ascii="Times New Roman" w:hAnsi="Times New Roman" w:cs="Times New Roman"/>
          <w:color w:val="auto"/>
          <w:sz w:val="24"/>
          <w:highlight w:val="none"/>
        </w:rPr>
      </w:pPr>
    </w:p>
    <w:p w14:paraId="237A4FCB">
      <w:pPr>
        <w:pageBreakBefore w:val="0"/>
        <w:kinsoku/>
        <w:wordWrap w:val="0"/>
        <w:bidi w:val="0"/>
        <w:spacing w:line="44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br w:type="page"/>
      </w:r>
      <w:r>
        <w:rPr>
          <w:rFonts w:hint="default" w:ascii="Times New Roman" w:hAnsi="Times New Roman" w:eastAsia="黑体" w:cs="Times New Roman"/>
          <w:color w:val="auto"/>
          <w:sz w:val="24"/>
          <w:highlight w:val="none"/>
        </w:rPr>
        <w:t>价格指数和权重表</w:t>
      </w:r>
    </w:p>
    <w:p w14:paraId="52D9C3DC">
      <w:pPr>
        <w:pageBreakBefore w:val="0"/>
        <w:kinsoku/>
        <w:wordWrap w:val="0"/>
        <w:bidi w:val="0"/>
        <w:spacing w:line="440" w:lineRule="exact"/>
        <w:jc w:val="center"/>
        <w:rPr>
          <w:rFonts w:hint="default" w:ascii="Times New Roman" w:hAnsi="Times New Roman" w:eastAsia="黑体" w:cs="Times New Roman"/>
          <w:color w:val="auto"/>
          <w:sz w:val="24"/>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2D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2076A8D0">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w:t>
            </w:r>
          </w:p>
        </w:tc>
        <w:tc>
          <w:tcPr>
            <w:tcW w:w="1648" w:type="dxa"/>
            <w:gridSpan w:val="2"/>
            <w:noWrap w:val="0"/>
            <w:vAlign w:val="center"/>
          </w:tcPr>
          <w:p w14:paraId="3D5656E4">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基本价格指数</w:t>
            </w:r>
          </w:p>
        </w:tc>
        <w:tc>
          <w:tcPr>
            <w:tcW w:w="3544" w:type="dxa"/>
            <w:gridSpan w:val="3"/>
            <w:noWrap w:val="0"/>
            <w:vAlign w:val="center"/>
          </w:tcPr>
          <w:p w14:paraId="13717963">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权       重</w:t>
            </w:r>
          </w:p>
        </w:tc>
        <w:tc>
          <w:tcPr>
            <w:tcW w:w="1970" w:type="dxa"/>
            <w:vMerge w:val="restart"/>
            <w:noWrap w:val="0"/>
            <w:vAlign w:val="center"/>
          </w:tcPr>
          <w:p w14:paraId="6B2C6893">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价格指数来源</w:t>
            </w:r>
          </w:p>
        </w:tc>
      </w:tr>
      <w:tr w14:paraId="1951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EDF05B3">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c>
          <w:tcPr>
            <w:tcW w:w="748" w:type="dxa"/>
            <w:noWrap w:val="0"/>
            <w:vAlign w:val="center"/>
          </w:tcPr>
          <w:p w14:paraId="1F761079">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代号</w:t>
            </w:r>
          </w:p>
        </w:tc>
        <w:tc>
          <w:tcPr>
            <w:tcW w:w="900" w:type="dxa"/>
            <w:noWrap w:val="0"/>
            <w:vAlign w:val="center"/>
          </w:tcPr>
          <w:p w14:paraId="5CF9CF86">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指数值</w:t>
            </w:r>
          </w:p>
        </w:tc>
        <w:tc>
          <w:tcPr>
            <w:tcW w:w="648" w:type="dxa"/>
            <w:noWrap w:val="0"/>
            <w:vAlign w:val="center"/>
          </w:tcPr>
          <w:p w14:paraId="27232F0F">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代号</w:t>
            </w:r>
          </w:p>
        </w:tc>
        <w:tc>
          <w:tcPr>
            <w:tcW w:w="1266" w:type="dxa"/>
            <w:noWrap w:val="0"/>
            <w:vAlign w:val="center"/>
          </w:tcPr>
          <w:p w14:paraId="2F1A33FB">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允许范围</w:t>
            </w:r>
          </w:p>
        </w:tc>
        <w:tc>
          <w:tcPr>
            <w:tcW w:w="1630" w:type="dxa"/>
            <w:noWrap w:val="0"/>
            <w:vAlign w:val="center"/>
          </w:tcPr>
          <w:p w14:paraId="799D0764">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投标人建议值</w:t>
            </w:r>
          </w:p>
        </w:tc>
        <w:tc>
          <w:tcPr>
            <w:tcW w:w="1970" w:type="dxa"/>
            <w:vMerge w:val="continue"/>
            <w:noWrap w:val="0"/>
            <w:vAlign w:val="center"/>
          </w:tcPr>
          <w:p w14:paraId="7AB42417">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r>
      <w:tr w14:paraId="05CA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18635E0E">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定值部分</w:t>
            </w:r>
          </w:p>
        </w:tc>
        <w:tc>
          <w:tcPr>
            <w:tcW w:w="748" w:type="dxa"/>
            <w:noWrap w:val="0"/>
            <w:vAlign w:val="center"/>
          </w:tcPr>
          <w:p w14:paraId="51B8F65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900" w:type="dxa"/>
            <w:noWrap w:val="0"/>
            <w:vAlign w:val="center"/>
          </w:tcPr>
          <w:p w14:paraId="44676599">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540017F7">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w:t>
            </w:r>
          </w:p>
        </w:tc>
        <w:tc>
          <w:tcPr>
            <w:tcW w:w="1266" w:type="dxa"/>
            <w:noWrap w:val="0"/>
            <w:vAlign w:val="center"/>
          </w:tcPr>
          <w:p w14:paraId="1F60B87F">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c>
          <w:tcPr>
            <w:tcW w:w="1630" w:type="dxa"/>
            <w:noWrap w:val="0"/>
            <w:vAlign w:val="center"/>
          </w:tcPr>
          <w:p w14:paraId="7635F0D0">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c>
          <w:tcPr>
            <w:tcW w:w="1970" w:type="dxa"/>
            <w:noWrap w:val="0"/>
            <w:vAlign w:val="center"/>
          </w:tcPr>
          <w:p w14:paraId="23F35CC5">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p>
        </w:tc>
      </w:tr>
      <w:tr w14:paraId="1116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758475F1">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变值部分</w:t>
            </w:r>
          </w:p>
        </w:tc>
        <w:tc>
          <w:tcPr>
            <w:tcW w:w="872" w:type="dxa"/>
            <w:noWrap w:val="0"/>
            <w:vAlign w:val="center"/>
          </w:tcPr>
          <w:p w14:paraId="0604A74B">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人工费</w:t>
            </w:r>
          </w:p>
        </w:tc>
        <w:tc>
          <w:tcPr>
            <w:tcW w:w="748" w:type="dxa"/>
            <w:noWrap w:val="0"/>
            <w:vAlign w:val="center"/>
          </w:tcPr>
          <w:p w14:paraId="18439E3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vertAlign w:val="subscript"/>
              </w:rPr>
            </w:pP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vertAlign w:val="subscript"/>
              </w:rPr>
              <w:t>01</w:t>
            </w:r>
          </w:p>
        </w:tc>
        <w:tc>
          <w:tcPr>
            <w:tcW w:w="900" w:type="dxa"/>
            <w:noWrap w:val="0"/>
            <w:vAlign w:val="center"/>
          </w:tcPr>
          <w:p w14:paraId="29988D0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50B1019B">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vertAlign w:val="subscript"/>
              </w:rPr>
              <w:t>1</w:t>
            </w:r>
          </w:p>
        </w:tc>
        <w:tc>
          <w:tcPr>
            <w:tcW w:w="1266" w:type="dxa"/>
            <w:noWrap w:val="0"/>
            <w:vAlign w:val="top"/>
          </w:tcPr>
          <w:p w14:paraId="7E729EB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至</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tc>
        <w:tc>
          <w:tcPr>
            <w:tcW w:w="1630" w:type="dxa"/>
            <w:noWrap w:val="0"/>
            <w:vAlign w:val="top"/>
          </w:tcPr>
          <w:p w14:paraId="2DBEEB75">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0B0D58DA">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2E17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5914AEB5">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60FD0219">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钢材</w:t>
            </w:r>
          </w:p>
        </w:tc>
        <w:tc>
          <w:tcPr>
            <w:tcW w:w="748" w:type="dxa"/>
            <w:noWrap w:val="0"/>
            <w:vAlign w:val="center"/>
          </w:tcPr>
          <w:p w14:paraId="6B82965C">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vertAlign w:val="subscript"/>
              </w:rPr>
              <w:t>02</w:t>
            </w:r>
          </w:p>
        </w:tc>
        <w:tc>
          <w:tcPr>
            <w:tcW w:w="900" w:type="dxa"/>
            <w:noWrap w:val="0"/>
            <w:vAlign w:val="center"/>
          </w:tcPr>
          <w:p w14:paraId="48817FB1">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7E0AD0D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vertAlign w:val="subscript"/>
              </w:rPr>
              <w:t>2</w:t>
            </w:r>
          </w:p>
        </w:tc>
        <w:tc>
          <w:tcPr>
            <w:tcW w:w="1266" w:type="dxa"/>
            <w:noWrap w:val="0"/>
            <w:vAlign w:val="top"/>
          </w:tcPr>
          <w:p w14:paraId="04907C4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至</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tc>
        <w:tc>
          <w:tcPr>
            <w:tcW w:w="1630" w:type="dxa"/>
            <w:noWrap w:val="0"/>
            <w:vAlign w:val="top"/>
          </w:tcPr>
          <w:p w14:paraId="7CEADC32">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59423B2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1681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26" w:type="dxa"/>
            <w:vMerge w:val="continue"/>
            <w:noWrap w:val="0"/>
            <w:vAlign w:val="center"/>
          </w:tcPr>
          <w:p w14:paraId="0716DBF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210C957D">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水泥</w:t>
            </w:r>
          </w:p>
        </w:tc>
        <w:tc>
          <w:tcPr>
            <w:tcW w:w="748" w:type="dxa"/>
            <w:noWrap w:val="0"/>
            <w:vAlign w:val="center"/>
          </w:tcPr>
          <w:p w14:paraId="75784B1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vertAlign w:val="subscript"/>
              </w:rPr>
              <w:t>03</w:t>
            </w:r>
          </w:p>
        </w:tc>
        <w:tc>
          <w:tcPr>
            <w:tcW w:w="900" w:type="dxa"/>
            <w:noWrap w:val="0"/>
            <w:vAlign w:val="center"/>
          </w:tcPr>
          <w:p w14:paraId="72B577B0">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7803760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vertAlign w:val="subscript"/>
              </w:rPr>
              <w:t>3</w:t>
            </w:r>
          </w:p>
        </w:tc>
        <w:tc>
          <w:tcPr>
            <w:tcW w:w="1266" w:type="dxa"/>
            <w:noWrap w:val="0"/>
            <w:vAlign w:val="top"/>
          </w:tcPr>
          <w:p w14:paraId="126DBA90">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至</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  </w:t>
            </w:r>
          </w:p>
        </w:tc>
        <w:tc>
          <w:tcPr>
            <w:tcW w:w="1630" w:type="dxa"/>
            <w:noWrap w:val="0"/>
            <w:vAlign w:val="top"/>
          </w:tcPr>
          <w:p w14:paraId="3427EAC6">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79225472">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46BE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426" w:type="dxa"/>
            <w:vMerge w:val="continue"/>
            <w:noWrap w:val="0"/>
            <w:vAlign w:val="center"/>
          </w:tcPr>
          <w:p w14:paraId="42F8144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2BAAC1F1">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48" w:type="dxa"/>
            <w:noWrap w:val="0"/>
            <w:vAlign w:val="center"/>
          </w:tcPr>
          <w:p w14:paraId="00F68C33">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900" w:type="dxa"/>
            <w:noWrap w:val="0"/>
            <w:vAlign w:val="center"/>
          </w:tcPr>
          <w:p w14:paraId="3899BE2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4FB3B95D">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266" w:type="dxa"/>
            <w:noWrap w:val="0"/>
            <w:vAlign w:val="top"/>
          </w:tcPr>
          <w:p w14:paraId="2FCF33B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630" w:type="dxa"/>
            <w:noWrap w:val="0"/>
            <w:vAlign w:val="top"/>
          </w:tcPr>
          <w:p w14:paraId="7F7D6D8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613FC38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78B4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26" w:type="dxa"/>
            <w:vMerge w:val="continue"/>
            <w:noWrap w:val="0"/>
            <w:vAlign w:val="center"/>
          </w:tcPr>
          <w:p w14:paraId="49EB18B7">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872" w:type="dxa"/>
            <w:noWrap w:val="0"/>
            <w:vAlign w:val="center"/>
          </w:tcPr>
          <w:p w14:paraId="05213AE3">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748" w:type="dxa"/>
            <w:noWrap w:val="0"/>
            <w:vAlign w:val="center"/>
          </w:tcPr>
          <w:p w14:paraId="377FF61E">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900" w:type="dxa"/>
            <w:noWrap w:val="0"/>
            <w:vAlign w:val="center"/>
          </w:tcPr>
          <w:p w14:paraId="66B150B7">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648" w:type="dxa"/>
            <w:noWrap w:val="0"/>
            <w:vAlign w:val="center"/>
          </w:tcPr>
          <w:p w14:paraId="68DFC699">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266" w:type="dxa"/>
            <w:noWrap w:val="0"/>
            <w:vAlign w:val="top"/>
          </w:tcPr>
          <w:p w14:paraId="7055D27C">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630" w:type="dxa"/>
            <w:noWrap w:val="0"/>
            <w:vAlign w:val="top"/>
          </w:tcPr>
          <w:p w14:paraId="02315F54">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c>
          <w:tcPr>
            <w:tcW w:w="1970" w:type="dxa"/>
            <w:noWrap w:val="0"/>
            <w:vAlign w:val="top"/>
          </w:tcPr>
          <w:p w14:paraId="49178048">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r w14:paraId="7A78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860" w:type="dxa"/>
            <w:gridSpan w:val="6"/>
            <w:noWrap w:val="0"/>
            <w:vAlign w:val="center"/>
          </w:tcPr>
          <w:p w14:paraId="034B5355">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        计</w:t>
            </w:r>
          </w:p>
        </w:tc>
        <w:tc>
          <w:tcPr>
            <w:tcW w:w="1630" w:type="dxa"/>
            <w:noWrap w:val="0"/>
            <w:vAlign w:val="center"/>
          </w:tcPr>
          <w:p w14:paraId="5EB25EC4">
            <w:pPr>
              <w:pageBreakBefore w:val="0"/>
              <w:kinsoku/>
              <w:wordWrap w:val="0"/>
              <w:bidi w:val="0"/>
              <w:spacing w:before="480" w:beforeLines="200" w:after="480" w:afterLines="200"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w:t>
            </w:r>
          </w:p>
        </w:tc>
        <w:tc>
          <w:tcPr>
            <w:tcW w:w="1970" w:type="dxa"/>
            <w:noWrap w:val="0"/>
            <w:vAlign w:val="top"/>
          </w:tcPr>
          <w:p w14:paraId="76D294BF">
            <w:pPr>
              <w:pageBreakBefore w:val="0"/>
              <w:kinsoku/>
              <w:wordWrap w:val="0"/>
              <w:bidi w:val="0"/>
              <w:spacing w:before="480" w:beforeLines="200" w:after="480" w:afterLines="200" w:line="240" w:lineRule="atLeast"/>
              <w:rPr>
                <w:rFonts w:hint="default" w:ascii="Times New Roman" w:hAnsi="Times New Roman" w:cs="Times New Roman"/>
                <w:color w:val="auto"/>
                <w:szCs w:val="21"/>
                <w:highlight w:val="none"/>
              </w:rPr>
            </w:pPr>
          </w:p>
        </w:tc>
      </w:tr>
    </w:tbl>
    <w:p w14:paraId="7CA47449">
      <w:pPr>
        <w:pageBreakBefore w:val="0"/>
        <w:kinsoku/>
        <w:wordWrap w:val="0"/>
        <w:bidi w:val="0"/>
        <w:spacing w:line="440" w:lineRule="exact"/>
        <w:rPr>
          <w:rFonts w:hint="default" w:ascii="Times New Roman" w:hAnsi="Times New Roman" w:eastAsia="黑体" w:cs="Times New Roman"/>
          <w:color w:val="auto"/>
          <w:sz w:val="24"/>
          <w:highlight w:val="none"/>
        </w:rPr>
      </w:pPr>
    </w:p>
    <w:p w14:paraId="1ED4A662">
      <w:pPr>
        <w:pageBreakBefore w:val="0"/>
        <w:kinsoku/>
        <w:wordWrap w:val="0"/>
        <w:bidi w:val="0"/>
        <w:spacing w:line="440" w:lineRule="exact"/>
        <w:jc w:val="center"/>
        <w:rPr>
          <w:rFonts w:hint="default" w:ascii="Times New Roman" w:hAnsi="Times New Roman" w:eastAsia="黑体" w:cs="Times New Roman"/>
          <w:color w:val="auto"/>
          <w:sz w:val="20"/>
          <w:szCs w:val="20"/>
          <w:highlight w:val="none"/>
        </w:rPr>
      </w:pPr>
    </w:p>
    <w:p w14:paraId="7FC56732">
      <w:pPr>
        <w:rPr>
          <w:rFonts w:hint="default" w:ascii="Times New Roman" w:hAnsi="Times New Roman" w:cs="Times New Roman"/>
          <w:color w:val="auto"/>
          <w:highlight w:val="none"/>
        </w:rPr>
      </w:pPr>
      <w:bookmarkStart w:id="1633" w:name="_Toc234833261"/>
    </w:p>
    <w:p w14:paraId="134D9F46">
      <w:pPr>
        <w:rPr>
          <w:rFonts w:hint="default" w:ascii="Times New Roman" w:hAnsi="Times New Roman" w:cs="Times New Roman"/>
          <w:color w:val="auto"/>
          <w:highlight w:val="none"/>
        </w:rPr>
      </w:pPr>
    </w:p>
    <w:p w14:paraId="50C60D6C">
      <w:pPr>
        <w:rPr>
          <w:rFonts w:hint="default" w:ascii="Times New Roman" w:hAnsi="Times New Roman" w:cs="Times New Roman"/>
          <w:color w:val="auto"/>
          <w:highlight w:val="none"/>
        </w:rPr>
      </w:pPr>
    </w:p>
    <w:p w14:paraId="2BDB5227">
      <w:pPr>
        <w:rPr>
          <w:rFonts w:hint="default" w:ascii="Times New Roman" w:hAnsi="Times New Roman" w:cs="Times New Roman"/>
          <w:color w:val="auto"/>
          <w:highlight w:val="none"/>
        </w:rPr>
      </w:pPr>
    </w:p>
    <w:p w14:paraId="38C6966E">
      <w:pPr>
        <w:rPr>
          <w:rFonts w:hint="default" w:ascii="Times New Roman" w:hAnsi="Times New Roman" w:cs="Times New Roman"/>
          <w:color w:val="auto"/>
          <w:highlight w:val="none"/>
        </w:rPr>
      </w:pPr>
    </w:p>
    <w:p w14:paraId="549AC373">
      <w:pPr>
        <w:rPr>
          <w:rFonts w:hint="default" w:ascii="Times New Roman" w:hAnsi="Times New Roman" w:cs="Times New Roman"/>
          <w:color w:val="auto"/>
          <w:highlight w:val="none"/>
        </w:rPr>
      </w:pPr>
    </w:p>
    <w:p w14:paraId="7E802969">
      <w:pPr>
        <w:rPr>
          <w:rFonts w:hint="default" w:ascii="Times New Roman" w:hAnsi="Times New Roman" w:cs="Times New Roman"/>
          <w:color w:val="auto"/>
          <w:highlight w:val="none"/>
        </w:rPr>
      </w:pPr>
    </w:p>
    <w:p w14:paraId="6B82B897">
      <w:pPr>
        <w:rPr>
          <w:rFonts w:hint="default" w:ascii="Times New Roman" w:hAnsi="Times New Roman" w:cs="Times New Roman"/>
          <w:color w:val="auto"/>
          <w:highlight w:val="none"/>
        </w:rPr>
      </w:pPr>
    </w:p>
    <w:p w14:paraId="02F80A6E">
      <w:pPr>
        <w:rPr>
          <w:rFonts w:hint="default" w:ascii="Times New Roman" w:hAnsi="Times New Roman" w:cs="Times New Roman"/>
          <w:color w:val="auto"/>
          <w:highlight w:val="none"/>
        </w:rPr>
      </w:pPr>
    </w:p>
    <w:p w14:paraId="7CDF3D84">
      <w:pPr>
        <w:rPr>
          <w:rFonts w:hint="default" w:ascii="Times New Roman" w:hAnsi="Times New Roman" w:cs="Times New Roman"/>
          <w:color w:val="auto"/>
          <w:highlight w:val="none"/>
        </w:rPr>
      </w:pPr>
    </w:p>
    <w:p w14:paraId="42C62720">
      <w:pPr>
        <w:rPr>
          <w:rFonts w:hint="default" w:ascii="Times New Roman" w:hAnsi="Times New Roman" w:cs="Times New Roman"/>
          <w:color w:val="auto"/>
          <w:highlight w:val="none"/>
        </w:rPr>
      </w:pPr>
    </w:p>
    <w:p w14:paraId="46B56DAC">
      <w:pPr>
        <w:jc w:val="center"/>
        <w:rPr>
          <w:rFonts w:hint="default" w:ascii="Times New Roman" w:hAnsi="Times New Roman" w:cs="Times New Roman"/>
          <w:color w:val="auto"/>
          <w:highlight w:val="none"/>
        </w:rPr>
      </w:pPr>
    </w:p>
    <w:p w14:paraId="7E7671D6">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bookmarkStart w:id="1634" w:name="_Toc26154"/>
      <w:bookmarkStart w:id="1635" w:name="_Toc458576166"/>
      <w:bookmarkStart w:id="1636" w:name="_Toc14724"/>
      <w:bookmarkStart w:id="1637" w:name="_Toc137074942"/>
      <w:bookmarkStart w:id="1638" w:name="_Toc112032692"/>
      <w:bookmarkStart w:id="1639" w:name="_Toc438571660"/>
      <w:bookmarkStart w:id="1640" w:name="_Toc10083"/>
      <w:bookmarkStart w:id="1641" w:name="_Toc12173"/>
      <w:bookmarkStart w:id="1642" w:name="_Toc500352763"/>
      <w:r>
        <w:rPr>
          <w:rFonts w:hint="default" w:ascii="Times New Roman" w:hAnsi="Times New Roman" w:eastAsia="黑体" w:cs="Times New Roman"/>
          <w:b w:val="0"/>
          <w:i w:val="0"/>
          <w:iCs/>
          <w:color w:val="auto"/>
          <w:sz w:val="30"/>
          <w:szCs w:val="30"/>
          <w:highlight w:val="none"/>
        </w:rPr>
        <w:t>二、授权委托书或法定代表人身份证明</w:t>
      </w:r>
      <w:bookmarkEnd w:id="1634"/>
      <w:bookmarkEnd w:id="1635"/>
      <w:bookmarkEnd w:id="1636"/>
      <w:bookmarkEnd w:id="1637"/>
      <w:bookmarkEnd w:id="1638"/>
      <w:bookmarkEnd w:id="1639"/>
      <w:bookmarkEnd w:id="1640"/>
      <w:bookmarkEnd w:id="1641"/>
      <w:bookmarkEnd w:id="1642"/>
    </w:p>
    <w:p w14:paraId="1B3A5021">
      <w:pPr>
        <w:rPr>
          <w:rFonts w:hint="default" w:ascii="Times New Roman" w:hAnsi="Times New Roman" w:eastAsia="黑体" w:cs="Times New Roman"/>
          <w:color w:val="auto"/>
          <w:szCs w:val="21"/>
          <w:highlight w:val="none"/>
        </w:rPr>
      </w:pPr>
    </w:p>
    <w:p w14:paraId="28DADF5F">
      <w:pPr>
        <w:rPr>
          <w:rFonts w:hint="default" w:ascii="Times New Roman" w:hAnsi="Times New Roman" w:eastAsia="黑体" w:cs="Times New Roman"/>
          <w:color w:val="auto"/>
          <w:szCs w:val="21"/>
          <w:highlight w:val="none"/>
        </w:rPr>
      </w:pPr>
    </w:p>
    <w:p w14:paraId="128109C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注：①如果由投标人的委托代理人签署投标文件，则只须按要求提供《授权委托书》；</w:t>
      </w:r>
    </w:p>
    <w:p w14:paraId="707191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②如果由投标人的法定代表人签署投标文件，则只须按要求提供《法定代表人身份证明》。</w:t>
      </w:r>
    </w:p>
    <w:p w14:paraId="76D4B175">
      <w:pPr>
        <w:spacing w:line="360" w:lineRule="auto"/>
        <w:ind w:firstLine="480" w:firstLineChars="200"/>
        <w:rPr>
          <w:rFonts w:hint="default" w:ascii="Times New Roman" w:hAnsi="Times New Roman" w:eastAsia="黑体" w:cs="Times New Roman"/>
          <w:color w:val="auto"/>
          <w:sz w:val="24"/>
          <w:highlight w:val="none"/>
        </w:rPr>
      </w:pPr>
    </w:p>
    <w:p w14:paraId="550CBA50">
      <w:pPr>
        <w:keepNext/>
        <w:keepLines/>
        <w:widowControl/>
        <w:tabs>
          <w:tab w:val="left" w:pos="1440"/>
        </w:tabs>
        <w:wordWrap w:val="0"/>
        <w:topLinePunct/>
        <w:spacing w:line="440" w:lineRule="exact"/>
        <w:jc w:val="center"/>
        <w:outlineLvl w:val="9"/>
        <w:rPr>
          <w:rFonts w:hint="default" w:ascii="Times New Roman" w:hAnsi="Times New Roman" w:eastAsia="黑体" w:cs="Times New Roman"/>
          <w:bCs/>
          <w:color w:val="auto"/>
          <w:kern w:val="0"/>
          <w:sz w:val="24"/>
          <w:highlight w:val="none"/>
        </w:rPr>
      </w:pPr>
      <w:r>
        <w:rPr>
          <w:rFonts w:hint="default" w:ascii="Times New Roman" w:hAnsi="Times New Roman" w:cs="Times New Roman"/>
          <w:color w:val="auto"/>
          <w:highlight w:val="none"/>
        </w:rPr>
        <w:br w:type="page"/>
      </w:r>
      <w:bookmarkStart w:id="1643" w:name="_Toc483640988"/>
      <w:bookmarkStart w:id="1644" w:name="_Toc500352764"/>
      <w:bookmarkStart w:id="1645" w:name="_Toc495663699"/>
      <w:r>
        <w:rPr>
          <w:rFonts w:hint="default" w:ascii="Times New Roman" w:hAnsi="Times New Roman" w:eastAsia="黑体" w:cs="Times New Roman"/>
          <w:bCs/>
          <w:color w:val="auto"/>
          <w:kern w:val="0"/>
          <w:sz w:val="24"/>
          <w:highlight w:val="none"/>
        </w:rPr>
        <w:t>（一）授权委托书</w:t>
      </w:r>
    </w:p>
    <w:p w14:paraId="038A0921">
      <w:pPr>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（投标人名称）的法定代表人，现委托</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（姓名）为我方代理人。代理人根据授权，以我方名义签署、澄清确认、递交、撤回、修改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default" w:ascii="Times New Roman" w:hAnsi="Times New Roman" w:cs="Times New Roman"/>
          <w:color w:val="auto"/>
          <w:sz w:val="24"/>
          <w:highlight w:val="none"/>
        </w:rPr>
        <w:t>施工投标文件、签订合同和处理有关事宜，其法律后果由我方承担。</w:t>
      </w:r>
    </w:p>
    <w:p w14:paraId="5AD697BB">
      <w:pPr>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委托期限：自本委托书签署之日起至投标有效期期满。</w:t>
      </w:r>
    </w:p>
    <w:p w14:paraId="55AF018B">
      <w:pPr>
        <w:wordWrap w:val="0"/>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代理人无转委托权。</w:t>
      </w:r>
    </w:p>
    <w:p w14:paraId="60A612CD">
      <w:pPr>
        <w:wordWrap w:val="0"/>
        <w:topLinePunct/>
        <w:spacing w:line="440" w:lineRule="exact"/>
        <w:ind w:firstLine="480" w:firstLineChars="200"/>
        <w:rPr>
          <w:rFonts w:hint="default" w:ascii="Times New Roman" w:hAnsi="Times New Roman" w:cs="Times New Roman"/>
          <w:color w:val="auto"/>
          <w:sz w:val="24"/>
          <w:highlight w:val="none"/>
        </w:rPr>
      </w:pPr>
    </w:p>
    <w:p w14:paraId="3DC63226">
      <w:pP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法定代表人身份证</w:t>
      </w:r>
      <w:r>
        <w:rPr>
          <w:rFonts w:hint="eastAsia" w:eastAsia="黑体" w:cs="Times New Roman"/>
          <w:color w:val="auto"/>
          <w:sz w:val="24"/>
          <w:highlight w:val="none"/>
          <w:lang w:val="en-US" w:eastAsia="zh-CN"/>
        </w:rPr>
        <w:t>原件扫描件</w:t>
      </w:r>
      <w:r>
        <w:rPr>
          <w:rFonts w:hint="default" w:ascii="Times New Roman" w:hAnsi="Times New Roman" w:eastAsia="黑体" w:cs="Times New Roman"/>
          <w:color w:val="auto"/>
          <w:sz w:val="24"/>
          <w:highlight w:val="none"/>
        </w:rPr>
        <w:t xml:space="preserve">       </w:t>
      </w:r>
      <w:r>
        <w:rPr>
          <w:rFonts w:hint="eastAsia" w:eastAsia="黑体" w:cs="Times New Roman"/>
          <w:color w:val="auto"/>
          <w:sz w:val="24"/>
          <w:highlight w:val="none"/>
          <w:lang w:val="en-US" w:eastAsia="zh-CN"/>
        </w:rPr>
        <w:t xml:space="preserve">      </w:t>
      </w:r>
      <w:r>
        <w:rPr>
          <w:rFonts w:hint="default" w:ascii="Times New Roman" w:hAnsi="Times New Roman" w:eastAsia="黑体" w:cs="Times New Roman"/>
          <w:color w:val="auto"/>
          <w:sz w:val="24"/>
          <w:highlight w:val="none"/>
        </w:rPr>
        <w:t>委托代理人身份证</w:t>
      </w:r>
      <w:r>
        <w:rPr>
          <w:rFonts w:hint="eastAsia" w:eastAsia="黑体" w:cs="Times New Roman"/>
          <w:color w:val="auto"/>
          <w:sz w:val="24"/>
          <w:highlight w:val="none"/>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2A55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1FED8FF0">
            <w:pPr>
              <w:topLinePunct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（国徽面）</w:t>
            </w:r>
          </w:p>
        </w:tc>
        <w:tc>
          <w:tcPr>
            <w:tcW w:w="4644" w:type="dxa"/>
            <w:vAlign w:val="center"/>
          </w:tcPr>
          <w:p w14:paraId="04A5607C">
            <w:pPr>
              <w:topLinePun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（国徽面）</w:t>
            </w:r>
          </w:p>
        </w:tc>
      </w:tr>
      <w:tr w14:paraId="62BD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1B5788A6">
            <w:pPr>
              <w:topLinePunct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（人像面）</w:t>
            </w:r>
          </w:p>
        </w:tc>
        <w:tc>
          <w:tcPr>
            <w:tcW w:w="4644" w:type="dxa"/>
            <w:vAlign w:val="center"/>
          </w:tcPr>
          <w:p w14:paraId="03963C8C">
            <w:pPr>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（人像面）</w:t>
            </w:r>
          </w:p>
        </w:tc>
      </w:tr>
    </w:tbl>
    <w:p w14:paraId="6CB2013E">
      <w:pPr>
        <w:wordWrap w:val="0"/>
        <w:topLinePunct/>
        <w:spacing w:line="440" w:lineRule="exact"/>
        <w:rPr>
          <w:rFonts w:hint="default" w:ascii="Times New Roman" w:hAnsi="Times New Roman" w:cs="Times New Roman"/>
          <w:color w:val="auto"/>
          <w:sz w:val="24"/>
          <w:highlight w:val="none"/>
        </w:rPr>
      </w:pPr>
    </w:p>
    <w:p w14:paraId="7208679C">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（全称） （</w:t>
      </w:r>
      <w:r>
        <w:rPr>
          <w:rFonts w:hint="default" w:ascii="Times New Roman" w:hAnsi="Times New Roman" w:cs="Times New Roman"/>
          <w:color w:val="auto"/>
          <w:sz w:val="24"/>
          <w:highlight w:val="none"/>
          <w:lang w:val="en-US" w:eastAsia="zh-CN"/>
        </w:rPr>
        <w:t>盖单位电子印章</w:t>
      </w:r>
      <w:r>
        <w:rPr>
          <w:rFonts w:hint="default" w:ascii="Times New Roman" w:hAnsi="Times New Roman" w:cs="Times New Roman"/>
          <w:color w:val="auto"/>
          <w:sz w:val="24"/>
          <w:highlight w:val="none"/>
        </w:rPr>
        <w:t>）</w:t>
      </w:r>
    </w:p>
    <w:p w14:paraId="5A9A9D02">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1142A1C5">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129BB46C">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p>
    <w:p w14:paraId="09A9141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75FC87C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r>
        <w:rPr>
          <w:rFonts w:hint="default" w:ascii="Times New Roman" w:hAnsi="Times New Roman" w:cs="Times New Roman"/>
          <w:color w:val="auto"/>
          <w:sz w:val="24"/>
          <w:highlight w:val="none"/>
          <w:u w:val="single"/>
        </w:rPr>
        <w:t xml:space="preserve">                            </w:t>
      </w:r>
    </w:p>
    <w:p w14:paraId="7708B68C">
      <w:pPr>
        <w:wordWrap w:val="0"/>
        <w:topLinePunct/>
        <w:spacing w:line="400" w:lineRule="atLeast"/>
        <w:ind w:left="418" w:leftChars="199" w:firstLine="3720" w:firstLineChars="155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月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日</w:t>
      </w:r>
    </w:p>
    <w:p w14:paraId="7000BB06">
      <w:pPr>
        <w:wordWrap w:val="0"/>
        <w:topLinePunct/>
        <w:spacing w:line="400" w:lineRule="atLeast"/>
        <w:ind w:firstLine="420" w:firstLineChars="200"/>
        <w:rPr>
          <w:rFonts w:hint="default" w:ascii="Times New Roman" w:hAnsi="Times New Roman" w:eastAsia="黑体" w:cs="Times New Roman"/>
          <w:color w:val="auto"/>
          <w:szCs w:val="21"/>
          <w:highlight w:val="none"/>
        </w:rPr>
      </w:pPr>
    </w:p>
    <w:p w14:paraId="54DE23B9">
      <w:pPr>
        <w:wordWrap w:val="0"/>
        <w:topLinePunct/>
        <w:spacing w:line="400" w:lineRule="atLeast"/>
        <w:ind w:firstLine="420" w:firstLineChars="200"/>
        <w:rPr>
          <w:rFonts w:hint="default" w:ascii="Times New Roman" w:hAnsi="Times New Roman" w:eastAsia="黑体" w:cs="Times New Roman"/>
          <w:color w:val="auto"/>
          <w:szCs w:val="21"/>
          <w:highlight w:val="none"/>
        </w:rPr>
      </w:pPr>
      <w:r>
        <w:rPr>
          <w:rFonts w:hint="default" w:ascii="Times New Roman" w:hAnsi="Times New Roman" w:cs="Times New Roman"/>
          <w:color w:val="auto"/>
          <w:kern w:val="2"/>
          <w:sz w:val="21"/>
          <w:szCs w:val="21"/>
          <w:highlight w:val="none"/>
        </w:rPr>
        <w:t>注：</w:t>
      </w:r>
      <w:r>
        <w:rPr>
          <w:rFonts w:hint="default" w:ascii="Times New Roman" w:hAnsi="Times New Roman" w:cs="Times New Roman"/>
          <w:color w:val="auto"/>
          <w:szCs w:val="21"/>
          <w:highlight w:val="none"/>
        </w:rPr>
        <w:t>以联合体形式投标的，本授权委托书应由联合体牵头人的法定代表人按上述规定签署。</w:t>
      </w:r>
    </w:p>
    <w:p w14:paraId="1791B4B3">
      <w:pPr>
        <w:spacing w:line="360" w:lineRule="auto"/>
        <w:ind w:firstLine="3360"/>
        <w:jc w:val="right"/>
        <w:rPr>
          <w:rFonts w:hint="default" w:ascii="Times New Roman" w:hAnsi="Times New Roman" w:eastAsia="仿宋_GB2312" w:cs="Times New Roman"/>
          <w:color w:val="auto"/>
          <w:sz w:val="32"/>
          <w:szCs w:val="32"/>
          <w:highlight w:val="none"/>
        </w:rPr>
      </w:pPr>
    </w:p>
    <w:p w14:paraId="7E075929">
      <w:pP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br w:type="page"/>
      </w:r>
    </w:p>
    <w:p w14:paraId="1A0AE75B">
      <w:pPr>
        <w:keepNext/>
        <w:keepLines/>
        <w:widowControl/>
        <w:tabs>
          <w:tab w:val="left" w:pos="1440"/>
        </w:tabs>
        <w:wordWrap w:val="0"/>
        <w:topLinePunct/>
        <w:spacing w:line="440" w:lineRule="exact"/>
        <w:jc w:val="center"/>
        <w:outlineLvl w:val="9"/>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（二）法定代表人身份证明</w:t>
      </w:r>
      <w:bookmarkEnd w:id="1643"/>
      <w:bookmarkEnd w:id="1644"/>
      <w:bookmarkEnd w:id="1645"/>
    </w:p>
    <w:p w14:paraId="331F0BCB">
      <w:pPr>
        <w:rPr>
          <w:rFonts w:hint="default" w:ascii="Times New Roman" w:hAnsi="Times New Roman" w:cs="Times New Roman"/>
          <w:color w:val="auto"/>
          <w:highlight w:val="none"/>
        </w:rPr>
      </w:pPr>
    </w:p>
    <w:p w14:paraId="1610D116">
      <w:pPr>
        <w:rPr>
          <w:rFonts w:hint="default" w:ascii="Times New Roman" w:hAnsi="Times New Roman" w:cs="Times New Roman"/>
          <w:color w:val="auto"/>
          <w:highlight w:val="none"/>
        </w:rPr>
      </w:pPr>
    </w:p>
    <w:p w14:paraId="1741E7BA">
      <w:pPr>
        <w:wordWrap w:val="0"/>
        <w:topLinePunct/>
        <w:spacing w:line="440" w:lineRule="exact"/>
        <w:rPr>
          <w:rFonts w:hint="default" w:ascii="Times New Roman" w:hAnsi="Times New Roman" w:cs="Times New Roman"/>
          <w:color w:val="auto"/>
          <w:sz w:val="24"/>
          <w:highlight w:val="none"/>
        </w:rPr>
      </w:pPr>
      <w:bookmarkStart w:id="1646" w:name="_Toc29148"/>
      <w:bookmarkStart w:id="1647" w:name="_Toc21278"/>
      <w:r>
        <w:rPr>
          <w:rFonts w:hint="default" w:ascii="Times New Roman" w:hAnsi="Times New Roman" w:cs="Times New Roman"/>
          <w:color w:val="auto"/>
          <w:sz w:val="24"/>
          <w:highlight w:val="none"/>
        </w:rPr>
        <w:t>投标人名称：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3402290F">
      <w:pPr>
        <w:wordWrap w:val="0"/>
        <w:topLinePunct/>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bCs/>
          <w:color w:val="auto"/>
          <w:sz w:val="24"/>
          <w:highlight w:val="none"/>
          <w:u w:val="single"/>
        </w:rPr>
        <w:t>（法定代表人个人</w:t>
      </w:r>
      <w:r>
        <w:rPr>
          <w:rFonts w:hint="eastAsia" w:cs="Times New Roman"/>
          <w:bCs/>
          <w:color w:val="auto"/>
          <w:sz w:val="24"/>
          <w:highlight w:val="none"/>
          <w:u w:val="single"/>
          <w:lang w:eastAsia="zh-CN"/>
        </w:rPr>
        <w:t>电子签名</w:t>
      </w:r>
      <w:r>
        <w:rPr>
          <w:rFonts w:hint="default" w:ascii="Times New Roman" w:hAnsi="Times New Roman" w:cs="Times New Roman"/>
          <w:bCs/>
          <w:color w:val="auto"/>
          <w:sz w:val="24"/>
          <w:highlight w:val="none"/>
          <w:u w:val="single"/>
        </w:rPr>
        <w:t>或个人电子印章）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性别：</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年龄：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（投标人名称）的法定代表人。</w:t>
      </w:r>
    </w:p>
    <w:p w14:paraId="524AD98B">
      <w:pPr>
        <w:wordWrap w:val="0"/>
        <w:topLinePunct/>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特此证明。</w:t>
      </w:r>
    </w:p>
    <w:p w14:paraId="12467B6D">
      <w:pPr>
        <w:wordWrap w:val="0"/>
        <w:topLinePunct/>
        <w:spacing w:line="440" w:lineRule="exact"/>
        <w:rPr>
          <w:rFonts w:hint="default" w:ascii="Times New Roman" w:hAnsi="Times New Roman" w:cs="Times New Roman"/>
          <w:color w:val="auto"/>
          <w:sz w:val="24"/>
          <w:highlight w:val="none"/>
        </w:rPr>
      </w:pPr>
    </w:p>
    <w:p w14:paraId="011AC195">
      <w:pPr>
        <w:topLinePunct/>
        <w:spacing w:line="440" w:lineRule="exact"/>
        <w:jc w:val="center"/>
        <w:outlineLvl w:val="9"/>
        <w:rPr>
          <w:rFonts w:hint="default" w:ascii="Times New Roman" w:hAnsi="Times New Roman" w:eastAsia="黑体" w:cs="Times New Roman"/>
          <w:color w:val="auto"/>
          <w:sz w:val="24"/>
          <w:highlight w:val="none"/>
          <w:lang w:val="en-US" w:eastAsia="zh-CN"/>
        </w:rPr>
      </w:pPr>
      <w:bookmarkStart w:id="1648" w:name="_Toc15500"/>
      <w:r>
        <w:rPr>
          <w:rFonts w:hint="default" w:ascii="Times New Roman" w:hAnsi="Times New Roman" w:eastAsia="黑体" w:cs="Times New Roman"/>
          <w:color w:val="auto"/>
          <w:sz w:val="24"/>
          <w:highlight w:val="none"/>
        </w:rPr>
        <w:t>法定代表人身份证</w:t>
      </w:r>
      <w:r>
        <w:rPr>
          <w:rFonts w:hint="eastAsia" w:eastAsia="黑体" w:cs="Times New Roman"/>
          <w:color w:val="auto"/>
          <w:sz w:val="24"/>
          <w:highlight w:val="none"/>
          <w:lang w:val="en-US" w:eastAsia="zh-CN"/>
        </w:rPr>
        <w:t>原件扫描件</w:t>
      </w:r>
      <w:bookmarkEnd w:id="1648"/>
    </w:p>
    <w:p w14:paraId="1CCC7511">
      <w:pPr>
        <w:ind w:firstLine="420"/>
        <w:rPr>
          <w:rFonts w:hint="default" w:ascii="Times New Roman" w:hAnsi="Times New Roman" w:cs="Times New Roman"/>
          <w:color w:val="auto"/>
          <w:highlight w:val="none"/>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9C5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5C8C9686">
            <w:pPr>
              <w:wordWrap w:val="0"/>
              <w:topLinePunct/>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国徽面</w:t>
            </w:r>
            <w:r>
              <w:rPr>
                <w:rFonts w:hint="default" w:ascii="Times New Roman" w:hAnsi="Times New Roman" w:cs="Times New Roman"/>
                <w:color w:val="auto"/>
                <w:sz w:val="24"/>
                <w:highlight w:val="none"/>
              </w:rPr>
              <w:t>）</w:t>
            </w:r>
          </w:p>
        </w:tc>
        <w:tc>
          <w:tcPr>
            <w:tcW w:w="4644" w:type="dxa"/>
            <w:vAlign w:val="center"/>
          </w:tcPr>
          <w:p w14:paraId="111B8C00">
            <w:pPr>
              <w:wordWrap w:val="0"/>
              <w:topLinePunct/>
              <w:spacing w:line="44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人像面</w:t>
            </w:r>
            <w:r>
              <w:rPr>
                <w:rFonts w:hint="default" w:ascii="Times New Roman" w:hAnsi="Times New Roman" w:cs="Times New Roman"/>
                <w:color w:val="auto"/>
                <w:sz w:val="24"/>
                <w:highlight w:val="none"/>
              </w:rPr>
              <w:t>）</w:t>
            </w:r>
          </w:p>
        </w:tc>
      </w:tr>
    </w:tbl>
    <w:p w14:paraId="171E0117">
      <w:pPr>
        <w:wordWrap w:val="0"/>
        <w:topLinePunct/>
        <w:spacing w:line="440" w:lineRule="exact"/>
        <w:rPr>
          <w:rFonts w:hint="default" w:ascii="Times New Roman" w:hAnsi="Times New Roman" w:cs="Times New Roman"/>
          <w:color w:val="auto"/>
          <w:sz w:val="24"/>
          <w:highlight w:val="none"/>
        </w:rPr>
      </w:pPr>
    </w:p>
    <w:p w14:paraId="296851BC">
      <w:pPr>
        <w:wordWrap w:val="0"/>
        <w:topLinePunct/>
        <w:spacing w:line="440" w:lineRule="exact"/>
        <w:rPr>
          <w:rFonts w:hint="default" w:ascii="Times New Roman" w:hAnsi="Times New Roman" w:cs="Times New Roman"/>
          <w:color w:val="auto"/>
          <w:sz w:val="24"/>
          <w:highlight w:val="none"/>
        </w:rPr>
      </w:pPr>
    </w:p>
    <w:p w14:paraId="055C6AFA">
      <w:pPr>
        <w:wordWrap w:val="0"/>
        <w:topLinePunct/>
        <w:spacing w:line="440" w:lineRule="exact"/>
        <w:rPr>
          <w:rFonts w:hint="default" w:ascii="Times New Roman" w:hAnsi="Times New Roman" w:cs="Times New Roman"/>
          <w:color w:val="auto"/>
          <w:sz w:val="24"/>
          <w:highlight w:val="none"/>
        </w:rPr>
      </w:pPr>
    </w:p>
    <w:p w14:paraId="21E0AE5F">
      <w:pPr>
        <w:wordWrap w:val="0"/>
        <w:topLinePunct/>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投标人：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（全称） （盖单位</w:t>
      </w:r>
      <w:r>
        <w:rPr>
          <w:rFonts w:hint="default" w:ascii="Times New Roman" w:hAnsi="Times New Roman" w:cs="Times New Roman"/>
          <w:color w:val="auto"/>
          <w:sz w:val="24"/>
          <w:highlight w:val="none"/>
          <w:lang w:val="en-US" w:eastAsia="zh-CN"/>
        </w:rPr>
        <w:t>电子印</w:t>
      </w:r>
      <w:r>
        <w:rPr>
          <w:rFonts w:hint="default" w:ascii="Times New Roman" w:hAnsi="Times New Roman" w:cs="Times New Roman"/>
          <w:color w:val="auto"/>
          <w:sz w:val="24"/>
          <w:highlight w:val="none"/>
        </w:rPr>
        <w:t>章）</w:t>
      </w:r>
    </w:p>
    <w:p w14:paraId="6D807BC9">
      <w:pPr>
        <w:wordWrap w:val="0"/>
        <w:topLinePunct/>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298F57C">
      <w:pPr>
        <w:wordWrap w:val="0"/>
        <w:topLinePunct/>
        <w:spacing w:line="440" w:lineRule="exact"/>
        <w:rPr>
          <w:rFonts w:hint="default" w:ascii="Times New Roman" w:hAnsi="Times New Roman" w:eastAsia="黑体" w:cs="Times New Roman"/>
          <w:color w:val="auto"/>
          <w:sz w:val="24"/>
          <w:highlight w:val="none"/>
        </w:rPr>
      </w:pPr>
    </w:p>
    <w:p w14:paraId="220CAA96">
      <w:pPr>
        <w:wordWrap w:val="0"/>
        <w:topLinePunct/>
        <w:spacing w:line="440" w:lineRule="exact"/>
        <w:rPr>
          <w:rFonts w:hint="default" w:ascii="Times New Roman" w:hAnsi="Times New Roman" w:eastAsia="黑体" w:cs="Times New Roman"/>
          <w:color w:val="auto"/>
          <w:sz w:val="24"/>
          <w:highlight w:val="none"/>
        </w:rPr>
      </w:pPr>
    </w:p>
    <w:p w14:paraId="626B4713">
      <w:pPr>
        <w:wordWrap w:val="0"/>
        <w:topLinePunct/>
        <w:spacing w:line="400" w:lineRule="atLeast"/>
        <w:ind w:firstLine="420" w:firstLineChars="200"/>
        <w:rPr>
          <w:rFonts w:hint="default" w:ascii="Times New Roman" w:hAnsi="Times New Roman" w:eastAsia="黑体" w:cs="Times New Roman"/>
          <w:color w:val="auto"/>
          <w:szCs w:val="21"/>
          <w:highlight w:val="none"/>
        </w:rPr>
      </w:pPr>
      <w:r>
        <w:rPr>
          <w:rFonts w:hint="default" w:ascii="Times New Roman" w:hAnsi="Times New Roman" w:cs="Times New Roman"/>
          <w:color w:val="auto"/>
          <w:kern w:val="2"/>
          <w:sz w:val="21"/>
          <w:szCs w:val="21"/>
          <w:highlight w:val="none"/>
        </w:rPr>
        <w:t>注：</w:t>
      </w:r>
      <w:r>
        <w:rPr>
          <w:rFonts w:hint="default" w:ascii="Times New Roman" w:hAnsi="Times New Roman" w:cs="Times New Roman"/>
          <w:color w:val="auto"/>
          <w:szCs w:val="21"/>
          <w:highlight w:val="none"/>
        </w:rPr>
        <w:t>以联合体形式投标的，本法定代表人身份证明应由联合体牵头人的法定代表人按上述规定签署。</w:t>
      </w:r>
    </w:p>
    <w:p w14:paraId="446C2935">
      <w:pPr>
        <w:pStyle w:val="2"/>
        <w:pageBreakBefore w:val="0"/>
        <w:kinsoku/>
        <w:wordWrap w:val="0"/>
        <w:overflowPunct/>
        <w:bidi w:val="0"/>
        <w:spacing w:beforeLines="150" w:afterLines="100" w:line="380" w:lineRule="atLeast"/>
        <w:jc w:val="center"/>
        <w:outlineLvl w:val="9"/>
        <w:rPr>
          <w:rFonts w:hint="default" w:ascii="Times New Roman" w:hAnsi="Times New Roman" w:eastAsia="黑体" w:cs="Times New Roman"/>
          <w:color w:val="auto"/>
          <w:sz w:val="28"/>
          <w:szCs w:val="28"/>
          <w:highlight w:val="none"/>
        </w:rPr>
        <w:sectPr>
          <w:headerReference r:id="rId39" w:type="even"/>
          <w:footnotePr>
            <w:numFmt w:val="decimalEnclosedCircleChinese"/>
            <w:numRestart w:val="eachPage"/>
          </w:footnotePr>
          <w:type w:val="continuous"/>
          <w:pgSz w:w="11906" w:h="16838"/>
          <w:pgMar w:top="1588" w:right="1644" w:bottom="1474" w:left="1701" w:header="851" w:footer="851" w:gutter="0"/>
          <w:pgNumType w:fmt="decimal"/>
          <w:cols w:space="425" w:num="1"/>
          <w:docGrid w:linePitch="312" w:charSpace="0"/>
        </w:sectPr>
      </w:pPr>
    </w:p>
    <w:p w14:paraId="433B2795">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r>
        <w:rPr>
          <w:rFonts w:hint="default" w:ascii="Times New Roman" w:hAnsi="Times New Roman" w:eastAsia="黑体" w:cs="Times New Roman"/>
          <w:b w:val="0"/>
          <w:i w:val="0"/>
          <w:iCs/>
          <w:color w:val="auto"/>
          <w:sz w:val="30"/>
          <w:szCs w:val="30"/>
          <w:highlight w:val="none"/>
        </w:rPr>
        <w:t>三、联合体协议书</w:t>
      </w:r>
      <w:r>
        <w:rPr>
          <w:rFonts w:hint="default" w:ascii="Times New Roman" w:hAnsi="Times New Roman" w:eastAsia="黑体" w:cs="Times New Roman"/>
          <w:b w:val="0"/>
          <w:i w:val="0"/>
          <w:iCs/>
          <w:color w:val="auto"/>
          <w:sz w:val="30"/>
          <w:szCs w:val="30"/>
          <w:highlight w:val="none"/>
          <w:vertAlign w:val="superscript"/>
        </w:rPr>
        <w:footnoteReference w:id="49"/>
      </w:r>
      <w:bookmarkEnd w:id="1633"/>
      <w:bookmarkEnd w:id="1646"/>
      <w:bookmarkEnd w:id="1647"/>
    </w:p>
    <w:p w14:paraId="4555BF17">
      <w:pPr>
        <w:pageBreakBefore w:val="0"/>
        <w:kinsoku/>
        <w:wordWrap w:val="0"/>
        <w:bidi w:val="0"/>
        <w:spacing w:line="440" w:lineRule="exact"/>
        <w:jc w:val="center"/>
        <w:rPr>
          <w:rFonts w:hint="default" w:ascii="Times New Roman" w:hAnsi="Times New Roman" w:eastAsia="黑体" w:cs="Times New Roman"/>
          <w:color w:val="auto"/>
          <w:sz w:val="24"/>
          <w:highlight w:val="none"/>
        </w:rPr>
      </w:pPr>
    </w:p>
    <w:p w14:paraId="61C68373">
      <w:pPr>
        <w:pageBreakBefore w:val="0"/>
        <w:kinsoku/>
        <w:wordWrap w:val="0"/>
        <w:bidi w:val="0"/>
        <w:spacing w:line="400" w:lineRule="atLeast"/>
        <w:ind w:firstLine="360"/>
        <w:rPr>
          <w:rFonts w:hint="default" w:ascii="Times New Roman" w:hAnsi="Times New Roman" w:cs="Times New Roman"/>
          <w:color w:val="auto"/>
          <w:sz w:val="24"/>
          <w:highlight w:val="none"/>
        </w:rPr>
      </w:pPr>
      <w:bookmarkStart w:id="1649" w:name="_Toc25301"/>
      <w:bookmarkStart w:id="1650" w:name="_Toc234833262"/>
      <w:bookmarkStart w:id="1651" w:name="_Toc21516"/>
      <w:r>
        <w:rPr>
          <w:rFonts w:hint="default" w:ascii="Times New Roman" w:hAnsi="Times New Roman" w:eastAsia="黑体" w:cs="Times New Roman"/>
          <w:color w:val="auto"/>
          <w:sz w:val="24"/>
          <w:highlight w:val="none"/>
          <w:u w:val="single"/>
        </w:rPr>
        <w:t xml:space="preserve">                </w:t>
      </w:r>
      <w:r>
        <w:rPr>
          <w:rFonts w:hint="default" w:ascii="Times New Roman" w:hAnsi="Times New Roman" w:eastAsia="黑体" w:cs="Times New Roman"/>
          <w:color w:val="auto"/>
          <w:sz w:val="24"/>
          <w:highlight w:val="none"/>
        </w:rPr>
        <w:t>（</w:t>
      </w:r>
      <w:r>
        <w:rPr>
          <w:rFonts w:hint="default" w:ascii="Times New Roman" w:hAnsi="Times New Roman" w:cs="Times New Roman"/>
          <w:color w:val="auto"/>
          <w:sz w:val="24"/>
          <w:highlight w:val="none"/>
        </w:rPr>
        <w:t>所有成员单位名称）自愿组成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（联合体名称）联合体，共同参加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标段</w:t>
      </w:r>
      <w:r>
        <w:rPr>
          <w:rFonts w:hint="default" w:ascii="Times New Roman" w:hAnsi="Times New Roman" w:cs="Times New Roman"/>
          <w:color w:val="auto"/>
          <w:sz w:val="24"/>
          <w:highlight w:val="none"/>
        </w:rPr>
        <w:t>名称）施工投标。现就联合体投标事宜订立如下协议。</w:t>
      </w:r>
    </w:p>
    <w:p w14:paraId="0C6459A5">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（某成员单位名称）为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（联合体名称）牵头人。</w:t>
      </w:r>
    </w:p>
    <w:p w14:paraId="16E39F79">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2.联合体各成员授权牵头人代表联合体参加投标活动，签署文件，提交和接收相</w:t>
      </w:r>
      <w:bookmarkStart w:id="1652" w:name="_Toc361508755"/>
      <w:bookmarkStart w:id="1653" w:name="_Toc300835212"/>
      <w:bookmarkStart w:id="1654" w:name="_Toc247527830"/>
      <w:bookmarkStart w:id="1655" w:name="_Toc144974859"/>
      <w:bookmarkStart w:id="1656" w:name="_Toc152042579"/>
      <w:bookmarkStart w:id="1657" w:name="_Toc247514249"/>
      <w:bookmarkStart w:id="1658" w:name="_Toc152045790"/>
      <w:bookmarkStart w:id="1659" w:name="_Toc384308378"/>
      <w:r>
        <w:rPr>
          <w:rFonts w:hint="default" w:ascii="Times New Roman" w:hAnsi="Times New Roman" w:cs="Times New Roman"/>
          <w:color w:val="auto"/>
          <w:sz w:val="24"/>
          <w:highlight w:val="none"/>
        </w:rPr>
        <w:t>关的</w:t>
      </w:r>
      <w:bookmarkStart w:id="1660" w:name="_Toc7749"/>
      <w:bookmarkStart w:id="1661" w:name="_Toc369531700"/>
      <w:bookmarkStart w:id="1662" w:name="_Toc352691664"/>
      <w:r>
        <w:rPr>
          <w:rFonts w:hint="default" w:ascii="Times New Roman" w:hAnsi="Times New Roman" w:cs="Times New Roman"/>
          <w:color w:val="auto"/>
          <w:sz w:val="24"/>
          <w:highlight w:val="none"/>
        </w:rPr>
        <w:t>资料、信息及</w:t>
      </w:r>
      <w:bookmarkEnd w:id="1660"/>
      <w:bookmarkEnd w:id="1661"/>
      <w:bookmarkEnd w:id="1662"/>
      <w:r>
        <w:rPr>
          <w:rFonts w:hint="default" w:ascii="Times New Roman" w:hAnsi="Times New Roman" w:cs="Times New Roman"/>
          <w:color w:val="auto"/>
          <w:sz w:val="24"/>
          <w:highlight w:val="none"/>
        </w:rPr>
        <w:t>指</w:t>
      </w:r>
      <w:bookmarkEnd w:id="1652"/>
      <w:bookmarkEnd w:id="1653"/>
      <w:bookmarkEnd w:id="1654"/>
      <w:bookmarkEnd w:id="1655"/>
      <w:bookmarkEnd w:id="1656"/>
      <w:bookmarkEnd w:id="1657"/>
      <w:bookmarkEnd w:id="1658"/>
      <w:bookmarkEnd w:id="1659"/>
      <w:r>
        <w:rPr>
          <w:rFonts w:hint="default" w:ascii="Times New Roman" w:hAnsi="Times New Roman" w:cs="Times New Roman"/>
          <w:color w:val="auto"/>
          <w:sz w:val="24"/>
          <w:highlight w:val="none"/>
        </w:rPr>
        <w:t>示，进行合同谈判活动，负责合同实施阶段的组织和协调工作，以及处理与本招标项目有关的一切事宜。</w:t>
      </w:r>
    </w:p>
    <w:p w14:paraId="5822A898">
      <w:pPr>
        <w:pageBreakBefore w:val="0"/>
        <w:kinsoku/>
        <w:wordWrap w:val="0"/>
        <w:bidi w:val="0"/>
        <w:spacing w:line="400" w:lineRule="atLeast"/>
        <w:ind w:firstLine="39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FDC54ED">
      <w:pPr>
        <w:pageBreakBefore w:val="0"/>
        <w:kinsoku/>
        <w:wordWrap w:val="0"/>
        <w:topLinePunct/>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4.联合体各成员单位内部的职责分工如下：</w:t>
      </w:r>
      <w:r>
        <w:rPr>
          <w:rFonts w:hint="default" w:ascii="Times New Roman" w:hAnsi="Times New Roman" w:cs="Times New Roman"/>
          <w:color w:val="auto"/>
          <w:sz w:val="24"/>
          <w:highlight w:val="none"/>
          <w:u w:val="single"/>
        </w:rPr>
        <w:t>（牵头人名称）</w:t>
      </w:r>
      <w:r>
        <w:rPr>
          <w:rFonts w:hint="default" w:ascii="Times New Roman" w:hAnsi="Times New Roman" w:cs="Times New Roman"/>
          <w:color w:val="auto"/>
          <w:sz w:val="24"/>
          <w:highlight w:val="none"/>
        </w:rPr>
        <w:t>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专业工程，占总工程量的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Style w:val="48"/>
          <w:rFonts w:hint="default" w:ascii="Times New Roman" w:hAnsi="Times New Roman" w:cs="Times New Roman"/>
          <w:color w:val="auto"/>
          <w:sz w:val="24"/>
          <w:highlight w:val="none"/>
        </w:rPr>
        <w:footnoteReference w:id="50"/>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（成员一名称）</w:t>
      </w:r>
      <w:r>
        <w:rPr>
          <w:rFonts w:hint="default" w:ascii="Times New Roman" w:hAnsi="Times New Roman" w:cs="Times New Roman"/>
          <w:color w:val="auto"/>
          <w:sz w:val="24"/>
          <w:highlight w:val="none"/>
        </w:rPr>
        <w:t>承担</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专业工程，占总工程量的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F4F11C2">
      <w:pPr>
        <w:pageBreakBefore w:val="0"/>
        <w:kinsoku/>
        <w:wordWrap w:val="0"/>
        <w:topLinePunct/>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5.投标工作和联合体在中标后工程实施过程中的有关费用按各自承担的工作量分摊。</w:t>
      </w:r>
    </w:p>
    <w:p w14:paraId="48756149">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6.本协议书自所有成员单位法定代表人签字并加盖单位章之日起生效，合同履行完毕后自动失效。</w:t>
      </w:r>
    </w:p>
    <w:p w14:paraId="47E616AF">
      <w:pPr>
        <w:pageBreakBefore w:val="0"/>
        <w:kinsoku/>
        <w:wordWrap w:val="0"/>
        <w:bidi w:val="0"/>
        <w:spacing w:line="400" w:lineRule="atLeast"/>
        <w:ind w:firstLine="480" w:firstLineChars="200"/>
        <w:outlineLvl w:val="9"/>
        <w:rPr>
          <w:rFonts w:hint="default" w:ascii="Times New Roman" w:hAnsi="Times New Roman" w:cs="Times New Roman"/>
          <w:color w:val="auto"/>
          <w:sz w:val="24"/>
          <w:highlight w:val="none"/>
        </w:rPr>
      </w:pPr>
      <w:bookmarkStart w:id="1663" w:name="_Toc26822"/>
      <w:bookmarkStart w:id="1664" w:name="_Toc8257"/>
      <w:r>
        <w:rPr>
          <w:rFonts w:hint="default" w:ascii="Times New Roman" w:hAnsi="Times New Roman" w:cs="Times New Roman"/>
          <w:color w:val="auto"/>
          <w:sz w:val="24"/>
          <w:highlight w:val="none"/>
        </w:rPr>
        <w:t>7.本协议书一式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份，联合体成员和招标人各执一份。</w:t>
      </w:r>
      <w:bookmarkEnd w:id="1663"/>
      <w:bookmarkEnd w:id="1664"/>
    </w:p>
    <w:p w14:paraId="4EA061D9">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p>
    <w:p w14:paraId="7F979ABA">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联合体牵头人名称：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lang w:val="en-US" w:eastAsia="zh-CN"/>
        </w:rPr>
        <w:t>或盖单位电子印章</w:t>
      </w:r>
      <w:r>
        <w:rPr>
          <w:rFonts w:hint="default" w:ascii="Times New Roman" w:hAnsi="Times New Roman" w:cs="Times New Roman"/>
          <w:color w:val="auto"/>
          <w:sz w:val="24"/>
          <w:highlight w:val="none"/>
        </w:rPr>
        <w:t>）</w:t>
      </w:r>
    </w:p>
    <w:p w14:paraId="203AA59C">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val="en-US" w:eastAsia="zh-CN"/>
        </w:rPr>
        <w:t>或</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25A17274">
      <w:pPr>
        <w:topLinePunct/>
        <w:spacing w:line="400" w:lineRule="atLeast"/>
        <w:ind w:firstLine="411" w:firstLineChars="19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p w14:paraId="6125465C">
      <w:pPr>
        <w:topLinePunct/>
        <w:spacing w:line="400" w:lineRule="atLeast"/>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联合体成员名称：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r>
        <w:rPr>
          <w:rFonts w:hint="default" w:ascii="Times New Roman" w:hAnsi="Times New Roman" w:cs="Times New Roman"/>
          <w:color w:val="auto"/>
          <w:sz w:val="24"/>
          <w:highlight w:val="none"/>
          <w:lang w:val="en-US" w:eastAsia="zh-CN"/>
        </w:rPr>
        <w:t>或盖单位电子印章</w:t>
      </w:r>
      <w:r>
        <w:rPr>
          <w:rFonts w:hint="default" w:ascii="Times New Roman" w:hAnsi="Times New Roman" w:cs="Times New Roman"/>
          <w:color w:val="auto"/>
          <w:sz w:val="24"/>
          <w:highlight w:val="none"/>
        </w:rPr>
        <w:t>）</w:t>
      </w:r>
    </w:p>
    <w:p w14:paraId="1A27E645">
      <w:pPr>
        <w:pageBreakBefore w:val="0"/>
        <w:kinsoku/>
        <w:wordWrap w:val="0"/>
        <w:overflowPunct/>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w:t>
      </w:r>
      <w:r>
        <w:rPr>
          <w:rFonts w:hint="default" w:ascii="Times New Roman" w:hAnsi="Times New Roman" w:cs="Times New Roman"/>
          <w:color w:val="auto"/>
          <w:sz w:val="24"/>
          <w:highlight w:val="none"/>
          <w:lang w:val="en-US" w:eastAsia="zh-CN"/>
        </w:rPr>
        <w:t>或</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33A9CB52">
      <w:pPr>
        <w:pageBreakBefore w:val="0"/>
        <w:kinsoku/>
        <w:wordWrap w:val="0"/>
        <w:overflowPunct/>
        <w:bidi w:val="0"/>
        <w:spacing w:line="400" w:lineRule="atLeast"/>
        <w:ind w:firstLine="480" w:firstLineChars="20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w:t>
      </w:r>
    </w:p>
    <w:p w14:paraId="06C6FB8A">
      <w:pPr>
        <w:pageBreakBefore w:val="0"/>
        <w:kinsoku/>
        <w:wordWrap w:val="0"/>
        <w:bidi w:val="0"/>
        <w:spacing w:line="400" w:lineRule="atLeast"/>
        <w:ind w:firstLine="4620" w:firstLineChars="1925"/>
        <w:rPr>
          <w:rFonts w:hint="default" w:ascii="Times New Roman" w:hAnsi="Times New Roman" w:eastAsia="黑体" w:cs="Times New Roman"/>
          <w:color w:val="auto"/>
          <w:sz w:val="24"/>
          <w:highlight w:val="none"/>
          <w:u w:val="singl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年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33C4BDDD">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r>
        <w:rPr>
          <w:rFonts w:hint="default" w:ascii="Times New Roman" w:hAnsi="Times New Roman" w:eastAsia="黑体" w:cs="Times New Roman"/>
          <w:b w:val="0"/>
          <w:color w:val="auto"/>
          <w:sz w:val="28"/>
          <w:szCs w:val="28"/>
          <w:highlight w:val="none"/>
        </w:rPr>
        <w:br w:type="page"/>
      </w:r>
      <w:r>
        <w:rPr>
          <w:rFonts w:hint="default" w:ascii="Times New Roman" w:hAnsi="Times New Roman" w:eastAsia="黑体" w:cs="Times New Roman"/>
          <w:b w:val="0"/>
          <w:i w:val="0"/>
          <w:iCs/>
          <w:color w:val="auto"/>
          <w:sz w:val="30"/>
          <w:szCs w:val="30"/>
          <w:highlight w:val="none"/>
        </w:rPr>
        <w:t>四、投标保证金</w:t>
      </w:r>
      <w:bookmarkEnd w:id="1649"/>
      <w:bookmarkEnd w:id="1650"/>
      <w:bookmarkEnd w:id="1651"/>
    </w:p>
    <w:p w14:paraId="1B4F15C8">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p>
    <w:p w14:paraId="4C1EA4DF">
      <w:pPr>
        <w:spacing w:line="400" w:lineRule="atLeast"/>
        <w:ind w:firstLine="508" w:firstLineChars="21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若采用现金，投标人应在此提供汇款凭证的</w:t>
      </w:r>
      <w:r>
        <w:rPr>
          <w:rFonts w:hint="eastAsia" w:cs="Times New Roman"/>
          <w:color w:val="auto"/>
          <w:sz w:val="24"/>
          <w:highlight w:val="none"/>
          <w:lang w:val="en-US" w:eastAsia="zh-CN"/>
        </w:rPr>
        <w:t>原件扫描件</w:t>
      </w:r>
      <w:r>
        <w:rPr>
          <w:rFonts w:hint="default" w:ascii="Times New Roman" w:hAnsi="Times New Roman" w:cs="Times New Roman"/>
          <w:color w:val="auto"/>
          <w:sz w:val="24"/>
          <w:highlight w:val="none"/>
        </w:rPr>
        <w:t>。</w:t>
      </w:r>
    </w:p>
    <w:p w14:paraId="6B8B6226">
      <w:pPr>
        <w:spacing w:line="400" w:lineRule="exact"/>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若采用电子保函，</w:t>
      </w:r>
      <w:r>
        <w:rPr>
          <w:rFonts w:hint="default" w:ascii="Times New Roman" w:hAnsi="Times New Roman" w:cs="Times New Roman"/>
          <w:color w:val="auto"/>
          <w:sz w:val="24"/>
          <w:highlight w:val="none"/>
        </w:rPr>
        <w:t>投标人应在此提供</w:t>
      </w:r>
      <w:r>
        <w:rPr>
          <w:rFonts w:hint="default" w:ascii="Times New Roman" w:hAnsi="Times New Roman" w:cs="Times New Roman"/>
          <w:b w:val="0"/>
          <w:bCs w:val="0"/>
          <w:color w:val="auto"/>
          <w:sz w:val="24"/>
          <w:szCs w:val="24"/>
          <w:highlight w:val="none"/>
          <w:lang w:val="en-US" w:eastAsia="zh-CN"/>
        </w:rPr>
        <w:t>电子化保函验真渠道和从投标人基本账户支出</w:t>
      </w:r>
      <w:r>
        <w:rPr>
          <w:rFonts w:hint="eastAsia" w:cs="Times New Roman"/>
          <w:b w:val="0"/>
          <w:bCs w:val="0"/>
          <w:color w:val="auto"/>
          <w:sz w:val="24"/>
          <w:szCs w:val="24"/>
          <w:highlight w:val="none"/>
          <w:lang w:val="en-US" w:eastAsia="zh-CN"/>
        </w:rPr>
        <w:t>的</w:t>
      </w:r>
      <w:r>
        <w:rPr>
          <w:rFonts w:hint="default" w:ascii="Times New Roman" w:hAnsi="Times New Roman" w:cs="Times New Roman"/>
          <w:b w:val="0"/>
          <w:bCs w:val="0"/>
          <w:color w:val="auto"/>
          <w:sz w:val="24"/>
          <w:szCs w:val="24"/>
          <w:highlight w:val="none"/>
          <w:lang w:val="en-US" w:eastAsia="zh-CN"/>
        </w:rPr>
        <w:t>保函财务费用支付</w:t>
      </w:r>
      <w:r>
        <w:rPr>
          <w:rFonts w:hint="eastAsia" w:cs="Times New Roman"/>
          <w:b w:val="0"/>
          <w:bCs w:val="0"/>
          <w:color w:val="auto"/>
          <w:sz w:val="24"/>
          <w:szCs w:val="24"/>
          <w:highlight w:val="none"/>
          <w:lang w:val="en-US" w:eastAsia="zh-CN"/>
        </w:rPr>
        <w:t>凭证</w:t>
      </w:r>
      <w:r>
        <w:rPr>
          <w:rFonts w:hint="default" w:ascii="Times New Roman" w:hAnsi="Times New Roman" w:cs="Times New Roman"/>
          <w:b w:val="0"/>
          <w:bCs w:val="0"/>
          <w:color w:val="auto"/>
          <w:sz w:val="24"/>
          <w:szCs w:val="24"/>
          <w:highlight w:val="none"/>
          <w:lang w:val="en-US" w:eastAsia="zh-CN"/>
        </w:rPr>
        <w:t>。</w:t>
      </w:r>
    </w:p>
    <w:p w14:paraId="3D706224">
      <w:pPr>
        <w:spacing w:line="400" w:lineRule="exact"/>
        <w:ind w:firstLine="480" w:firstLineChars="200"/>
        <w:rPr>
          <w:rFonts w:hint="default" w:ascii="Times New Roman" w:hAnsi="Times New Roman" w:eastAsia="黑体" w:cs="Times New Roman"/>
          <w:color w:val="auto"/>
          <w:sz w:val="24"/>
          <w:highlight w:val="none"/>
        </w:rPr>
      </w:pPr>
      <w:r>
        <w:rPr>
          <w:rFonts w:hint="default" w:ascii="Times New Roman" w:hAnsi="Times New Roman" w:cs="Times New Roman"/>
          <w:color w:val="auto"/>
          <w:sz w:val="24"/>
          <w:highlight w:val="none"/>
          <w:lang w:val="en-US" w:eastAsia="zh-CN"/>
        </w:rPr>
        <w:t>若</w:t>
      </w:r>
      <w:r>
        <w:rPr>
          <w:rFonts w:hint="default" w:ascii="Times New Roman" w:hAnsi="Times New Roman" w:cs="Times New Roman"/>
          <w:color w:val="auto"/>
          <w:sz w:val="24"/>
          <w:highlight w:val="none"/>
        </w:rPr>
        <w:t>采用银行保函，投标人应在此提供银行保函</w:t>
      </w:r>
      <w:r>
        <w:rPr>
          <w:rFonts w:hint="eastAsia" w:cs="Times New Roman"/>
          <w:color w:val="auto"/>
          <w:sz w:val="24"/>
          <w:highlight w:val="none"/>
          <w:lang w:val="en-US" w:eastAsia="zh-CN"/>
        </w:rPr>
        <w:t>原件扫描件</w:t>
      </w:r>
      <w:r>
        <w:rPr>
          <w:rFonts w:hint="default" w:ascii="Times New Roman" w:hAnsi="Times New Roman" w:cs="Times New Roman"/>
          <w:color w:val="auto"/>
          <w:sz w:val="24"/>
          <w:highlight w:val="none"/>
        </w:rPr>
        <w:t>，格式如下。</w:t>
      </w:r>
    </w:p>
    <w:p w14:paraId="5068F21D">
      <w:pPr>
        <w:spacing w:line="400" w:lineRule="exact"/>
        <w:ind w:firstLine="480" w:firstLineChars="200"/>
        <w:rPr>
          <w:rFonts w:hint="default" w:ascii="Times New Roman" w:hAnsi="Times New Roman" w:cs="Times New Roman"/>
          <w:color w:val="auto"/>
          <w:sz w:val="24"/>
          <w:highlight w:val="none"/>
        </w:rPr>
      </w:pPr>
    </w:p>
    <w:p w14:paraId="744560AF">
      <w:pPr>
        <w:spacing w:line="40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投标保函</w:t>
      </w:r>
    </w:p>
    <w:p w14:paraId="7337287E">
      <w:pPr>
        <w:spacing w:line="400" w:lineRule="exact"/>
        <w:rPr>
          <w:rFonts w:hint="default" w:ascii="Times New Roman" w:hAnsi="Times New Roman" w:cs="Times New Roman"/>
          <w:color w:val="auto"/>
          <w:sz w:val="24"/>
          <w:highlight w:val="none"/>
          <w:u w:val="single"/>
        </w:rPr>
      </w:pPr>
    </w:p>
    <w:p w14:paraId="656689A2">
      <w:pPr>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你方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w:t>
      </w:r>
    </w:p>
    <w:p w14:paraId="67144301">
      <w:pPr>
        <w:spacing w:line="400" w:lineRule="exact"/>
        <w:jc w:val="center"/>
        <w:rPr>
          <w:rFonts w:hint="default" w:ascii="Times New Roman" w:hAnsi="Times New Roman" w:cs="Times New Roman"/>
          <w:color w:val="auto"/>
          <w:sz w:val="24"/>
          <w:highlight w:val="none"/>
        </w:rPr>
      </w:pPr>
    </w:p>
    <w:p w14:paraId="2A21E144">
      <w:pPr>
        <w:wordWrap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（投标人名称）（以下称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投标人</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日参加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eastAsia" w:cs="Times New Roman"/>
          <w:color w:val="auto"/>
          <w:sz w:val="24"/>
          <w:highlight w:val="none"/>
          <w:lang w:val="en-US" w:eastAsia="zh-CN"/>
        </w:rPr>
        <w:t>施工</w:t>
      </w:r>
      <w:r>
        <w:rPr>
          <w:rFonts w:hint="default" w:ascii="Times New Roman" w:hAnsi="Times New Roman" w:cs="Times New Roman"/>
          <w:color w:val="auto"/>
          <w:sz w:val="24"/>
          <w:highlight w:val="none"/>
        </w:rPr>
        <w:t>的投标，</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（担保人名称，以下简称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我方</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743E262C">
      <w:pPr>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本保函在投标有效期或经延长的投标有效期内保持有效。要求我方承担保证责任的通知应在上述期限内送达我方。你方延长投标有效期的决定，应通知我方。</w:t>
      </w:r>
    </w:p>
    <w:p w14:paraId="3F63547A">
      <w:pPr>
        <w:rPr>
          <w:rFonts w:hint="default" w:ascii="Times New Roman" w:hAnsi="Times New Roman" w:cs="Times New Roman"/>
          <w:color w:val="auto"/>
          <w:sz w:val="24"/>
          <w:highlight w:val="none"/>
        </w:rPr>
      </w:pPr>
    </w:p>
    <w:p w14:paraId="3D574408">
      <w:pPr>
        <w:rPr>
          <w:rFonts w:hint="default" w:ascii="Times New Roman" w:hAnsi="Times New Roman" w:cs="Times New Roman"/>
          <w:color w:val="auto"/>
          <w:sz w:val="24"/>
          <w:highlight w:val="none"/>
        </w:rPr>
      </w:pPr>
    </w:p>
    <w:p w14:paraId="66F123E7">
      <w:pPr>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担保人名称：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14:paraId="6B3559B2">
      <w:pPr>
        <w:autoSpaceDE w:val="0"/>
        <w:autoSpaceDN w:val="0"/>
        <w:adjustRightInd w:val="0"/>
        <w:spacing w:line="400" w:lineRule="atLeast"/>
        <w:ind w:firstLine="2400" w:firstLineChars="10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担保人法定代表人或其委托代理人（签字）：</w:t>
      </w:r>
      <w:r>
        <w:rPr>
          <w:rFonts w:hint="default" w:ascii="Times New Roman" w:hAnsi="Times New Roman" w:cs="Times New Roman"/>
          <w:color w:val="auto"/>
          <w:sz w:val="24"/>
          <w:highlight w:val="none"/>
          <w:u w:val="single"/>
        </w:rPr>
        <w:t xml:space="preserve">                 </w:t>
      </w:r>
    </w:p>
    <w:p w14:paraId="5C75A127">
      <w:pPr>
        <w:autoSpaceDE w:val="0"/>
        <w:autoSpaceDN w:val="0"/>
        <w:adjustRightInd w:val="0"/>
        <w:spacing w:line="400" w:lineRule="atLeast"/>
        <w:ind w:left="2409" w:leftChars="1147"/>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担保人地址：</w:t>
      </w:r>
      <w:r>
        <w:rPr>
          <w:rFonts w:hint="default" w:ascii="Times New Roman" w:hAnsi="Times New Roman" w:cs="Times New Roman"/>
          <w:color w:val="auto"/>
          <w:sz w:val="24"/>
          <w:highlight w:val="none"/>
          <w:u w:val="single"/>
        </w:rPr>
        <w:t xml:space="preserve">                                        </w:t>
      </w:r>
    </w:p>
    <w:p w14:paraId="4B04546D">
      <w:pPr>
        <w:autoSpaceDE w:val="0"/>
        <w:autoSpaceDN w:val="0"/>
        <w:adjustRightInd w:val="0"/>
        <w:spacing w:line="400" w:lineRule="atLeast"/>
        <w:ind w:left="2409" w:leftChars="1147"/>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担保人电话：</w:t>
      </w:r>
      <w:r>
        <w:rPr>
          <w:rFonts w:hint="default" w:ascii="Times New Roman" w:hAnsi="Times New Roman" w:cs="Times New Roman"/>
          <w:color w:val="auto"/>
          <w:sz w:val="24"/>
          <w:highlight w:val="none"/>
          <w:u w:val="single"/>
        </w:rPr>
        <w:t xml:space="preserve">                  </w:t>
      </w:r>
    </w:p>
    <w:p w14:paraId="4C6F8CDB">
      <w:pPr>
        <w:autoSpaceDE w:val="0"/>
        <w:autoSpaceDN w:val="0"/>
        <w:adjustRightInd w:val="0"/>
        <w:spacing w:line="400" w:lineRule="atLeast"/>
        <w:ind w:left="2409" w:leftChars="1147"/>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担保人传真：</w:t>
      </w:r>
      <w:r>
        <w:rPr>
          <w:rFonts w:hint="default" w:ascii="Times New Roman" w:hAnsi="Times New Roman" w:cs="Times New Roman"/>
          <w:color w:val="auto"/>
          <w:sz w:val="24"/>
          <w:highlight w:val="none"/>
          <w:u w:val="single"/>
        </w:rPr>
        <w:t xml:space="preserve">                  </w:t>
      </w:r>
    </w:p>
    <w:p w14:paraId="17AD3560">
      <w:pPr>
        <w:pageBreakBefore w:val="0"/>
        <w:kinsoku/>
        <w:wordWrap w:val="0"/>
        <w:overflowPunct/>
        <w:bidi w:val="0"/>
        <w:spacing w:line="440" w:lineRule="exact"/>
        <w:ind w:firstLine="5040" w:firstLineChars="2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0C870398">
      <w:pPr>
        <w:pageBreakBefore w:val="0"/>
        <w:kinsoku/>
        <w:wordWrap w:val="0"/>
        <w:bidi w:val="0"/>
        <w:spacing w:line="440" w:lineRule="exact"/>
        <w:rPr>
          <w:rFonts w:hint="default" w:ascii="Times New Roman" w:hAnsi="Times New Roman" w:cs="Times New Roman"/>
          <w:color w:val="auto"/>
          <w:sz w:val="24"/>
          <w:highlight w:val="none"/>
        </w:rPr>
      </w:pPr>
    </w:p>
    <w:p w14:paraId="521AF0A9">
      <w:pPr>
        <w:pageBreakBefore w:val="0"/>
        <w:kinsoku/>
        <w:wordWrap w:val="0"/>
        <w:bidi w:val="0"/>
        <w:spacing w:line="440" w:lineRule="exact"/>
        <w:rPr>
          <w:rFonts w:hint="default" w:ascii="Times New Roman" w:hAnsi="Times New Roman" w:eastAsia="黑体" w:cs="Times New Roman"/>
          <w:color w:val="auto"/>
          <w:sz w:val="24"/>
          <w:highlight w:val="none"/>
        </w:rPr>
      </w:pPr>
    </w:p>
    <w:p w14:paraId="03C82F92">
      <w:pPr>
        <w:pageBreakBefore w:val="0"/>
        <w:kinsoku/>
        <w:wordWrap w:val="0"/>
        <w:bidi w:val="0"/>
        <w:spacing w:line="440" w:lineRule="exact"/>
        <w:rPr>
          <w:rFonts w:hint="default" w:ascii="Times New Roman" w:hAnsi="Times New Roman" w:cs="Times New Roman"/>
          <w:color w:val="auto"/>
          <w:sz w:val="24"/>
          <w:highlight w:val="none"/>
        </w:rPr>
      </w:pPr>
    </w:p>
    <w:p w14:paraId="207018A3">
      <w:pPr>
        <w:pStyle w:val="6"/>
        <w:keepLines w:val="0"/>
        <w:pageBreakBefore w:val="0"/>
        <w:widowControl w:val="0"/>
        <w:kinsoku/>
        <w:wordWrap w:val="0"/>
        <w:overflowPunct/>
        <w:topLinePunct w:val="0"/>
        <w:autoSpaceDE/>
        <w:autoSpaceDN/>
        <w:bidi w:val="0"/>
        <w:snapToGrid/>
        <w:spacing w:before="0" w:after="0" w:line="360" w:lineRule="auto"/>
        <w:jc w:val="center"/>
        <w:outlineLvl w:val="3"/>
        <w:rPr>
          <w:rFonts w:hint="default" w:ascii="Times New Roman" w:hAnsi="Times New Roman" w:eastAsia="黑体" w:cs="Times New Roman"/>
          <w:b w:val="0"/>
          <w:i w:val="0"/>
          <w:iCs/>
          <w:color w:val="auto"/>
          <w:sz w:val="30"/>
          <w:szCs w:val="30"/>
          <w:highlight w:val="none"/>
          <w:lang w:eastAsia="zh-CN"/>
        </w:rPr>
      </w:pPr>
      <w:bookmarkStart w:id="1665" w:name="_Toc27090"/>
      <w:bookmarkStart w:id="1666" w:name="_Toc14539"/>
      <w:bookmarkStart w:id="1667" w:name="_Toc234833264"/>
      <w:r>
        <w:rPr>
          <w:rFonts w:hint="default" w:ascii="Times New Roman" w:hAnsi="Times New Roman" w:eastAsia="黑体" w:cs="Times New Roman"/>
          <w:b w:val="0"/>
          <w:i w:val="0"/>
          <w:iCs/>
          <w:color w:val="auto"/>
          <w:sz w:val="30"/>
          <w:szCs w:val="30"/>
          <w:highlight w:val="none"/>
        </w:rPr>
        <w:t>五、施工组织设计</w:t>
      </w:r>
      <w:bookmarkEnd w:id="1665"/>
      <w:bookmarkEnd w:id="1666"/>
    </w:p>
    <w:p w14:paraId="2E10A23B">
      <w:pPr>
        <w:keepLines w:val="0"/>
        <w:pageBreakBefore w:val="0"/>
        <w:widowControl w:val="0"/>
        <w:kinsoku/>
        <w:wordWrap w:val="0"/>
        <w:overflowPunct/>
        <w:topLinePunct w:val="0"/>
        <w:autoSpaceDE/>
        <w:autoSpaceDN/>
        <w:bidi w:val="0"/>
        <w:snapToGrid/>
        <w:spacing w:line="360" w:lineRule="auto"/>
        <w:jc w:val="center"/>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（适用于合理低价法和经评审的最低投标价法）</w:t>
      </w:r>
    </w:p>
    <w:p w14:paraId="3ACE575A">
      <w:pPr>
        <w:keepLines w:val="0"/>
        <w:pageBreakBefore w:val="0"/>
        <w:widowControl w:val="0"/>
        <w:kinsoku/>
        <w:wordWrap w:val="0"/>
        <w:overflowPunct/>
        <w:topLinePunct w:val="0"/>
        <w:autoSpaceDE/>
        <w:autoSpaceDN/>
        <w:bidi w:val="0"/>
        <w:snapToGrid/>
        <w:spacing w:line="360" w:lineRule="auto"/>
        <w:rPr>
          <w:rFonts w:hint="default" w:ascii="Times New Roman" w:hAnsi="Times New Roman" w:eastAsia="黑体" w:cs="Times New Roman"/>
          <w:color w:val="auto"/>
          <w:sz w:val="20"/>
          <w:szCs w:val="20"/>
          <w:highlight w:val="none"/>
        </w:rPr>
      </w:pPr>
    </w:p>
    <w:p w14:paraId="1562EC56">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投标人应按以下要点编制施工组织设计（文字宜精炼、内容具有针对性）：</w:t>
      </w:r>
    </w:p>
    <w:p w14:paraId="2A4470DC">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1.总体施工组织布置及规划</w:t>
      </w:r>
    </w:p>
    <w:p w14:paraId="2C873189">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2.重点、关键和难点工程的施工方案</w:t>
      </w:r>
    </w:p>
    <w:p w14:paraId="07FD9D0F">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3.工期关键线路图及保证措施</w:t>
      </w:r>
    </w:p>
    <w:p w14:paraId="3558085A">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4.关键工程质量保证措施</w:t>
      </w:r>
    </w:p>
    <w:p w14:paraId="01CF1454">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5.安全保证措施</w:t>
      </w:r>
    </w:p>
    <w:p w14:paraId="5CE73016">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6.环境保护、水土保持、文明施工、文物保护保证措施</w:t>
      </w:r>
    </w:p>
    <w:p w14:paraId="049DEFD2">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7.项目风险预测与防范，事故应急预案</w:t>
      </w:r>
    </w:p>
    <w:p w14:paraId="195FD140">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8.其他应说明的事项</w:t>
      </w:r>
    </w:p>
    <w:p w14:paraId="2A234B49">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p>
    <w:p w14:paraId="1DC3E517">
      <w:pPr>
        <w:pageBreakBefore w:val="0"/>
        <w:kinsoku/>
        <w:wordWrap w:val="0"/>
        <w:bidi w:val="0"/>
        <w:spacing w:before="0" w:after="0" w:line="380" w:lineRule="atLeast"/>
        <w:outlineLvl w:val="9"/>
        <w:rPr>
          <w:rFonts w:hint="default" w:ascii="Times New Roman" w:hAnsi="Times New Roman" w:eastAsia="黑体" w:cs="Times New Roman"/>
          <w:color w:val="auto"/>
          <w:sz w:val="27"/>
          <w:szCs w:val="27"/>
          <w:highlight w:val="none"/>
        </w:rPr>
      </w:pPr>
      <w:r>
        <w:rPr>
          <w:rFonts w:hint="default" w:ascii="Times New Roman" w:hAnsi="Times New Roman" w:eastAsia="黑体" w:cs="Times New Roman"/>
          <w:b w:val="0"/>
          <w:color w:val="auto"/>
          <w:sz w:val="28"/>
          <w:szCs w:val="28"/>
          <w:highlight w:val="none"/>
        </w:rPr>
        <w:br w:type="page"/>
      </w:r>
      <w:bookmarkEnd w:id="1667"/>
    </w:p>
    <w:p w14:paraId="345FFD36">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bookmarkStart w:id="1668" w:name="_Toc7173"/>
      <w:bookmarkStart w:id="1669" w:name="_Toc12366"/>
      <w:bookmarkStart w:id="1670" w:name="_Toc234833275"/>
      <w:r>
        <w:rPr>
          <w:rFonts w:hint="default" w:ascii="Times New Roman" w:hAnsi="Times New Roman" w:eastAsia="黑体" w:cs="Times New Roman"/>
          <w:b w:val="0"/>
          <w:i w:val="0"/>
          <w:iCs/>
          <w:color w:val="auto"/>
          <w:sz w:val="30"/>
          <w:szCs w:val="30"/>
          <w:highlight w:val="none"/>
        </w:rPr>
        <w:t>六、项目管理机构</w:t>
      </w:r>
      <w:bookmarkEnd w:id="1668"/>
      <w:bookmarkEnd w:id="1669"/>
      <w:bookmarkEnd w:id="1670"/>
    </w:p>
    <w:p w14:paraId="144E910B">
      <w:pPr>
        <w:pageBreakBefore w:val="0"/>
        <w:kinsoku/>
        <w:wordWrap w:val="0"/>
        <w:bidi w:val="0"/>
        <w:spacing w:before="0" w:after="0" w:line="380" w:lineRule="atLeast"/>
        <w:outlineLvl w:val="9"/>
        <w:rPr>
          <w:rFonts w:hint="default" w:ascii="Times New Roman" w:hAnsi="Times New Roman" w:eastAsia="黑体" w:cs="Times New Roman"/>
          <w:b w:val="0"/>
          <w:color w:val="auto"/>
          <w:sz w:val="28"/>
          <w:szCs w:val="28"/>
          <w:highlight w:val="none"/>
        </w:rPr>
      </w:pPr>
    </w:p>
    <w:p w14:paraId="1BFAB566">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color w:val="auto"/>
          <w:sz w:val="20"/>
          <w:szCs w:val="20"/>
          <w:highlight w:val="none"/>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145D1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2259A31B">
            <w:pPr>
              <w:pageBreakBefore w:val="0"/>
              <w:kinsoku/>
              <w:wordWrap w:val="0"/>
              <w:bidi w:val="0"/>
              <w:spacing w:line="520" w:lineRule="atLeast"/>
              <w:ind w:left="266" w:hanging="266"/>
              <w:rPr>
                <w:rFonts w:hint="default" w:ascii="Times New Roman" w:hAnsi="Times New Roman" w:cs="Times New Roman"/>
                <w:color w:val="auto"/>
                <w:szCs w:val="21"/>
                <w:highlight w:val="none"/>
              </w:rPr>
            </w:pPr>
          </w:p>
          <w:p w14:paraId="71E59562">
            <w:pPr>
              <w:pageBreakBefore w:val="0"/>
              <w:kinsoku/>
              <w:wordWrap w:val="0"/>
              <w:bidi w:val="0"/>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拟为承包本标段工程设立的组织机构以框图方式表示。</w:t>
            </w:r>
          </w:p>
          <w:p w14:paraId="0C2396A2">
            <w:pPr>
              <w:pageBreakBefore w:val="0"/>
              <w:kinsoku/>
              <w:wordWrap w:val="0"/>
              <w:bidi w:val="0"/>
              <w:spacing w:line="520" w:lineRule="atLeast"/>
              <w:rPr>
                <w:rFonts w:hint="default" w:ascii="Times New Roman" w:hAnsi="Times New Roman" w:cs="Times New Roman"/>
                <w:color w:val="auto"/>
                <w:szCs w:val="21"/>
                <w:highlight w:val="none"/>
              </w:rPr>
            </w:pPr>
          </w:p>
          <w:p w14:paraId="6188410A">
            <w:pPr>
              <w:pageBreakBefore w:val="0"/>
              <w:kinsoku/>
              <w:wordWrap w:val="0"/>
              <w:bidi w:val="0"/>
              <w:spacing w:line="520" w:lineRule="atLeast"/>
              <w:rPr>
                <w:rFonts w:hint="default" w:ascii="Times New Roman" w:hAnsi="Times New Roman" w:cs="Times New Roman"/>
                <w:color w:val="auto"/>
                <w:szCs w:val="21"/>
                <w:highlight w:val="none"/>
              </w:rPr>
            </w:pPr>
          </w:p>
          <w:p w14:paraId="70C81EF3">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560B9AC4">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718554DF">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09270658">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3E0E4F62">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5BAF2EA3">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1791A0FA">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2C2E095D">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6B78BD73">
            <w:pPr>
              <w:pageBreakBefore w:val="0"/>
              <w:kinsoku/>
              <w:wordWrap w:val="0"/>
              <w:bidi w:val="0"/>
              <w:spacing w:line="520" w:lineRule="atLeast"/>
              <w:ind w:right="174" w:rightChars="83"/>
              <w:rPr>
                <w:rFonts w:hint="default" w:ascii="Times New Roman" w:hAnsi="Times New Roman" w:cs="Times New Roman"/>
                <w:color w:val="auto"/>
                <w:szCs w:val="21"/>
                <w:highlight w:val="none"/>
              </w:rPr>
            </w:pPr>
          </w:p>
          <w:p w14:paraId="7B31DAAD">
            <w:pPr>
              <w:pageBreakBefore w:val="0"/>
              <w:kinsoku/>
              <w:wordWrap w:val="0"/>
              <w:bidi w:val="0"/>
              <w:spacing w:line="520" w:lineRule="atLeast"/>
              <w:rPr>
                <w:rFonts w:hint="default" w:ascii="Times New Roman" w:hAnsi="Times New Roman" w:cs="Times New Roman"/>
                <w:color w:val="auto"/>
                <w:szCs w:val="21"/>
                <w:highlight w:val="none"/>
              </w:rPr>
            </w:pPr>
          </w:p>
          <w:p w14:paraId="3D2DC79F">
            <w:pPr>
              <w:pageBreakBefore w:val="0"/>
              <w:kinsoku/>
              <w:wordWrap w:val="0"/>
              <w:bidi w:val="0"/>
              <w:spacing w:line="520" w:lineRule="atLeast"/>
              <w:rPr>
                <w:rFonts w:hint="default" w:ascii="Times New Roman" w:hAnsi="Times New Roman" w:cs="Times New Roman"/>
                <w:color w:val="auto"/>
                <w:szCs w:val="21"/>
                <w:highlight w:val="none"/>
              </w:rPr>
            </w:pPr>
          </w:p>
        </w:tc>
      </w:tr>
      <w:tr w14:paraId="5F1FC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169C0A65">
            <w:pPr>
              <w:pageBreakBefore w:val="0"/>
              <w:kinsoku/>
              <w:wordWrap w:val="0"/>
              <w:bidi w:val="0"/>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14:paraId="7F520A8D">
            <w:pPr>
              <w:pageBreakBefore w:val="0"/>
              <w:kinsoku/>
              <w:wordWrap w:val="0"/>
              <w:bidi w:val="0"/>
              <w:spacing w:line="520" w:lineRule="atLeast"/>
              <w:jc w:val="center"/>
              <w:rPr>
                <w:rFonts w:hint="default" w:ascii="Times New Roman" w:hAnsi="Times New Roman" w:cs="Times New Roman"/>
                <w:color w:val="auto"/>
                <w:szCs w:val="21"/>
                <w:highlight w:val="none"/>
              </w:rPr>
            </w:pPr>
          </w:p>
          <w:p w14:paraId="347AD212">
            <w:pPr>
              <w:pageBreakBefore w:val="0"/>
              <w:kinsoku/>
              <w:wordWrap w:val="0"/>
              <w:bidi w:val="0"/>
              <w:spacing w:line="520" w:lineRule="atLeast"/>
              <w:jc w:val="center"/>
              <w:rPr>
                <w:rFonts w:hint="default" w:ascii="Times New Roman" w:hAnsi="Times New Roman" w:cs="Times New Roman"/>
                <w:color w:val="auto"/>
                <w:szCs w:val="21"/>
                <w:highlight w:val="none"/>
              </w:rPr>
            </w:pPr>
          </w:p>
          <w:p w14:paraId="2A2189AB">
            <w:pPr>
              <w:pageBreakBefore w:val="0"/>
              <w:kinsoku/>
              <w:wordWrap w:val="0"/>
              <w:bidi w:val="0"/>
              <w:spacing w:line="520" w:lineRule="atLeast"/>
              <w:jc w:val="center"/>
              <w:rPr>
                <w:rFonts w:hint="default" w:ascii="Times New Roman" w:hAnsi="Times New Roman" w:cs="Times New Roman"/>
                <w:color w:val="auto"/>
                <w:szCs w:val="21"/>
                <w:highlight w:val="none"/>
              </w:rPr>
            </w:pPr>
          </w:p>
          <w:p w14:paraId="62C93544">
            <w:pPr>
              <w:pageBreakBefore w:val="0"/>
              <w:kinsoku/>
              <w:wordWrap w:val="0"/>
              <w:bidi w:val="0"/>
              <w:spacing w:line="520" w:lineRule="atLeast"/>
              <w:jc w:val="center"/>
              <w:rPr>
                <w:rFonts w:hint="default" w:ascii="Times New Roman" w:hAnsi="Times New Roman" w:cs="Times New Roman"/>
                <w:color w:val="auto"/>
                <w:szCs w:val="21"/>
                <w:highlight w:val="none"/>
              </w:rPr>
            </w:pPr>
          </w:p>
        </w:tc>
      </w:tr>
    </w:tbl>
    <w:p w14:paraId="6D10CAD6">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color w:val="auto"/>
          <w:sz w:val="20"/>
          <w:szCs w:val="20"/>
          <w:highlight w:val="none"/>
        </w:rPr>
      </w:pPr>
    </w:p>
    <w:p w14:paraId="7B46A73E">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bookmarkStart w:id="1671" w:name="_Toc234833276"/>
      <w:bookmarkStart w:id="1672" w:name="_Toc26668"/>
      <w:bookmarkStart w:id="1673" w:name="_Toc9573"/>
      <w:bookmarkStart w:id="1674" w:name="_Toc234833278"/>
      <w:r>
        <w:rPr>
          <w:rFonts w:hint="default" w:ascii="Times New Roman" w:hAnsi="Times New Roman" w:eastAsia="黑体" w:cs="Times New Roman"/>
          <w:b w:val="0"/>
          <w:i w:val="0"/>
          <w:iCs/>
          <w:color w:val="auto"/>
          <w:sz w:val="30"/>
          <w:szCs w:val="30"/>
          <w:highlight w:val="none"/>
        </w:rPr>
        <w:t>七、拟分包项目情况表</w:t>
      </w:r>
      <w:bookmarkEnd w:id="1671"/>
      <w:bookmarkEnd w:id="1672"/>
    </w:p>
    <w:p w14:paraId="20D95EB5">
      <w:pPr>
        <w:wordWrap w:val="0"/>
        <w:spacing w:line="440" w:lineRule="exact"/>
        <w:rPr>
          <w:rFonts w:hint="eastAsia" w:eastAsia="黑体"/>
          <w:color w:val="auto"/>
          <w:sz w:val="20"/>
          <w:szCs w:val="20"/>
          <w:highlight w:val="none"/>
          <w:lang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10D3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14:paraId="10E1AC85">
            <w:pPr>
              <w:wordWrap w:val="0"/>
              <w:spacing w:line="440" w:lineRule="exact"/>
              <w:jc w:val="center"/>
              <w:rPr>
                <w:color w:val="auto"/>
                <w:szCs w:val="21"/>
                <w:highlight w:val="none"/>
              </w:rPr>
            </w:pPr>
            <w:r>
              <w:rPr>
                <w:color w:val="auto"/>
                <w:szCs w:val="21"/>
                <w:highlight w:val="none"/>
              </w:rPr>
              <w:t>拟分包的工程项目</w:t>
            </w:r>
          </w:p>
        </w:tc>
        <w:tc>
          <w:tcPr>
            <w:tcW w:w="2456" w:type="dxa"/>
            <w:vAlign w:val="center"/>
          </w:tcPr>
          <w:p w14:paraId="2587673C">
            <w:pPr>
              <w:wordWrap w:val="0"/>
              <w:spacing w:line="440" w:lineRule="exact"/>
              <w:jc w:val="center"/>
              <w:rPr>
                <w:color w:val="auto"/>
                <w:szCs w:val="21"/>
                <w:highlight w:val="none"/>
              </w:rPr>
            </w:pPr>
            <w:r>
              <w:rPr>
                <w:color w:val="auto"/>
                <w:szCs w:val="21"/>
                <w:highlight w:val="none"/>
              </w:rPr>
              <w:t>主要工程内容</w:t>
            </w:r>
          </w:p>
        </w:tc>
        <w:tc>
          <w:tcPr>
            <w:tcW w:w="1864" w:type="dxa"/>
            <w:vAlign w:val="center"/>
          </w:tcPr>
          <w:p w14:paraId="7C51AC3D">
            <w:pPr>
              <w:wordWrap w:val="0"/>
              <w:spacing w:line="440" w:lineRule="exact"/>
              <w:jc w:val="center"/>
              <w:rPr>
                <w:color w:val="auto"/>
                <w:szCs w:val="21"/>
                <w:highlight w:val="none"/>
              </w:rPr>
            </w:pPr>
            <w:r>
              <w:rPr>
                <w:color w:val="auto"/>
                <w:szCs w:val="21"/>
                <w:highlight w:val="none"/>
              </w:rPr>
              <w:t>预计造价（万元）</w:t>
            </w:r>
          </w:p>
        </w:tc>
        <w:tc>
          <w:tcPr>
            <w:tcW w:w="2582" w:type="dxa"/>
            <w:vAlign w:val="center"/>
          </w:tcPr>
          <w:p w14:paraId="5CC25D38">
            <w:pPr>
              <w:wordWrap w:val="0"/>
              <w:spacing w:line="440" w:lineRule="exact"/>
              <w:jc w:val="center"/>
              <w:rPr>
                <w:color w:val="auto"/>
                <w:szCs w:val="21"/>
                <w:highlight w:val="none"/>
              </w:rPr>
            </w:pPr>
            <w:r>
              <w:rPr>
                <w:color w:val="auto"/>
                <w:szCs w:val="21"/>
                <w:highlight w:val="none"/>
              </w:rPr>
              <w:t>备注</w:t>
            </w:r>
          </w:p>
        </w:tc>
      </w:tr>
      <w:tr w14:paraId="517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vAlign w:val="center"/>
          </w:tcPr>
          <w:p w14:paraId="4FB155FE">
            <w:pPr>
              <w:wordWrap w:val="0"/>
              <w:spacing w:line="440" w:lineRule="exact"/>
              <w:jc w:val="center"/>
              <w:rPr>
                <w:color w:val="auto"/>
                <w:szCs w:val="21"/>
                <w:highlight w:val="none"/>
              </w:rPr>
            </w:pPr>
          </w:p>
        </w:tc>
        <w:tc>
          <w:tcPr>
            <w:tcW w:w="2456" w:type="dxa"/>
            <w:vAlign w:val="center"/>
          </w:tcPr>
          <w:p w14:paraId="2ED6DF2A">
            <w:pPr>
              <w:wordWrap w:val="0"/>
              <w:spacing w:line="440" w:lineRule="exact"/>
              <w:jc w:val="center"/>
              <w:rPr>
                <w:color w:val="auto"/>
                <w:szCs w:val="21"/>
                <w:highlight w:val="none"/>
              </w:rPr>
            </w:pPr>
          </w:p>
        </w:tc>
        <w:tc>
          <w:tcPr>
            <w:tcW w:w="1864" w:type="dxa"/>
            <w:vAlign w:val="center"/>
          </w:tcPr>
          <w:p w14:paraId="6EA4229C">
            <w:pPr>
              <w:wordWrap w:val="0"/>
              <w:spacing w:line="440" w:lineRule="exact"/>
              <w:jc w:val="center"/>
              <w:rPr>
                <w:color w:val="auto"/>
                <w:szCs w:val="21"/>
                <w:highlight w:val="none"/>
              </w:rPr>
            </w:pPr>
          </w:p>
        </w:tc>
        <w:tc>
          <w:tcPr>
            <w:tcW w:w="2582" w:type="dxa"/>
            <w:vMerge w:val="restart"/>
            <w:vAlign w:val="center"/>
          </w:tcPr>
          <w:p w14:paraId="04D74189">
            <w:pPr>
              <w:wordWrap w:val="0"/>
              <w:spacing w:line="440" w:lineRule="exact"/>
              <w:rPr>
                <w:color w:val="auto"/>
                <w:szCs w:val="21"/>
                <w:highlight w:val="none"/>
              </w:rPr>
            </w:pPr>
            <w:r>
              <w:rPr>
                <w:color w:val="auto"/>
                <w:szCs w:val="21"/>
                <w:highlight w:val="none"/>
              </w:rPr>
              <w:t>注：若无分包计划，则投标人应在本表填写</w:t>
            </w:r>
            <w:r>
              <w:rPr>
                <w:rFonts w:hint="eastAsia" w:ascii="宋体" w:hAnsi="宋体" w:eastAsia="宋体" w:cs="宋体"/>
                <w:color w:val="auto"/>
                <w:szCs w:val="21"/>
                <w:highlight w:val="none"/>
              </w:rPr>
              <w:t>“</w:t>
            </w:r>
            <w:r>
              <w:rPr>
                <w:color w:val="auto"/>
                <w:szCs w:val="21"/>
                <w:highlight w:val="none"/>
              </w:rPr>
              <w:t>无</w:t>
            </w:r>
            <w:r>
              <w:rPr>
                <w:rFonts w:hint="eastAsia" w:ascii="宋体" w:hAnsi="宋体" w:eastAsia="宋体" w:cs="宋体"/>
                <w:color w:val="auto"/>
                <w:szCs w:val="21"/>
                <w:highlight w:val="none"/>
              </w:rPr>
              <w:t>”</w:t>
            </w:r>
          </w:p>
        </w:tc>
      </w:tr>
      <w:tr w14:paraId="39B6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vAlign w:val="center"/>
          </w:tcPr>
          <w:p w14:paraId="14BA808C">
            <w:pPr>
              <w:wordWrap w:val="0"/>
              <w:spacing w:line="440" w:lineRule="exact"/>
              <w:jc w:val="center"/>
              <w:rPr>
                <w:color w:val="auto"/>
                <w:szCs w:val="21"/>
                <w:highlight w:val="none"/>
              </w:rPr>
            </w:pPr>
          </w:p>
        </w:tc>
        <w:tc>
          <w:tcPr>
            <w:tcW w:w="2456" w:type="dxa"/>
            <w:vAlign w:val="center"/>
          </w:tcPr>
          <w:p w14:paraId="0567194E">
            <w:pPr>
              <w:wordWrap w:val="0"/>
              <w:spacing w:line="440" w:lineRule="exact"/>
              <w:jc w:val="center"/>
              <w:rPr>
                <w:color w:val="auto"/>
                <w:szCs w:val="21"/>
                <w:highlight w:val="none"/>
              </w:rPr>
            </w:pPr>
          </w:p>
        </w:tc>
        <w:tc>
          <w:tcPr>
            <w:tcW w:w="1864" w:type="dxa"/>
            <w:vAlign w:val="center"/>
          </w:tcPr>
          <w:p w14:paraId="5CAD30C3">
            <w:pPr>
              <w:wordWrap w:val="0"/>
              <w:spacing w:line="440" w:lineRule="exact"/>
              <w:jc w:val="center"/>
              <w:rPr>
                <w:color w:val="auto"/>
                <w:szCs w:val="21"/>
                <w:highlight w:val="none"/>
              </w:rPr>
            </w:pPr>
          </w:p>
        </w:tc>
        <w:tc>
          <w:tcPr>
            <w:tcW w:w="2582" w:type="dxa"/>
            <w:vMerge w:val="continue"/>
            <w:vAlign w:val="center"/>
          </w:tcPr>
          <w:p w14:paraId="6BF7AE6D">
            <w:pPr>
              <w:wordWrap w:val="0"/>
              <w:spacing w:line="440" w:lineRule="exact"/>
              <w:jc w:val="center"/>
              <w:rPr>
                <w:color w:val="auto"/>
                <w:szCs w:val="21"/>
                <w:highlight w:val="none"/>
              </w:rPr>
            </w:pPr>
          </w:p>
        </w:tc>
      </w:tr>
      <w:tr w14:paraId="1ED4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4EF0BEB">
            <w:pPr>
              <w:wordWrap w:val="0"/>
              <w:spacing w:line="440" w:lineRule="exact"/>
              <w:jc w:val="center"/>
              <w:rPr>
                <w:color w:val="auto"/>
                <w:szCs w:val="21"/>
                <w:highlight w:val="none"/>
              </w:rPr>
            </w:pPr>
          </w:p>
        </w:tc>
        <w:tc>
          <w:tcPr>
            <w:tcW w:w="2456" w:type="dxa"/>
            <w:vAlign w:val="center"/>
          </w:tcPr>
          <w:p w14:paraId="1F911D5C">
            <w:pPr>
              <w:wordWrap w:val="0"/>
              <w:spacing w:line="440" w:lineRule="exact"/>
              <w:jc w:val="center"/>
              <w:rPr>
                <w:color w:val="auto"/>
                <w:szCs w:val="21"/>
                <w:highlight w:val="none"/>
              </w:rPr>
            </w:pPr>
          </w:p>
        </w:tc>
        <w:tc>
          <w:tcPr>
            <w:tcW w:w="1864" w:type="dxa"/>
            <w:vAlign w:val="center"/>
          </w:tcPr>
          <w:p w14:paraId="53CAA873">
            <w:pPr>
              <w:wordWrap w:val="0"/>
              <w:spacing w:line="440" w:lineRule="exact"/>
              <w:jc w:val="center"/>
              <w:rPr>
                <w:color w:val="auto"/>
                <w:szCs w:val="21"/>
                <w:highlight w:val="none"/>
              </w:rPr>
            </w:pPr>
          </w:p>
        </w:tc>
        <w:tc>
          <w:tcPr>
            <w:tcW w:w="2582" w:type="dxa"/>
            <w:vMerge w:val="continue"/>
            <w:vAlign w:val="center"/>
          </w:tcPr>
          <w:p w14:paraId="3E92022A">
            <w:pPr>
              <w:wordWrap w:val="0"/>
              <w:spacing w:line="440" w:lineRule="exact"/>
              <w:jc w:val="center"/>
              <w:rPr>
                <w:color w:val="auto"/>
                <w:szCs w:val="21"/>
                <w:highlight w:val="none"/>
              </w:rPr>
            </w:pPr>
          </w:p>
        </w:tc>
      </w:tr>
      <w:tr w14:paraId="2820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vAlign w:val="center"/>
          </w:tcPr>
          <w:p w14:paraId="30CA502D">
            <w:pPr>
              <w:wordWrap w:val="0"/>
              <w:spacing w:line="440" w:lineRule="exact"/>
              <w:jc w:val="center"/>
              <w:rPr>
                <w:color w:val="auto"/>
                <w:szCs w:val="21"/>
                <w:highlight w:val="none"/>
              </w:rPr>
            </w:pPr>
          </w:p>
        </w:tc>
        <w:tc>
          <w:tcPr>
            <w:tcW w:w="2456" w:type="dxa"/>
            <w:vAlign w:val="center"/>
          </w:tcPr>
          <w:p w14:paraId="4AA9C896">
            <w:pPr>
              <w:wordWrap w:val="0"/>
              <w:spacing w:line="440" w:lineRule="exact"/>
              <w:jc w:val="center"/>
              <w:rPr>
                <w:color w:val="auto"/>
                <w:szCs w:val="21"/>
                <w:highlight w:val="none"/>
              </w:rPr>
            </w:pPr>
          </w:p>
        </w:tc>
        <w:tc>
          <w:tcPr>
            <w:tcW w:w="1864" w:type="dxa"/>
            <w:vAlign w:val="center"/>
          </w:tcPr>
          <w:p w14:paraId="50C7913F">
            <w:pPr>
              <w:wordWrap w:val="0"/>
              <w:spacing w:line="440" w:lineRule="exact"/>
              <w:jc w:val="center"/>
              <w:rPr>
                <w:color w:val="auto"/>
                <w:szCs w:val="21"/>
                <w:highlight w:val="none"/>
              </w:rPr>
            </w:pPr>
          </w:p>
        </w:tc>
        <w:tc>
          <w:tcPr>
            <w:tcW w:w="2582" w:type="dxa"/>
            <w:vMerge w:val="continue"/>
            <w:vAlign w:val="center"/>
          </w:tcPr>
          <w:p w14:paraId="0F659B43">
            <w:pPr>
              <w:wordWrap w:val="0"/>
              <w:spacing w:line="440" w:lineRule="exact"/>
              <w:jc w:val="center"/>
              <w:rPr>
                <w:color w:val="auto"/>
                <w:szCs w:val="21"/>
                <w:highlight w:val="none"/>
              </w:rPr>
            </w:pPr>
          </w:p>
        </w:tc>
      </w:tr>
      <w:tr w14:paraId="3BF9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vAlign w:val="center"/>
          </w:tcPr>
          <w:p w14:paraId="052F7938">
            <w:pPr>
              <w:wordWrap w:val="0"/>
              <w:spacing w:line="440" w:lineRule="exact"/>
              <w:jc w:val="center"/>
              <w:rPr>
                <w:color w:val="auto"/>
                <w:szCs w:val="21"/>
                <w:highlight w:val="none"/>
              </w:rPr>
            </w:pPr>
          </w:p>
        </w:tc>
        <w:tc>
          <w:tcPr>
            <w:tcW w:w="2456" w:type="dxa"/>
            <w:vAlign w:val="center"/>
          </w:tcPr>
          <w:p w14:paraId="2B0A2D25">
            <w:pPr>
              <w:wordWrap w:val="0"/>
              <w:spacing w:line="440" w:lineRule="exact"/>
              <w:jc w:val="center"/>
              <w:rPr>
                <w:color w:val="auto"/>
                <w:szCs w:val="21"/>
                <w:highlight w:val="none"/>
              </w:rPr>
            </w:pPr>
          </w:p>
        </w:tc>
        <w:tc>
          <w:tcPr>
            <w:tcW w:w="1864" w:type="dxa"/>
            <w:vAlign w:val="center"/>
          </w:tcPr>
          <w:p w14:paraId="0F205CBA">
            <w:pPr>
              <w:wordWrap w:val="0"/>
              <w:spacing w:line="440" w:lineRule="exact"/>
              <w:jc w:val="center"/>
              <w:rPr>
                <w:color w:val="auto"/>
                <w:szCs w:val="21"/>
                <w:highlight w:val="none"/>
              </w:rPr>
            </w:pPr>
          </w:p>
        </w:tc>
        <w:tc>
          <w:tcPr>
            <w:tcW w:w="2582" w:type="dxa"/>
            <w:vMerge w:val="continue"/>
            <w:vAlign w:val="center"/>
          </w:tcPr>
          <w:p w14:paraId="61C97398">
            <w:pPr>
              <w:wordWrap w:val="0"/>
              <w:spacing w:line="440" w:lineRule="exact"/>
              <w:jc w:val="center"/>
              <w:rPr>
                <w:color w:val="auto"/>
                <w:szCs w:val="21"/>
                <w:highlight w:val="none"/>
              </w:rPr>
            </w:pPr>
          </w:p>
        </w:tc>
      </w:tr>
      <w:tr w14:paraId="64BF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4BB1E689">
            <w:pPr>
              <w:wordWrap w:val="0"/>
              <w:spacing w:line="440" w:lineRule="exact"/>
              <w:jc w:val="center"/>
              <w:rPr>
                <w:color w:val="auto"/>
                <w:szCs w:val="21"/>
                <w:highlight w:val="none"/>
              </w:rPr>
            </w:pPr>
          </w:p>
        </w:tc>
        <w:tc>
          <w:tcPr>
            <w:tcW w:w="2456" w:type="dxa"/>
            <w:vAlign w:val="center"/>
          </w:tcPr>
          <w:p w14:paraId="68B0F703">
            <w:pPr>
              <w:wordWrap w:val="0"/>
              <w:spacing w:line="440" w:lineRule="exact"/>
              <w:jc w:val="center"/>
              <w:rPr>
                <w:color w:val="auto"/>
                <w:szCs w:val="21"/>
                <w:highlight w:val="none"/>
              </w:rPr>
            </w:pPr>
          </w:p>
        </w:tc>
        <w:tc>
          <w:tcPr>
            <w:tcW w:w="1864" w:type="dxa"/>
            <w:vAlign w:val="center"/>
          </w:tcPr>
          <w:p w14:paraId="0A2BC9C8">
            <w:pPr>
              <w:wordWrap w:val="0"/>
              <w:spacing w:line="440" w:lineRule="exact"/>
              <w:jc w:val="center"/>
              <w:rPr>
                <w:color w:val="auto"/>
                <w:szCs w:val="21"/>
                <w:highlight w:val="none"/>
              </w:rPr>
            </w:pPr>
          </w:p>
        </w:tc>
        <w:tc>
          <w:tcPr>
            <w:tcW w:w="2582" w:type="dxa"/>
            <w:vMerge w:val="continue"/>
            <w:vAlign w:val="center"/>
          </w:tcPr>
          <w:p w14:paraId="1F8247D0">
            <w:pPr>
              <w:wordWrap w:val="0"/>
              <w:spacing w:line="440" w:lineRule="exact"/>
              <w:jc w:val="center"/>
              <w:rPr>
                <w:color w:val="auto"/>
                <w:szCs w:val="21"/>
                <w:highlight w:val="none"/>
              </w:rPr>
            </w:pPr>
          </w:p>
        </w:tc>
      </w:tr>
      <w:tr w14:paraId="1F50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917C10C">
            <w:pPr>
              <w:wordWrap w:val="0"/>
              <w:spacing w:line="440" w:lineRule="exact"/>
              <w:jc w:val="center"/>
              <w:rPr>
                <w:color w:val="auto"/>
                <w:szCs w:val="21"/>
                <w:highlight w:val="none"/>
              </w:rPr>
            </w:pPr>
          </w:p>
        </w:tc>
        <w:tc>
          <w:tcPr>
            <w:tcW w:w="2456" w:type="dxa"/>
            <w:vAlign w:val="center"/>
          </w:tcPr>
          <w:p w14:paraId="7A8F3C98">
            <w:pPr>
              <w:wordWrap w:val="0"/>
              <w:spacing w:line="440" w:lineRule="exact"/>
              <w:jc w:val="center"/>
              <w:rPr>
                <w:color w:val="auto"/>
                <w:szCs w:val="21"/>
                <w:highlight w:val="none"/>
              </w:rPr>
            </w:pPr>
          </w:p>
        </w:tc>
        <w:tc>
          <w:tcPr>
            <w:tcW w:w="1864" w:type="dxa"/>
            <w:vAlign w:val="center"/>
          </w:tcPr>
          <w:p w14:paraId="1D382B38">
            <w:pPr>
              <w:wordWrap w:val="0"/>
              <w:spacing w:line="440" w:lineRule="exact"/>
              <w:jc w:val="center"/>
              <w:rPr>
                <w:color w:val="auto"/>
                <w:szCs w:val="21"/>
                <w:highlight w:val="none"/>
              </w:rPr>
            </w:pPr>
          </w:p>
        </w:tc>
        <w:tc>
          <w:tcPr>
            <w:tcW w:w="2582" w:type="dxa"/>
            <w:vMerge w:val="continue"/>
            <w:vAlign w:val="center"/>
          </w:tcPr>
          <w:p w14:paraId="191F6891">
            <w:pPr>
              <w:wordWrap w:val="0"/>
              <w:spacing w:line="440" w:lineRule="exact"/>
              <w:jc w:val="center"/>
              <w:rPr>
                <w:color w:val="auto"/>
                <w:szCs w:val="21"/>
                <w:highlight w:val="none"/>
              </w:rPr>
            </w:pPr>
          </w:p>
        </w:tc>
      </w:tr>
      <w:tr w14:paraId="4B46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07BCE01">
            <w:pPr>
              <w:wordWrap w:val="0"/>
              <w:spacing w:line="440" w:lineRule="exact"/>
              <w:jc w:val="center"/>
              <w:rPr>
                <w:color w:val="auto"/>
                <w:szCs w:val="21"/>
                <w:highlight w:val="none"/>
              </w:rPr>
            </w:pPr>
          </w:p>
        </w:tc>
        <w:tc>
          <w:tcPr>
            <w:tcW w:w="2456" w:type="dxa"/>
            <w:vAlign w:val="center"/>
          </w:tcPr>
          <w:p w14:paraId="4BDFE9DE">
            <w:pPr>
              <w:wordWrap w:val="0"/>
              <w:spacing w:line="440" w:lineRule="exact"/>
              <w:jc w:val="center"/>
              <w:rPr>
                <w:color w:val="auto"/>
                <w:szCs w:val="21"/>
                <w:highlight w:val="none"/>
              </w:rPr>
            </w:pPr>
          </w:p>
        </w:tc>
        <w:tc>
          <w:tcPr>
            <w:tcW w:w="1864" w:type="dxa"/>
            <w:vAlign w:val="center"/>
          </w:tcPr>
          <w:p w14:paraId="45783A30">
            <w:pPr>
              <w:wordWrap w:val="0"/>
              <w:spacing w:line="440" w:lineRule="exact"/>
              <w:jc w:val="center"/>
              <w:rPr>
                <w:color w:val="auto"/>
                <w:szCs w:val="21"/>
                <w:highlight w:val="none"/>
              </w:rPr>
            </w:pPr>
          </w:p>
        </w:tc>
        <w:tc>
          <w:tcPr>
            <w:tcW w:w="2582" w:type="dxa"/>
            <w:vMerge w:val="continue"/>
            <w:vAlign w:val="center"/>
          </w:tcPr>
          <w:p w14:paraId="79B26971">
            <w:pPr>
              <w:wordWrap w:val="0"/>
              <w:spacing w:line="440" w:lineRule="exact"/>
              <w:jc w:val="center"/>
              <w:rPr>
                <w:color w:val="auto"/>
                <w:szCs w:val="21"/>
                <w:highlight w:val="none"/>
              </w:rPr>
            </w:pPr>
          </w:p>
        </w:tc>
      </w:tr>
      <w:tr w14:paraId="64C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A70C7D8">
            <w:pPr>
              <w:wordWrap w:val="0"/>
              <w:spacing w:line="440" w:lineRule="exact"/>
              <w:jc w:val="center"/>
              <w:rPr>
                <w:color w:val="auto"/>
                <w:szCs w:val="21"/>
                <w:highlight w:val="none"/>
              </w:rPr>
            </w:pPr>
          </w:p>
        </w:tc>
        <w:tc>
          <w:tcPr>
            <w:tcW w:w="2456" w:type="dxa"/>
            <w:vAlign w:val="center"/>
          </w:tcPr>
          <w:p w14:paraId="22F82A50">
            <w:pPr>
              <w:wordWrap w:val="0"/>
              <w:spacing w:line="440" w:lineRule="exact"/>
              <w:jc w:val="center"/>
              <w:rPr>
                <w:color w:val="auto"/>
                <w:szCs w:val="21"/>
                <w:highlight w:val="none"/>
              </w:rPr>
            </w:pPr>
          </w:p>
        </w:tc>
        <w:tc>
          <w:tcPr>
            <w:tcW w:w="1864" w:type="dxa"/>
            <w:vAlign w:val="center"/>
          </w:tcPr>
          <w:p w14:paraId="22A63B4A">
            <w:pPr>
              <w:wordWrap w:val="0"/>
              <w:spacing w:line="440" w:lineRule="exact"/>
              <w:jc w:val="center"/>
              <w:rPr>
                <w:color w:val="auto"/>
                <w:szCs w:val="21"/>
                <w:highlight w:val="none"/>
              </w:rPr>
            </w:pPr>
          </w:p>
        </w:tc>
        <w:tc>
          <w:tcPr>
            <w:tcW w:w="2582" w:type="dxa"/>
            <w:vMerge w:val="continue"/>
            <w:vAlign w:val="center"/>
          </w:tcPr>
          <w:p w14:paraId="4A352E63">
            <w:pPr>
              <w:wordWrap w:val="0"/>
              <w:spacing w:line="440" w:lineRule="exact"/>
              <w:jc w:val="center"/>
              <w:rPr>
                <w:color w:val="auto"/>
                <w:szCs w:val="21"/>
                <w:highlight w:val="none"/>
              </w:rPr>
            </w:pPr>
          </w:p>
        </w:tc>
      </w:tr>
      <w:tr w14:paraId="29C1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F056F6A">
            <w:pPr>
              <w:wordWrap w:val="0"/>
              <w:spacing w:line="440" w:lineRule="exact"/>
              <w:jc w:val="center"/>
              <w:rPr>
                <w:color w:val="auto"/>
                <w:szCs w:val="21"/>
                <w:highlight w:val="none"/>
              </w:rPr>
            </w:pPr>
          </w:p>
        </w:tc>
        <w:tc>
          <w:tcPr>
            <w:tcW w:w="2456" w:type="dxa"/>
            <w:vAlign w:val="center"/>
          </w:tcPr>
          <w:p w14:paraId="71FF8EF6">
            <w:pPr>
              <w:wordWrap w:val="0"/>
              <w:spacing w:line="440" w:lineRule="exact"/>
              <w:jc w:val="center"/>
              <w:rPr>
                <w:color w:val="auto"/>
                <w:szCs w:val="21"/>
                <w:highlight w:val="none"/>
              </w:rPr>
            </w:pPr>
          </w:p>
        </w:tc>
        <w:tc>
          <w:tcPr>
            <w:tcW w:w="1864" w:type="dxa"/>
            <w:vAlign w:val="center"/>
          </w:tcPr>
          <w:p w14:paraId="25E1EA97">
            <w:pPr>
              <w:wordWrap w:val="0"/>
              <w:spacing w:line="440" w:lineRule="exact"/>
              <w:jc w:val="center"/>
              <w:rPr>
                <w:color w:val="auto"/>
                <w:szCs w:val="21"/>
                <w:highlight w:val="none"/>
              </w:rPr>
            </w:pPr>
          </w:p>
        </w:tc>
        <w:tc>
          <w:tcPr>
            <w:tcW w:w="2582" w:type="dxa"/>
            <w:vMerge w:val="continue"/>
            <w:vAlign w:val="center"/>
          </w:tcPr>
          <w:p w14:paraId="3B0FC6C4">
            <w:pPr>
              <w:wordWrap w:val="0"/>
              <w:spacing w:line="440" w:lineRule="exact"/>
              <w:jc w:val="center"/>
              <w:rPr>
                <w:color w:val="auto"/>
                <w:szCs w:val="21"/>
                <w:highlight w:val="none"/>
              </w:rPr>
            </w:pPr>
          </w:p>
        </w:tc>
      </w:tr>
      <w:tr w14:paraId="6651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FF68133">
            <w:pPr>
              <w:wordWrap w:val="0"/>
              <w:spacing w:line="440" w:lineRule="exact"/>
              <w:jc w:val="center"/>
              <w:rPr>
                <w:color w:val="auto"/>
                <w:szCs w:val="21"/>
                <w:highlight w:val="none"/>
              </w:rPr>
            </w:pPr>
          </w:p>
        </w:tc>
        <w:tc>
          <w:tcPr>
            <w:tcW w:w="2456" w:type="dxa"/>
            <w:vAlign w:val="center"/>
          </w:tcPr>
          <w:p w14:paraId="5AE25D66">
            <w:pPr>
              <w:wordWrap w:val="0"/>
              <w:spacing w:line="440" w:lineRule="exact"/>
              <w:jc w:val="center"/>
              <w:rPr>
                <w:color w:val="auto"/>
                <w:szCs w:val="21"/>
                <w:highlight w:val="none"/>
              </w:rPr>
            </w:pPr>
          </w:p>
        </w:tc>
        <w:tc>
          <w:tcPr>
            <w:tcW w:w="1864" w:type="dxa"/>
            <w:vAlign w:val="center"/>
          </w:tcPr>
          <w:p w14:paraId="4AA52F57">
            <w:pPr>
              <w:wordWrap w:val="0"/>
              <w:spacing w:line="440" w:lineRule="exact"/>
              <w:jc w:val="center"/>
              <w:rPr>
                <w:color w:val="auto"/>
                <w:szCs w:val="21"/>
                <w:highlight w:val="none"/>
              </w:rPr>
            </w:pPr>
          </w:p>
        </w:tc>
        <w:tc>
          <w:tcPr>
            <w:tcW w:w="2582" w:type="dxa"/>
            <w:vMerge w:val="continue"/>
            <w:vAlign w:val="center"/>
          </w:tcPr>
          <w:p w14:paraId="22F2AABE">
            <w:pPr>
              <w:wordWrap w:val="0"/>
              <w:spacing w:line="440" w:lineRule="exact"/>
              <w:jc w:val="center"/>
              <w:rPr>
                <w:color w:val="auto"/>
                <w:szCs w:val="21"/>
                <w:highlight w:val="none"/>
              </w:rPr>
            </w:pPr>
          </w:p>
        </w:tc>
      </w:tr>
      <w:tr w14:paraId="593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0AB2DDF">
            <w:pPr>
              <w:wordWrap w:val="0"/>
              <w:spacing w:line="440" w:lineRule="exact"/>
              <w:jc w:val="center"/>
              <w:rPr>
                <w:color w:val="auto"/>
                <w:szCs w:val="21"/>
                <w:highlight w:val="none"/>
              </w:rPr>
            </w:pPr>
          </w:p>
        </w:tc>
        <w:tc>
          <w:tcPr>
            <w:tcW w:w="2456" w:type="dxa"/>
            <w:vAlign w:val="center"/>
          </w:tcPr>
          <w:p w14:paraId="59191606">
            <w:pPr>
              <w:wordWrap w:val="0"/>
              <w:spacing w:line="440" w:lineRule="exact"/>
              <w:jc w:val="center"/>
              <w:rPr>
                <w:color w:val="auto"/>
                <w:szCs w:val="21"/>
                <w:highlight w:val="none"/>
              </w:rPr>
            </w:pPr>
          </w:p>
        </w:tc>
        <w:tc>
          <w:tcPr>
            <w:tcW w:w="1864" w:type="dxa"/>
            <w:vAlign w:val="center"/>
          </w:tcPr>
          <w:p w14:paraId="4419CAD8">
            <w:pPr>
              <w:wordWrap w:val="0"/>
              <w:spacing w:line="440" w:lineRule="exact"/>
              <w:jc w:val="center"/>
              <w:rPr>
                <w:color w:val="auto"/>
                <w:szCs w:val="21"/>
                <w:highlight w:val="none"/>
              </w:rPr>
            </w:pPr>
          </w:p>
        </w:tc>
        <w:tc>
          <w:tcPr>
            <w:tcW w:w="2582" w:type="dxa"/>
            <w:vMerge w:val="continue"/>
            <w:vAlign w:val="center"/>
          </w:tcPr>
          <w:p w14:paraId="17F95C63">
            <w:pPr>
              <w:wordWrap w:val="0"/>
              <w:spacing w:line="440" w:lineRule="exact"/>
              <w:jc w:val="center"/>
              <w:rPr>
                <w:color w:val="auto"/>
                <w:szCs w:val="21"/>
                <w:highlight w:val="none"/>
              </w:rPr>
            </w:pPr>
          </w:p>
        </w:tc>
      </w:tr>
      <w:tr w14:paraId="05F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7A6E1A96">
            <w:pPr>
              <w:wordWrap w:val="0"/>
              <w:spacing w:line="440" w:lineRule="exact"/>
              <w:jc w:val="center"/>
              <w:rPr>
                <w:color w:val="auto"/>
                <w:szCs w:val="21"/>
                <w:highlight w:val="none"/>
              </w:rPr>
            </w:pPr>
          </w:p>
        </w:tc>
        <w:tc>
          <w:tcPr>
            <w:tcW w:w="2456" w:type="dxa"/>
            <w:vAlign w:val="center"/>
          </w:tcPr>
          <w:p w14:paraId="25E85C97">
            <w:pPr>
              <w:wordWrap w:val="0"/>
              <w:spacing w:line="440" w:lineRule="exact"/>
              <w:jc w:val="center"/>
              <w:rPr>
                <w:color w:val="auto"/>
                <w:szCs w:val="21"/>
                <w:highlight w:val="none"/>
              </w:rPr>
            </w:pPr>
          </w:p>
        </w:tc>
        <w:tc>
          <w:tcPr>
            <w:tcW w:w="1864" w:type="dxa"/>
            <w:vAlign w:val="center"/>
          </w:tcPr>
          <w:p w14:paraId="215C8FF4">
            <w:pPr>
              <w:wordWrap w:val="0"/>
              <w:spacing w:line="440" w:lineRule="exact"/>
              <w:jc w:val="center"/>
              <w:rPr>
                <w:color w:val="auto"/>
                <w:szCs w:val="21"/>
                <w:highlight w:val="none"/>
              </w:rPr>
            </w:pPr>
          </w:p>
        </w:tc>
        <w:tc>
          <w:tcPr>
            <w:tcW w:w="2582" w:type="dxa"/>
            <w:vMerge w:val="continue"/>
            <w:vAlign w:val="center"/>
          </w:tcPr>
          <w:p w14:paraId="6B2EB109">
            <w:pPr>
              <w:wordWrap w:val="0"/>
              <w:spacing w:line="440" w:lineRule="exact"/>
              <w:jc w:val="center"/>
              <w:rPr>
                <w:color w:val="auto"/>
                <w:szCs w:val="21"/>
                <w:highlight w:val="none"/>
              </w:rPr>
            </w:pPr>
          </w:p>
        </w:tc>
      </w:tr>
      <w:tr w14:paraId="7F3B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AB38A8B">
            <w:pPr>
              <w:wordWrap w:val="0"/>
              <w:spacing w:line="440" w:lineRule="exact"/>
              <w:jc w:val="center"/>
              <w:rPr>
                <w:color w:val="auto"/>
                <w:szCs w:val="21"/>
                <w:highlight w:val="none"/>
              </w:rPr>
            </w:pPr>
          </w:p>
        </w:tc>
        <w:tc>
          <w:tcPr>
            <w:tcW w:w="2456" w:type="dxa"/>
            <w:vAlign w:val="center"/>
          </w:tcPr>
          <w:p w14:paraId="04A29851">
            <w:pPr>
              <w:wordWrap w:val="0"/>
              <w:spacing w:line="440" w:lineRule="exact"/>
              <w:jc w:val="center"/>
              <w:rPr>
                <w:color w:val="auto"/>
                <w:szCs w:val="21"/>
                <w:highlight w:val="none"/>
              </w:rPr>
            </w:pPr>
          </w:p>
        </w:tc>
        <w:tc>
          <w:tcPr>
            <w:tcW w:w="1864" w:type="dxa"/>
            <w:vAlign w:val="center"/>
          </w:tcPr>
          <w:p w14:paraId="6F5524B6">
            <w:pPr>
              <w:wordWrap w:val="0"/>
              <w:spacing w:line="440" w:lineRule="exact"/>
              <w:jc w:val="center"/>
              <w:rPr>
                <w:color w:val="auto"/>
                <w:szCs w:val="21"/>
                <w:highlight w:val="none"/>
              </w:rPr>
            </w:pPr>
          </w:p>
        </w:tc>
        <w:tc>
          <w:tcPr>
            <w:tcW w:w="2582" w:type="dxa"/>
            <w:vMerge w:val="continue"/>
            <w:vAlign w:val="center"/>
          </w:tcPr>
          <w:p w14:paraId="07959298">
            <w:pPr>
              <w:wordWrap w:val="0"/>
              <w:spacing w:line="440" w:lineRule="exact"/>
              <w:jc w:val="center"/>
              <w:rPr>
                <w:color w:val="auto"/>
                <w:szCs w:val="21"/>
                <w:highlight w:val="none"/>
              </w:rPr>
            </w:pPr>
          </w:p>
        </w:tc>
      </w:tr>
      <w:tr w14:paraId="44F6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7FA8DBD1">
            <w:pPr>
              <w:wordWrap w:val="0"/>
              <w:spacing w:line="440" w:lineRule="exact"/>
              <w:jc w:val="center"/>
              <w:rPr>
                <w:color w:val="auto"/>
                <w:szCs w:val="21"/>
                <w:highlight w:val="none"/>
              </w:rPr>
            </w:pPr>
          </w:p>
        </w:tc>
        <w:tc>
          <w:tcPr>
            <w:tcW w:w="2456" w:type="dxa"/>
            <w:vAlign w:val="center"/>
          </w:tcPr>
          <w:p w14:paraId="2A398186">
            <w:pPr>
              <w:wordWrap w:val="0"/>
              <w:spacing w:line="440" w:lineRule="exact"/>
              <w:jc w:val="center"/>
              <w:rPr>
                <w:color w:val="auto"/>
                <w:szCs w:val="21"/>
                <w:highlight w:val="none"/>
              </w:rPr>
            </w:pPr>
          </w:p>
        </w:tc>
        <w:tc>
          <w:tcPr>
            <w:tcW w:w="1864" w:type="dxa"/>
            <w:vAlign w:val="center"/>
          </w:tcPr>
          <w:p w14:paraId="56077977">
            <w:pPr>
              <w:wordWrap w:val="0"/>
              <w:spacing w:line="440" w:lineRule="exact"/>
              <w:jc w:val="center"/>
              <w:rPr>
                <w:color w:val="auto"/>
                <w:szCs w:val="21"/>
                <w:highlight w:val="none"/>
              </w:rPr>
            </w:pPr>
          </w:p>
        </w:tc>
        <w:tc>
          <w:tcPr>
            <w:tcW w:w="2582" w:type="dxa"/>
            <w:vMerge w:val="continue"/>
            <w:vAlign w:val="center"/>
          </w:tcPr>
          <w:p w14:paraId="30509A03">
            <w:pPr>
              <w:wordWrap w:val="0"/>
              <w:spacing w:line="440" w:lineRule="exact"/>
              <w:jc w:val="center"/>
              <w:rPr>
                <w:color w:val="auto"/>
                <w:szCs w:val="21"/>
                <w:highlight w:val="none"/>
              </w:rPr>
            </w:pPr>
          </w:p>
        </w:tc>
      </w:tr>
      <w:tr w14:paraId="6236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7F9F425D">
            <w:pPr>
              <w:wordWrap w:val="0"/>
              <w:spacing w:line="440" w:lineRule="exact"/>
              <w:jc w:val="center"/>
              <w:rPr>
                <w:color w:val="auto"/>
                <w:szCs w:val="21"/>
                <w:highlight w:val="none"/>
              </w:rPr>
            </w:pPr>
          </w:p>
        </w:tc>
        <w:tc>
          <w:tcPr>
            <w:tcW w:w="2456" w:type="dxa"/>
            <w:vAlign w:val="center"/>
          </w:tcPr>
          <w:p w14:paraId="7251B132">
            <w:pPr>
              <w:wordWrap w:val="0"/>
              <w:spacing w:line="440" w:lineRule="exact"/>
              <w:jc w:val="center"/>
              <w:rPr>
                <w:color w:val="auto"/>
                <w:szCs w:val="21"/>
                <w:highlight w:val="none"/>
              </w:rPr>
            </w:pPr>
          </w:p>
        </w:tc>
        <w:tc>
          <w:tcPr>
            <w:tcW w:w="1864" w:type="dxa"/>
            <w:vAlign w:val="center"/>
          </w:tcPr>
          <w:p w14:paraId="0FF17C32">
            <w:pPr>
              <w:wordWrap w:val="0"/>
              <w:spacing w:line="440" w:lineRule="exact"/>
              <w:jc w:val="center"/>
              <w:rPr>
                <w:color w:val="auto"/>
                <w:szCs w:val="21"/>
                <w:highlight w:val="none"/>
              </w:rPr>
            </w:pPr>
          </w:p>
        </w:tc>
        <w:tc>
          <w:tcPr>
            <w:tcW w:w="2582" w:type="dxa"/>
            <w:vMerge w:val="continue"/>
            <w:vAlign w:val="center"/>
          </w:tcPr>
          <w:p w14:paraId="60CF0D75">
            <w:pPr>
              <w:wordWrap w:val="0"/>
              <w:spacing w:line="440" w:lineRule="exact"/>
              <w:jc w:val="center"/>
              <w:rPr>
                <w:color w:val="auto"/>
                <w:szCs w:val="21"/>
                <w:highlight w:val="none"/>
              </w:rPr>
            </w:pPr>
          </w:p>
        </w:tc>
      </w:tr>
      <w:tr w14:paraId="7DB7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4303D1E">
            <w:pPr>
              <w:wordWrap w:val="0"/>
              <w:spacing w:line="440" w:lineRule="exact"/>
              <w:jc w:val="center"/>
              <w:rPr>
                <w:color w:val="auto"/>
                <w:szCs w:val="21"/>
                <w:highlight w:val="none"/>
              </w:rPr>
            </w:pPr>
          </w:p>
        </w:tc>
        <w:tc>
          <w:tcPr>
            <w:tcW w:w="2456" w:type="dxa"/>
            <w:vAlign w:val="center"/>
          </w:tcPr>
          <w:p w14:paraId="5B54957F">
            <w:pPr>
              <w:wordWrap w:val="0"/>
              <w:spacing w:line="440" w:lineRule="exact"/>
              <w:jc w:val="center"/>
              <w:rPr>
                <w:color w:val="auto"/>
                <w:szCs w:val="21"/>
                <w:highlight w:val="none"/>
              </w:rPr>
            </w:pPr>
          </w:p>
        </w:tc>
        <w:tc>
          <w:tcPr>
            <w:tcW w:w="1864" w:type="dxa"/>
            <w:vAlign w:val="center"/>
          </w:tcPr>
          <w:p w14:paraId="6DCB80E9">
            <w:pPr>
              <w:wordWrap w:val="0"/>
              <w:spacing w:line="440" w:lineRule="exact"/>
              <w:jc w:val="center"/>
              <w:rPr>
                <w:color w:val="auto"/>
                <w:szCs w:val="21"/>
                <w:highlight w:val="none"/>
              </w:rPr>
            </w:pPr>
          </w:p>
        </w:tc>
        <w:tc>
          <w:tcPr>
            <w:tcW w:w="2582" w:type="dxa"/>
            <w:vMerge w:val="continue"/>
            <w:vAlign w:val="center"/>
          </w:tcPr>
          <w:p w14:paraId="642D4E82">
            <w:pPr>
              <w:wordWrap w:val="0"/>
              <w:spacing w:line="440" w:lineRule="exact"/>
              <w:jc w:val="center"/>
              <w:rPr>
                <w:color w:val="auto"/>
                <w:szCs w:val="21"/>
                <w:highlight w:val="none"/>
              </w:rPr>
            </w:pPr>
          </w:p>
        </w:tc>
      </w:tr>
      <w:tr w14:paraId="096D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591F9E1">
            <w:pPr>
              <w:wordWrap w:val="0"/>
              <w:spacing w:line="440" w:lineRule="exact"/>
              <w:jc w:val="center"/>
              <w:rPr>
                <w:color w:val="auto"/>
                <w:szCs w:val="21"/>
                <w:highlight w:val="none"/>
              </w:rPr>
            </w:pPr>
          </w:p>
        </w:tc>
        <w:tc>
          <w:tcPr>
            <w:tcW w:w="2456" w:type="dxa"/>
            <w:vAlign w:val="center"/>
          </w:tcPr>
          <w:p w14:paraId="0E20FB2B">
            <w:pPr>
              <w:wordWrap w:val="0"/>
              <w:spacing w:line="440" w:lineRule="exact"/>
              <w:jc w:val="center"/>
              <w:rPr>
                <w:color w:val="auto"/>
                <w:szCs w:val="21"/>
                <w:highlight w:val="none"/>
              </w:rPr>
            </w:pPr>
          </w:p>
        </w:tc>
        <w:tc>
          <w:tcPr>
            <w:tcW w:w="1864" w:type="dxa"/>
            <w:vAlign w:val="center"/>
          </w:tcPr>
          <w:p w14:paraId="289C3660">
            <w:pPr>
              <w:wordWrap w:val="0"/>
              <w:spacing w:line="440" w:lineRule="exact"/>
              <w:jc w:val="center"/>
              <w:rPr>
                <w:color w:val="auto"/>
                <w:szCs w:val="21"/>
                <w:highlight w:val="none"/>
              </w:rPr>
            </w:pPr>
          </w:p>
        </w:tc>
        <w:tc>
          <w:tcPr>
            <w:tcW w:w="2582" w:type="dxa"/>
            <w:vMerge w:val="continue"/>
            <w:vAlign w:val="center"/>
          </w:tcPr>
          <w:p w14:paraId="11D2AEFD">
            <w:pPr>
              <w:wordWrap w:val="0"/>
              <w:spacing w:line="440" w:lineRule="exact"/>
              <w:jc w:val="center"/>
              <w:rPr>
                <w:color w:val="auto"/>
                <w:szCs w:val="21"/>
                <w:highlight w:val="none"/>
              </w:rPr>
            </w:pPr>
          </w:p>
        </w:tc>
      </w:tr>
      <w:tr w14:paraId="5374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0BBCAFE">
            <w:pPr>
              <w:wordWrap w:val="0"/>
              <w:spacing w:line="440" w:lineRule="exact"/>
              <w:jc w:val="center"/>
              <w:rPr>
                <w:color w:val="auto"/>
                <w:szCs w:val="21"/>
                <w:highlight w:val="none"/>
              </w:rPr>
            </w:pPr>
          </w:p>
        </w:tc>
        <w:tc>
          <w:tcPr>
            <w:tcW w:w="2456" w:type="dxa"/>
            <w:vAlign w:val="center"/>
          </w:tcPr>
          <w:p w14:paraId="70752306">
            <w:pPr>
              <w:wordWrap w:val="0"/>
              <w:spacing w:line="440" w:lineRule="exact"/>
              <w:jc w:val="center"/>
              <w:rPr>
                <w:color w:val="auto"/>
                <w:szCs w:val="21"/>
                <w:highlight w:val="none"/>
              </w:rPr>
            </w:pPr>
          </w:p>
        </w:tc>
        <w:tc>
          <w:tcPr>
            <w:tcW w:w="1864" w:type="dxa"/>
            <w:vAlign w:val="center"/>
          </w:tcPr>
          <w:p w14:paraId="41936F2B">
            <w:pPr>
              <w:wordWrap w:val="0"/>
              <w:spacing w:line="440" w:lineRule="exact"/>
              <w:jc w:val="center"/>
              <w:rPr>
                <w:color w:val="auto"/>
                <w:szCs w:val="21"/>
                <w:highlight w:val="none"/>
              </w:rPr>
            </w:pPr>
          </w:p>
        </w:tc>
        <w:tc>
          <w:tcPr>
            <w:tcW w:w="2582" w:type="dxa"/>
            <w:vMerge w:val="continue"/>
            <w:vAlign w:val="center"/>
          </w:tcPr>
          <w:p w14:paraId="27892CE1">
            <w:pPr>
              <w:wordWrap w:val="0"/>
              <w:spacing w:line="440" w:lineRule="exact"/>
              <w:jc w:val="center"/>
              <w:rPr>
                <w:color w:val="auto"/>
                <w:szCs w:val="21"/>
                <w:highlight w:val="none"/>
              </w:rPr>
            </w:pPr>
          </w:p>
        </w:tc>
      </w:tr>
      <w:tr w14:paraId="6023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vAlign w:val="center"/>
          </w:tcPr>
          <w:p w14:paraId="5DDC5397">
            <w:pPr>
              <w:wordWrap w:val="0"/>
              <w:spacing w:line="440" w:lineRule="exact"/>
              <w:jc w:val="center"/>
              <w:rPr>
                <w:color w:val="auto"/>
                <w:szCs w:val="21"/>
                <w:highlight w:val="none"/>
              </w:rPr>
            </w:pPr>
            <w:r>
              <w:rPr>
                <w:color w:val="auto"/>
                <w:szCs w:val="21"/>
                <w:highlight w:val="none"/>
              </w:rPr>
              <w:t>拟分包工程造价合计（万元）</w:t>
            </w:r>
          </w:p>
        </w:tc>
        <w:tc>
          <w:tcPr>
            <w:tcW w:w="1864" w:type="dxa"/>
            <w:vAlign w:val="center"/>
          </w:tcPr>
          <w:p w14:paraId="13EE1328">
            <w:pPr>
              <w:wordWrap w:val="0"/>
              <w:spacing w:line="440" w:lineRule="exact"/>
              <w:jc w:val="center"/>
              <w:rPr>
                <w:color w:val="auto"/>
                <w:szCs w:val="21"/>
                <w:highlight w:val="none"/>
              </w:rPr>
            </w:pPr>
          </w:p>
        </w:tc>
        <w:tc>
          <w:tcPr>
            <w:tcW w:w="2582" w:type="dxa"/>
            <w:vMerge w:val="continue"/>
            <w:vAlign w:val="center"/>
          </w:tcPr>
          <w:p w14:paraId="3A7058FA">
            <w:pPr>
              <w:wordWrap w:val="0"/>
              <w:spacing w:line="440" w:lineRule="exact"/>
              <w:jc w:val="center"/>
              <w:rPr>
                <w:color w:val="auto"/>
                <w:szCs w:val="21"/>
                <w:highlight w:val="none"/>
              </w:rPr>
            </w:pPr>
          </w:p>
        </w:tc>
      </w:tr>
    </w:tbl>
    <w:p w14:paraId="70A5DCB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outlineLvl w:val="9"/>
        <w:rPr>
          <w:rFonts w:hint="eastAsia" w:eastAsia="黑体" w:cs="Times New Roman"/>
          <w:b w:val="0"/>
          <w:bCs/>
          <w:color w:val="auto"/>
          <w:kern w:val="44"/>
          <w:sz w:val="28"/>
          <w:szCs w:val="28"/>
          <w:highlight w:val="none"/>
          <w:lang w:val="en-US" w:eastAsia="zh-CN"/>
        </w:rPr>
      </w:pPr>
      <w:r>
        <w:rPr>
          <w:rFonts w:hint="eastAsia" w:eastAsia="黑体" w:cs="Times New Roman"/>
          <w:b w:val="0"/>
          <w:bCs/>
          <w:color w:val="auto"/>
          <w:kern w:val="44"/>
          <w:sz w:val="28"/>
          <w:szCs w:val="28"/>
          <w:highlight w:val="none"/>
          <w:lang w:val="en-US" w:eastAsia="zh-CN"/>
        </w:rPr>
        <w:br w:type="page"/>
      </w:r>
    </w:p>
    <w:p w14:paraId="01C6C1AD">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rPr>
      </w:pPr>
      <w:r>
        <w:rPr>
          <w:rFonts w:hint="eastAsia" w:ascii="Times New Roman" w:hAnsi="Times New Roman" w:eastAsia="黑体" w:cs="Times New Roman"/>
          <w:b w:val="0"/>
          <w:i w:val="0"/>
          <w:iCs/>
          <w:color w:val="auto"/>
          <w:sz w:val="30"/>
          <w:szCs w:val="30"/>
          <w:highlight w:val="none"/>
          <w:lang w:val="en-US" w:eastAsia="zh-CN"/>
        </w:rPr>
        <w:t>八</w:t>
      </w:r>
      <w:r>
        <w:rPr>
          <w:rFonts w:hint="default" w:ascii="Times New Roman" w:hAnsi="Times New Roman" w:eastAsia="黑体" w:cs="Times New Roman"/>
          <w:b w:val="0"/>
          <w:i w:val="0"/>
          <w:iCs/>
          <w:color w:val="auto"/>
          <w:sz w:val="30"/>
          <w:szCs w:val="30"/>
          <w:highlight w:val="none"/>
        </w:rPr>
        <w:t>、资格审查资料</w:t>
      </w:r>
      <w:bookmarkEnd w:id="1673"/>
      <w:bookmarkEnd w:id="1674"/>
    </w:p>
    <w:p w14:paraId="3BE8F4F0">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8"/>
          <w:szCs w:val="28"/>
          <w:highlight w:val="none"/>
        </w:rPr>
      </w:pPr>
    </w:p>
    <w:p w14:paraId="69AA23B7">
      <w:pPr>
        <w:pageBreakBefore w:val="0"/>
        <w:kinsoku/>
        <w:wordWrap w:val="0"/>
        <w:bidi w:val="0"/>
        <w:spacing w:before="0" w:after="0" w:line="380" w:lineRule="atLeast"/>
        <w:jc w:val="center"/>
        <w:outlineLvl w:val="9"/>
        <w:rPr>
          <w:rFonts w:hint="default" w:ascii="Times New Roman" w:hAnsi="Times New Roman" w:eastAsia="黑体" w:cs="Times New Roman"/>
          <w:color w:val="auto"/>
          <w:sz w:val="23"/>
          <w:szCs w:val="23"/>
          <w:highlight w:val="none"/>
        </w:rPr>
      </w:pPr>
      <w:bookmarkStart w:id="1675" w:name="_Toc8645"/>
      <w:bookmarkStart w:id="1676" w:name="_Toc15892"/>
      <w:bookmarkStart w:id="1677" w:name="_Toc234833279"/>
      <w:r>
        <w:rPr>
          <w:rFonts w:hint="default" w:ascii="Times New Roman" w:hAnsi="Times New Roman" w:eastAsia="黑体" w:cs="Times New Roman"/>
          <w:b w:val="0"/>
          <w:color w:val="auto"/>
          <w:sz w:val="24"/>
          <w:szCs w:val="24"/>
          <w:highlight w:val="none"/>
        </w:rPr>
        <w:t>（一）投标人基本情况表</w:t>
      </w:r>
      <w:bookmarkEnd w:id="1675"/>
      <w:bookmarkEnd w:id="1676"/>
      <w:bookmarkEnd w:id="1677"/>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0E0B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ED81AF5">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68D7FE3">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3107B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24419B9">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264CB84C">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F7E9827">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5A3EC92">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5E89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6AE3005D">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11414BC">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A8C17A6">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7243BD">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61D80192">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1746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5190877D">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E5BDC3">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传真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1C2954A7">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1D941FD">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6BB9BF45">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7122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644627B5">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417D2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7E1133">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F199888">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62E8E9A">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E49FD40">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49BAA44">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44AEF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222DE0DE">
            <w:pPr>
              <w:pageBreakBefore w:val="0"/>
              <w:kinsoku/>
              <w:wordWrap w:val="0"/>
              <w:topLinePunct/>
              <w:bidi w:val="0"/>
              <w:spacing w:line="440" w:lineRule="exact"/>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项目总工</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DA2AC7">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426D0F">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3CADB52">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B93EFB8">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29B92D4">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BF4BB6">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51B81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4CDB775E">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078C9E">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7020C15D">
            <w:pPr>
              <w:pageBreakBefore w:val="0"/>
              <w:kinsoku/>
              <w:wordWrap w:val="0"/>
              <w:topLinePunct/>
              <w:bidi w:val="0"/>
              <w:spacing w:line="440" w:lineRule="exact"/>
              <w:ind w:firstLine="105" w:firstLine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员工总人数：</w:t>
            </w:r>
          </w:p>
        </w:tc>
      </w:tr>
      <w:tr w14:paraId="61DD9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2D346BA2">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049DAA3">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2CF2B3C1">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2BBD02D8">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8BEF727">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74E11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2B985CE4">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0BF649">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1B3991CC">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1C40081A">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99399CF">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11B0A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47B23CB6">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7D41175">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8B30261">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F01016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672B4F4">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3ED5C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037352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85A5FCE">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520546B9">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AE16C19">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026AEC0A">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297FD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467472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5348C0D">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7F287306">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708BD689">
            <w:pPr>
              <w:pStyle w:val="29"/>
              <w:pageBreakBefore w:val="0"/>
              <w:kinsoku/>
              <w:wordWrap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177788">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r w14:paraId="03A53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6E3633AA">
            <w:pPr>
              <w:pageBreakBefore w:val="0"/>
              <w:kinsoku/>
              <w:wordWrap w:val="0"/>
              <w:topLinePunct/>
              <w:bidi w:val="0"/>
              <w:spacing w:line="440" w:lineRule="exact"/>
              <w:ind w:firstLine="210" w:firstLineChars="10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14:paraId="54E06F88">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p w14:paraId="1EC9BCAA">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p w14:paraId="1B788019">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p w14:paraId="20FCC711">
            <w:pPr>
              <w:pageBreakBefore w:val="0"/>
              <w:kinsoku/>
              <w:wordWrap w:val="0"/>
              <w:topLinePunct/>
              <w:bidi w:val="0"/>
              <w:spacing w:line="440" w:lineRule="exact"/>
              <w:rPr>
                <w:rFonts w:hint="default" w:ascii="Times New Roman" w:hAnsi="Times New Roman" w:cs="Times New Roman"/>
                <w:color w:val="auto"/>
                <w:szCs w:val="21"/>
                <w:highlight w:val="none"/>
              </w:rPr>
            </w:pPr>
          </w:p>
        </w:tc>
      </w:tr>
      <w:tr w14:paraId="2650B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A81F3DB">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7B207B65">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投标人应提供关联企业情况，包括：</w:t>
            </w:r>
          </w:p>
          <w:p w14:paraId="692232CC">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（1）投标人的所有股东名称及相应股权（出资额）比例；如投标人为上市公司，投标人应提供股权占公司股份总数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%以上的所有股东名称及相应股权比例；</w:t>
            </w:r>
          </w:p>
          <w:p w14:paraId="4E127550">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（2）投标人投资（控股）或管理的下属企业名称、持有股权（出资额）比例；</w:t>
            </w:r>
          </w:p>
          <w:p w14:paraId="710DD1BA">
            <w:pPr>
              <w:pageBreakBefore w:val="0"/>
              <w:kinsoku/>
              <w:wordWrap w:val="0"/>
              <w:topLinePunct/>
              <w:bidi w:val="0"/>
              <w:spacing w:line="400" w:lineRule="atLeas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（3）与投标人单位负责人（即法定代表人）为同一人的其他单位名称</w:t>
            </w:r>
          </w:p>
          <w:p w14:paraId="4F34F56F">
            <w:pPr>
              <w:pageBreakBefore w:val="0"/>
              <w:kinsoku/>
              <w:wordWrap w:val="0"/>
              <w:topLinePunct/>
              <w:bidi w:val="0"/>
              <w:spacing w:line="440" w:lineRule="exact"/>
              <w:jc w:val="both"/>
              <w:rPr>
                <w:rFonts w:hint="default" w:ascii="Times New Roman" w:hAnsi="Times New Roman" w:cs="Times New Roman"/>
                <w:color w:val="auto"/>
                <w:szCs w:val="21"/>
                <w:highlight w:val="none"/>
              </w:rPr>
            </w:pPr>
          </w:p>
        </w:tc>
      </w:tr>
      <w:tr w14:paraId="50B1C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6048B33A">
            <w:pPr>
              <w:pageBreakBefore w:val="0"/>
              <w:kinsoku/>
              <w:wordWrap w:val="0"/>
              <w:topLinePunct/>
              <w:bidi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3F039E">
            <w:pPr>
              <w:pageBreakBefore w:val="0"/>
              <w:kinsoku/>
              <w:wordWrap w:val="0"/>
              <w:topLinePunct/>
              <w:bidi w:val="0"/>
              <w:spacing w:line="440" w:lineRule="exact"/>
              <w:jc w:val="center"/>
              <w:rPr>
                <w:rFonts w:hint="default" w:ascii="Times New Roman" w:hAnsi="Times New Roman" w:cs="Times New Roman"/>
                <w:color w:val="auto"/>
                <w:szCs w:val="21"/>
                <w:highlight w:val="none"/>
              </w:rPr>
            </w:pPr>
          </w:p>
        </w:tc>
      </w:tr>
    </w:tbl>
    <w:p w14:paraId="365D191D">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第3.5.1项的要求在本表后附相关证明材料。</w:t>
      </w:r>
    </w:p>
    <w:p w14:paraId="434A41F1">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2.以联合体形式参与投标的，联合体各成员应分别填写。</w:t>
      </w:r>
    </w:p>
    <w:p w14:paraId="7578FAF7">
      <w:pPr>
        <w:pageBreakBefore w:val="0"/>
        <w:kinsoku/>
        <w:wordWrap w:val="0"/>
        <w:bidi w:val="0"/>
        <w:spacing w:line="440" w:lineRule="exact"/>
        <w:jc w:val="center"/>
        <w:rPr>
          <w:rFonts w:hint="default" w:ascii="Times New Roman" w:hAnsi="Times New Roman" w:cs="Times New Roman"/>
          <w:color w:val="auto"/>
          <w:szCs w:val="21"/>
          <w:highlight w:val="none"/>
        </w:rPr>
      </w:pPr>
    </w:p>
    <w:p w14:paraId="41216DBD">
      <w:pPr>
        <w:rPr>
          <w:rFonts w:hint="default" w:ascii="Times New Roman" w:hAnsi="Times New Roman" w:eastAsia="黑体" w:cs="Times New Roman"/>
          <w:b w:val="0"/>
          <w:color w:val="auto"/>
          <w:sz w:val="24"/>
          <w:szCs w:val="24"/>
          <w:highlight w:val="none"/>
        </w:rPr>
      </w:pPr>
      <w:bookmarkStart w:id="1678" w:name="_Toc234833280"/>
      <w:bookmarkStart w:id="1679" w:name="_Toc11366"/>
      <w:bookmarkStart w:id="1680" w:name="_Toc18039"/>
      <w:r>
        <w:rPr>
          <w:rFonts w:hint="default" w:ascii="Times New Roman" w:hAnsi="Times New Roman" w:eastAsia="黑体" w:cs="Times New Roman"/>
          <w:b w:val="0"/>
          <w:color w:val="auto"/>
          <w:sz w:val="24"/>
          <w:szCs w:val="24"/>
          <w:highlight w:val="none"/>
        </w:rPr>
        <w:br w:type="page"/>
      </w:r>
    </w:p>
    <w:p w14:paraId="7802496E">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（二）投标人企业组织机构框图</w:t>
      </w:r>
      <w:bookmarkEnd w:id="1678"/>
      <w:bookmarkEnd w:id="1679"/>
      <w:bookmarkEnd w:id="1680"/>
    </w:p>
    <w:p w14:paraId="16573E89">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color w:val="auto"/>
          <w:sz w:val="20"/>
          <w:szCs w:val="20"/>
          <w:highlight w:val="none"/>
        </w:rPr>
      </w:pPr>
    </w:p>
    <w:p w14:paraId="38D27C46">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color w:val="auto"/>
          <w:sz w:val="20"/>
          <w:szCs w:val="20"/>
          <w:highlight w:val="none"/>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28ED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3408388">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6CCC0A46">
            <w:pPr>
              <w:pageBreakBefore w:val="0"/>
              <w:kinsoku/>
              <w:wordWrap w:val="0"/>
              <w:bidi w:val="0"/>
              <w:spacing w:line="52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以框图方式表示。</w:t>
            </w:r>
          </w:p>
          <w:p w14:paraId="0A8AB62B">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5DAEC112">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468F2319">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73C5D8A7">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5010966F">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195D66E8">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678AD1F5">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062FA168">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p w14:paraId="133EE981">
            <w:pPr>
              <w:pageBreakBefore w:val="0"/>
              <w:kinsoku/>
              <w:wordWrap w:val="0"/>
              <w:bidi w:val="0"/>
              <w:spacing w:line="400" w:lineRule="atLeast"/>
              <w:ind w:right="174" w:rightChars="83" w:firstLine="4"/>
              <w:rPr>
                <w:rFonts w:hint="default" w:ascii="Times New Roman" w:hAnsi="Times New Roman" w:cs="Times New Roman"/>
                <w:color w:val="auto"/>
                <w:szCs w:val="21"/>
                <w:highlight w:val="none"/>
              </w:rPr>
            </w:pPr>
          </w:p>
        </w:tc>
      </w:tr>
      <w:tr w14:paraId="1E57E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13FA90B3">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14:paraId="0F854CB2">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375116EF">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6D448608">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p w14:paraId="57147CCE">
            <w:pPr>
              <w:pageBreakBefore w:val="0"/>
              <w:kinsoku/>
              <w:wordWrap w:val="0"/>
              <w:bidi w:val="0"/>
              <w:spacing w:line="400" w:lineRule="atLeast"/>
              <w:ind w:left="266" w:right="174" w:rightChars="83" w:firstLine="4"/>
              <w:rPr>
                <w:rFonts w:hint="default" w:ascii="Times New Roman" w:hAnsi="Times New Roman" w:cs="Times New Roman"/>
                <w:color w:val="auto"/>
                <w:szCs w:val="21"/>
                <w:highlight w:val="none"/>
              </w:rPr>
            </w:pPr>
          </w:p>
        </w:tc>
      </w:tr>
    </w:tbl>
    <w:p w14:paraId="08EE204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color w:val="auto"/>
          <w:sz w:val="20"/>
          <w:szCs w:val="20"/>
          <w:highlight w:val="none"/>
        </w:rPr>
      </w:pPr>
    </w:p>
    <w:p w14:paraId="15E000F4">
      <w:pPr>
        <w:pageBreakBefore w:val="0"/>
        <w:kinsoku/>
        <w:wordWrap w:val="0"/>
        <w:topLinePunct/>
        <w:bidi w:val="0"/>
        <w:spacing w:line="340" w:lineRule="atLeast"/>
        <w:jc w:val="center"/>
        <w:rPr>
          <w:rFonts w:hint="eastAsia" w:ascii="Times New Roman" w:hAnsi="Times New Roman" w:eastAsia="黑体" w:cs="Times New Roman"/>
          <w:color w:val="auto"/>
          <w:sz w:val="24"/>
          <w:highlight w:val="none"/>
          <w:lang w:eastAsia="zh-CN"/>
        </w:rPr>
      </w:pPr>
    </w:p>
    <w:p w14:paraId="4099C2B6">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681" w:name="_Toc234833282"/>
      <w:bookmarkStart w:id="1682" w:name="_Toc5424"/>
      <w:bookmarkStart w:id="1683" w:name="_Toc9070"/>
      <w:bookmarkStart w:id="1684" w:name="_Toc234833281"/>
      <w:r>
        <w:rPr>
          <w:rFonts w:hint="default" w:ascii="Times New Roman" w:hAnsi="Times New Roman" w:eastAsia="黑体" w:cs="Times New Roman"/>
          <w:b w:val="0"/>
          <w:color w:val="auto"/>
          <w:sz w:val="24"/>
          <w:szCs w:val="24"/>
          <w:highlight w:val="none"/>
        </w:rPr>
        <w:t>（</w:t>
      </w:r>
      <w:r>
        <w:rPr>
          <w:rFonts w:hint="default" w:ascii="Times New Roman" w:hAnsi="Times New Roman" w:eastAsia="黑体" w:cs="Times New Roman"/>
          <w:b w:val="0"/>
          <w:color w:val="auto"/>
          <w:sz w:val="24"/>
          <w:szCs w:val="24"/>
          <w:highlight w:val="none"/>
          <w:lang w:eastAsia="zh-CN"/>
        </w:rPr>
        <w:t>三</w:t>
      </w:r>
      <w:r>
        <w:rPr>
          <w:rFonts w:hint="default" w:ascii="Times New Roman" w:hAnsi="Times New Roman" w:eastAsia="黑体" w:cs="Times New Roman"/>
          <w:b w:val="0"/>
          <w:color w:val="auto"/>
          <w:sz w:val="24"/>
          <w:szCs w:val="24"/>
          <w:highlight w:val="none"/>
        </w:rPr>
        <w:t>）近年财务状况</w:t>
      </w:r>
      <w:bookmarkEnd w:id="1681"/>
      <w:bookmarkEnd w:id="1682"/>
      <w:bookmarkEnd w:id="1683"/>
    </w:p>
    <w:p w14:paraId="0527150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6BE015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财务状况表</w:t>
      </w:r>
    </w:p>
    <w:p w14:paraId="70D234CB">
      <w:pPr>
        <w:pageBreakBefore w:val="0"/>
        <w:kinsoku/>
        <w:wordWrap w:val="0"/>
        <w:bidi w:val="0"/>
        <w:spacing w:line="320" w:lineRule="atLeast"/>
        <w:jc w:val="center"/>
        <w:rPr>
          <w:rFonts w:hint="default" w:ascii="Times New Roman" w:hAnsi="Times New Roman" w:eastAsia="黑体" w:cs="Times New Roman"/>
          <w:b/>
          <w:color w:val="auto"/>
          <w:sz w:val="28"/>
          <w:highlight w:val="none"/>
        </w:rPr>
      </w:pPr>
    </w:p>
    <w:tbl>
      <w:tblPr>
        <w:tblStyle w:val="40"/>
        <w:tblW w:w="8925" w:type="dxa"/>
        <w:tblInd w:w="-77" w:type="dxa"/>
        <w:tblLayout w:type="fixed"/>
        <w:tblCellMar>
          <w:top w:w="0" w:type="dxa"/>
          <w:left w:w="28" w:type="dxa"/>
          <w:bottom w:w="0" w:type="dxa"/>
          <w:right w:w="28" w:type="dxa"/>
        </w:tblCellMar>
      </w:tblPr>
      <w:tblGrid>
        <w:gridCol w:w="4065"/>
        <w:gridCol w:w="900"/>
        <w:gridCol w:w="1320"/>
        <w:gridCol w:w="1320"/>
        <w:gridCol w:w="1320"/>
      </w:tblGrid>
      <w:tr w14:paraId="3F55CA2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17F34B">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707790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A09542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E4E83A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53CA30A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p>
        </w:tc>
      </w:tr>
      <w:tr w14:paraId="3A0E6964">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B326DD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69E18BF">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3E1653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55126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722317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459FECD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2DF77F1">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C6A462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7DE21D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9DA23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0E451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BFE70A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420B8AF">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8933F7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E57CAD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5DB0C4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268E5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0961368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73D1CE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31193F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A08C7D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C92675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9BA30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7293BB7B">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130F5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81FA67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445E6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43BD5A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DE5E9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5A7CCC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522F1E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C03526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9B9C86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67D1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06C19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0E3BF04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A4746D3">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68C8A0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7E3C7D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B9E896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DEAE69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38437C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17C26A6">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A9A6A1F">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0BBE98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979FB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252F6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56CA58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23DCB46">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2F2656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5A974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C24B47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F2734D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378C75D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48A6ED7">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E8011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7E54B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0A4CF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ACD421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3AA2E73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2CE9C63">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DA62AF2">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5BED83D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8CBD8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92C84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81261E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5C76C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448D7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54FD0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4711CB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B31AE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DACC48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2AEB396">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3A65C1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B3D1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7CC8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CD55D8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A9F099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9384CA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237B13B">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4A7451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7AD5BD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B2E634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728D4E3B">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CE90B7">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B4D7E7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2F04F4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A0F24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E9F412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5A6E700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8B78B66">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F327AF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46924E8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D191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22293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r w14:paraId="68D41E0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CD49747">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FBE8B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63D43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711D1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F5DFB9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color w:val="auto"/>
                <w:szCs w:val="21"/>
                <w:highlight w:val="none"/>
              </w:rPr>
            </w:pPr>
          </w:p>
        </w:tc>
      </w:tr>
    </w:tbl>
    <w:p w14:paraId="6DAD3EBE">
      <w:pPr>
        <w:pageBreakBefore w:val="0"/>
        <w:kinsoku/>
        <w:wordWrap w:val="0"/>
        <w:bidi w:val="0"/>
        <w:spacing w:line="400" w:lineRule="atLeast"/>
        <w:ind w:left="735" w:hanging="735" w:hangingChars="35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第3.5.2项的要求在本表后附相关证明材料。</w:t>
      </w:r>
    </w:p>
    <w:p w14:paraId="33A17488">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2.本表所列数据必须与本表各附件中的数据相一致。</w:t>
      </w:r>
    </w:p>
    <w:p w14:paraId="09BCA035">
      <w:pPr>
        <w:pageBreakBefore w:val="0"/>
        <w:kinsoku/>
        <w:wordWrap w:val="0"/>
        <w:bidi w:val="0"/>
        <w:spacing w:line="400" w:lineRule="atLeast"/>
        <w:ind w:left="399" w:leftChars="190"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3.以联合体形式参与投标的，联合体各成员</w:t>
      </w:r>
      <w:r>
        <w:rPr>
          <w:rFonts w:hint="default" w:ascii="Times New Roman" w:hAnsi="Times New Roman" w:cs="Times New Roman"/>
          <w:color w:val="auto"/>
          <w:szCs w:val="21"/>
          <w:highlight w:val="none"/>
          <w:lang w:val="en-US" w:eastAsia="zh-CN"/>
        </w:rPr>
        <w:t>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lang w:val="en-US" w:eastAsia="zh-CN"/>
        </w:rPr>
        <w:t>前附表附录2要求及第三章</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评标办法</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详细评审要求（如有）</w:t>
      </w:r>
      <w:r>
        <w:rPr>
          <w:rFonts w:hint="default" w:ascii="Times New Roman" w:hAnsi="Times New Roman" w:cs="Times New Roman"/>
          <w:color w:val="auto"/>
          <w:szCs w:val="21"/>
          <w:highlight w:val="none"/>
        </w:rPr>
        <w:t>分别填写。</w:t>
      </w:r>
    </w:p>
    <w:p w14:paraId="2AB7D601">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color w:val="auto"/>
          <w:sz w:val="24"/>
          <w:highlight w:val="none"/>
        </w:rPr>
      </w:pPr>
      <w:r>
        <w:rPr>
          <w:rFonts w:hint="default" w:ascii="Times New Roman" w:hAnsi="Times New Roman" w:cs="Times New Roman"/>
          <w:color w:val="auto"/>
          <w:highlight w:val="none"/>
        </w:rPr>
        <w:br w:type="page"/>
      </w:r>
      <w:r>
        <w:rPr>
          <w:rFonts w:hint="default" w:ascii="Times New Roman" w:hAnsi="Times New Roman" w:eastAsia="黑体" w:cs="Times New Roman"/>
          <w:color w:val="auto"/>
          <w:sz w:val="24"/>
          <w:highlight w:val="none"/>
        </w:rPr>
        <w:t>银行信贷证明</w:t>
      </w:r>
      <w:r>
        <w:rPr>
          <w:rStyle w:val="48"/>
          <w:rFonts w:hint="default" w:ascii="Times New Roman" w:hAnsi="Times New Roman" w:eastAsia="黑体" w:cs="Times New Roman"/>
          <w:color w:val="auto"/>
          <w:sz w:val="24"/>
          <w:highlight w:val="none"/>
        </w:rPr>
        <w:footnoteReference w:id="51"/>
      </w:r>
    </w:p>
    <w:p w14:paraId="10AB1D1E">
      <w:pPr>
        <w:pageBreakBefore w:val="0"/>
        <w:kinsoku/>
        <w:wordWrap w:val="0"/>
        <w:bidi w:val="0"/>
        <w:spacing w:line="360" w:lineRule="atLeast"/>
        <w:jc w:val="center"/>
        <w:rPr>
          <w:rFonts w:hint="default" w:ascii="Times New Roman" w:hAnsi="Times New Roman" w:cs="Times New Roman"/>
          <w:color w:val="auto"/>
          <w:sz w:val="24"/>
          <w:highlight w:val="none"/>
        </w:rPr>
      </w:pPr>
    </w:p>
    <w:p w14:paraId="1B62BE0A">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银行名称：________________________________</w:t>
      </w:r>
    </w:p>
    <w:p w14:paraId="6A1B9CCA">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地址：________________________________</w:t>
      </w:r>
    </w:p>
    <w:p w14:paraId="3DDB32E4">
      <w:pPr>
        <w:pageBreakBefore w:val="0"/>
        <w:kinsoku/>
        <w:wordWrap w:val="0"/>
        <w:autoSpaceDE w:val="0"/>
        <w:autoSpaceDN w:val="0"/>
        <w:bidi w:val="0"/>
        <w:adjustRightInd w:val="0"/>
        <w:spacing w:line="520" w:lineRule="atLeast"/>
        <w:jc w:val="righ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日期：_____________</w:t>
      </w:r>
    </w:p>
    <w:p w14:paraId="1BACC66E">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p>
    <w:p w14:paraId="1B9ACBFD">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（招标人全称）    </w:t>
      </w:r>
    </w:p>
    <w:p w14:paraId="3637BFEE">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p>
    <w:p w14:paraId="2B012B23">
      <w:pPr>
        <w:pageBreakBefore w:val="0"/>
        <w:kinsoku/>
        <w:wordWrap w:val="0"/>
        <w:autoSpaceDE w:val="0"/>
        <w:autoSpaceDN w:val="0"/>
        <w:bidi w:val="0"/>
        <w:adjustRightInd w:val="0"/>
        <w:spacing w:line="400" w:lineRule="atLeast"/>
        <w:ind w:firstLine="5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兹开具最高限额为人民币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万元的银行信贷，供</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（投标人注册地点）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（投标人名称）于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日之前，在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（项目名称）需要时使用。我行保证由____________（投标人名称）提供的财务报表中所开列的作为流动资产的各项中无一项包含在上述提到的银行信贷中。</w:t>
      </w:r>
    </w:p>
    <w:p w14:paraId="6D4B588E">
      <w:pPr>
        <w:pageBreakBefore w:val="0"/>
        <w:kinsoku/>
        <w:wordWrap w:val="0"/>
        <w:autoSpaceDE w:val="0"/>
        <w:autoSpaceDN w:val="0"/>
        <w:bidi w:val="0"/>
        <w:adjustRightInd w:val="0"/>
        <w:spacing w:line="520" w:lineRule="atLeast"/>
        <w:ind w:firstLine="5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此项目若未中标，该信贷证明自动失效，无须退回我行。</w:t>
      </w:r>
    </w:p>
    <w:p w14:paraId="633FEE65">
      <w:pPr>
        <w:pageBreakBefore w:val="0"/>
        <w:kinsoku/>
        <w:wordWrap w:val="0"/>
        <w:autoSpaceDE w:val="0"/>
        <w:autoSpaceDN w:val="0"/>
        <w:bidi w:val="0"/>
        <w:adjustRightInd w:val="0"/>
        <w:spacing w:line="520" w:lineRule="atLeast"/>
        <w:rPr>
          <w:rFonts w:hint="default" w:ascii="Times New Roman" w:hAnsi="Times New Roman" w:cs="Times New Roman"/>
          <w:color w:val="auto"/>
          <w:sz w:val="24"/>
          <w:highlight w:val="none"/>
        </w:rPr>
      </w:pPr>
    </w:p>
    <w:p w14:paraId="4BB3102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银          行（盖单位章）：</w:t>
      </w:r>
      <w:r>
        <w:rPr>
          <w:rFonts w:hint="default" w:ascii="Times New Roman" w:hAnsi="Times New Roman" w:cs="Times New Roman"/>
          <w:color w:val="auto"/>
          <w:sz w:val="24"/>
          <w:highlight w:val="none"/>
          <w:u w:val="single"/>
        </w:rPr>
        <w:t xml:space="preserve">                 </w:t>
      </w:r>
    </w:p>
    <w:p w14:paraId="7DB1BE5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银行主要负责人（签字）：</w:t>
      </w:r>
      <w:r>
        <w:rPr>
          <w:rFonts w:hint="default" w:ascii="Times New Roman" w:hAnsi="Times New Roman" w:cs="Times New Roman"/>
          <w:color w:val="auto"/>
          <w:sz w:val="24"/>
          <w:highlight w:val="none"/>
          <w:u w:val="single"/>
        </w:rPr>
        <w:t xml:space="preserve">                     </w:t>
      </w:r>
    </w:p>
    <w:p w14:paraId="59E91A9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银行主要负责人姓名、职务：</w:t>
      </w:r>
      <w:r>
        <w:rPr>
          <w:rFonts w:hint="default" w:ascii="Times New Roman" w:hAnsi="Times New Roman" w:cs="Times New Roman"/>
          <w:color w:val="auto"/>
          <w:sz w:val="24"/>
          <w:highlight w:val="none"/>
          <w:u w:val="single"/>
        </w:rPr>
        <w:t xml:space="preserve">     （打印）    </w:t>
      </w:r>
    </w:p>
    <w:p w14:paraId="75D4B993">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    行    电    话：</w:t>
      </w:r>
      <w:r>
        <w:rPr>
          <w:rFonts w:hint="default" w:ascii="Times New Roman" w:hAnsi="Times New Roman" w:cs="Times New Roman"/>
          <w:color w:val="auto"/>
          <w:sz w:val="24"/>
          <w:highlight w:val="none"/>
          <w:u w:val="single"/>
        </w:rPr>
        <w:t xml:space="preserve">                    </w:t>
      </w:r>
    </w:p>
    <w:p w14:paraId="263A42FE">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银    行    传    真：</w:t>
      </w:r>
      <w:r>
        <w:rPr>
          <w:rFonts w:hint="default" w:ascii="Times New Roman" w:hAnsi="Times New Roman" w:cs="Times New Roman"/>
          <w:color w:val="auto"/>
          <w:sz w:val="24"/>
          <w:highlight w:val="none"/>
          <w:u w:val="single"/>
        </w:rPr>
        <w:t xml:space="preserve">                    </w:t>
      </w:r>
    </w:p>
    <w:p w14:paraId="777A9E98">
      <w:pPr>
        <w:pageBreakBefore w:val="0"/>
        <w:kinsoku/>
        <w:wordWrap w:val="0"/>
        <w:bidi w:val="0"/>
        <w:spacing w:line="320" w:lineRule="atLeast"/>
        <w:jc w:val="center"/>
        <w:rPr>
          <w:rFonts w:hint="default" w:ascii="Times New Roman" w:hAnsi="Times New Roman" w:cs="Times New Roman"/>
          <w:color w:val="auto"/>
          <w:sz w:val="24"/>
          <w:highlight w:val="none"/>
        </w:rPr>
      </w:pPr>
    </w:p>
    <w:p w14:paraId="65646DF3">
      <w:pPr>
        <w:pageBreakBefore w:val="0"/>
        <w:kinsoku/>
        <w:wordWrap w:val="0"/>
        <w:bidi w:val="0"/>
        <w:spacing w:line="320" w:lineRule="atLeast"/>
        <w:jc w:val="center"/>
        <w:rPr>
          <w:rFonts w:hint="default" w:ascii="Times New Roman" w:hAnsi="Times New Roman" w:cs="Times New Roman"/>
          <w:color w:val="auto"/>
          <w:sz w:val="24"/>
          <w:highlight w:val="none"/>
        </w:rPr>
      </w:pPr>
    </w:p>
    <w:p w14:paraId="1E8A757E">
      <w:pPr>
        <w:pStyle w:val="31"/>
        <w:pageBreakBefore w:val="0"/>
        <w:kinsoku/>
        <w:wordWrap w:val="0"/>
        <w:bidi w:val="0"/>
        <w:spacing w:line="320" w:lineRule="atLeast"/>
        <w:ind w:left="1084" w:leftChars="216" w:hanging="630" w:hangingChars="3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注：允许投标人实际开具的银行信贷证明的格式与《</w:t>
      </w:r>
      <w:r>
        <w:rPr>
          <w:rFonts w:hint="default" w:ascii="Times New Roman" w:hAnsi="Times New Roman" w:cs="Times New Roman"/>
          <w:color w:val="auto"/>
          <w:sz w:val="21"/>
          <w:szCs w:val="21"/>
          <w:highlight w:val="none"/>
          <w:lang w:val="en-US" w:eastAsia="zh-CN"/>
        </w:rPr>
        <w:t>标准文件</w:t>
      </w:r>
      <w:r>
        <w:rPr>
          <w:rFonts w:hint="default" w:ascii="Times New Roman" w:hAnsi="Times New Roman" w:cs="Times New Roman"/>
          <w:color w:val="auto"/>
          <w:sz w:val="21"/>
          <w:szCs w:val="21"/>
          <w:highlight w:val="none"/>
        </w:rPr>
        <w:t>》提供的格式有所不同，但不得更改《</w:t>
      </w:r>
      <w:r>
        <w:rPr>
          <w:rFonts w:hint="default" w:ascii="Times New Roman" w:hAnsi="Times New Roman" w:cs="Times New Roman"/>
          <w:color w:val="auto"/>
          <w:sz w:val="21"/>
          <w:szCs w:val="21"/>
          <w:highlight w:val="none"/>
          <w:lang w:val="en-US" w:eastAsia="zh-CN"/>
        </w:rPr>
        <w:t>标准文件</w:t>
      </w:r>
      <w:r>
        <w:rPr>
          <w:rFonts w:hint="default" w:ascii="Times New Roman" w:hAnsi="Times New Roman" w:cs="Times New Roman"/>
          <w:color w:val="auto"/>
          <w:sz w:val="21"/>
          <w:szCs w:val="21"/>
          <w:highlight w:val="none"/>
        </w:rPr>
        <w:t>》提供的银行信贷证明格式中的实质性内容。</w:t>
      </w:r>
    </w:p>
    <w:p w14:paraId="75BA9D1B">
      <w:pPr>
        <w:pageBreakBefore w:val="0"/>
        <w:kinsoku/>
        <w:wordWrap w:val="0"/>
        <w:bidi w:val="0"/>
        <w:spacing w:line="320" w:lineRule="atLeast"/>
        <w:ind w:left="1155" w:leftChars="400" w:hanging="315" w:hangingChars="150"/>
        <w:rPr>
          <w:rFonts w:hint="default" w:ascii="Times New Roman" w:hAnsi="Times New Roman" w:cs="Times New Roman"/>
          <w:color w:val="auto"/>
          <w:szCs w:val="21"/>
          <w:highlight w:val="none"/>
        </w:rPr>
      </w:pPr>
    </w:p>
    <w:p w14:paraId="4106A125">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cs="Times New Roman"/>
          <w:color w:val="auto"/>
          <w:sz w:val="24"/>
          <w:highlight w:val="none"/>
        </w:rPr>
        <w:br w:type="page"/>
      </w:r>
      <w:bookmarkStart w:id="1685" w:name="_Toc234833283"/>
      <w:bookmarkStart w:id="1686" w:name="_Toc26877"/>
      <w:bookmarkStart w:id="1687" w:name="_Toc11478"/>
      <w:r>
        <w:rPr>
          <w:rFonts w:hint="default" w:ascii="Times New Roman" w:hAnsi="Times New Roman" w:eastAsia="黑体" w:cs="Times New Roman"/>
          <w:b w:val="0"/>
          <w:color w:val="auto"/>
          <w:sz w:val="24"/>
          <w:szCs w:val="24"/>
          <w:highlight w:val="none"/>
        </w:rPr>
        <w:t>（</w:t>
      </w:r>
      <w:r>
        <w:rPr>
          <w:rFonts w:hint="default" w:ascii="Times New Roman" w:hAnsi="Times New Roman" w:eastAsia="黑体" w:cs="Times New Roman"/>
          <w:b w:val="0"/>
          <w:color w:val="auto"/>
          <w:sz w:val="24"/>
          <w:szCs w:val="24"/>
          <w:highlight w:val="none"/>
          <w:lang w:eastAsia="zh-CN"/>
        </w:rPr>
        <w:t>四</w:t>
      </w:r>
      <w:r>
        <w:rPr>
          <w:rFonts w:hint="default" w:ascii="Times New Roman" w:hAnsi="Times New Roman" w:eastAsia="黑体" w:cs="Times New Roman"/>
          <w:b w:val="0"/>
          <w:color w:val="auto"/>
          <w:sz w:val="24"/>
          <w:szCs w:val="24"/>
          <w:highlight w:val="none"/>
        </w:rPr>
        <w:t>）近年完成的类似项目情况表</w:t>
      </w:r>
      <w:bookmarkEnd w:id="1685"/>
      <w:bookmarkEnd w:id="1686"/>
      <w:bookmarkEnd w:id="1687"/>
    </w:p>
    <w:p w14:paraId="0DFD8809">
      <w:pPr>
        <w:pageBreakBefore w:val="0"/>
        <w:kinsoku/>
        <w:wordWrap w:val="0"/>
        <w:bidi w:val="0"/>
        <w:spacing w:line="440" w:lineRule="exact"/>
        <w:jc w:val="center"/>
        <w:rPr>
          <w:rFonts w:hint="default" w:ascii="Times New Roman" w:hAnsi="Times New Roman" w:eastAsia="黑体" w:cs="Times New Roman"/>
          <w:color w:val="auto"/>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3F3D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225EC37B">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Cs w:val="21"/>
                <w:highlight w:val="none"/>
              </w:rPr>
              <w:t>序</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号</w:t>
            </w:r>
          </w:p>
        </w:tc>
        <w:tc>
          <w:tcPr>
            <w:tcW w:w="6524" w:type="dxa"/>
            <w:noWrap w:val="0"/>
            <w:vAlign w:val="top"/>
          </w:tcPr>
          <w:p w14:paraId="0F10548D">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D2D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2CFE504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项目名称</w:t>
            </w:r>
          </w:p>
        </w:tc>
        <w:tc>
          <w:tcPr>
            <w:tcW w:w="6524" w:type="dxa"/>
            <w:noWrap w:val="0"/>
            <w:vAlign w:val="top"/>
          </w:tcPr>
          <w:p w14:paraId="472B67F0">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1C81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7010AB17">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项目所在地</w:t>
            </w:r>
          </w:p>
        </w:tc>
        <w:tc>
          <w:tcPr>
            <w:tcW w:w="6524" w:type="dxa"/>
            <w:noWrap w:val="0"/>
            <w:vAlign w:val="top"/>
          </w:tcPr>
          <w:p w14:paraId="57E07AE3">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3D4B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70D48B5A">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发包人名称</w:t>
            </w:r>
          </w:p>
        </w:tc>
        <w:tc>
          <w:tcPr>
            <w:tcW w:w="6524" w:type="dxa"/>
            <w:noWrap w:val="0"/>
            <w:vAlign w:val="top"/>
          </w:tcPr>
          <w:p w14:paraId="4864BC73">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1710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7F0B628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发包人地址</w:t>
            </w:r>
          </w:p>
        </w:tc>
        <w:tc>
          <w:tcPr>
            <w:tcW w:w="6524" w:type="dxa"/>
            <w:noWrap w:val="0"/>
            <w:vAlign w:val="top"/>
          </w:tcPr>
          <w:p w14:paraId="3AA9F022">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E74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061EE3EF">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发包人电话</w:t>
            </w:r>
          </w:p>
        </w:tc>
        <w:tc>
          <w:tcPr>
            <w:tcW w:w="6524" w:type="dxa"/>
            <w:noWrap w:val="0"/>
            <w:vAlign w:val="top"/>
          </w:tcPr>
          <w:p w14:paraId="7D051E72">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239A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0B73D14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合同价格</w:t>
            </w:r>
          </w:p>
        </w:tc>
        <w:tc>
          <w:tcPr>
            <w:tcW w:w="6524" w:type="dxa"/>
            <w:noWrap w:val="0"/>
            <w:vAlign w:val="top"/>
          </w:tcPr>
          <w:p w14:paraId="615D2EB9">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2CFD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3B744185">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开工日期</w:t>
            </w:r>
          </w:p>
        </w:tc>
        <w:tc>
          <w:tcPr>
            <w:tcW w:w="6524" w:type="dxa"/>
            <w:noWrap w:val="0"/>
            <w:vAlign w:val="top"/>
          </w:tcPr>
          <w:p w14:paraId="74270752">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52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41A93791">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交工日期</w:t>
            </w:r>
          </w:p>
        </w:tc>
        <w:tc>
          <w:tcPr>
            <w:tcW w:w="6524" w:type="dxa"/>
            <w:noWrap w:val="0"/>
            <w:vAlign w:val="top"/>
          </w:tcPr>
          <w:p w14:paraId="554EE8DD">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4CC8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1888DBD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承担的工作</w:t>
            </w:r>
          </w:p>
        </w:tc>
        <w:tc>
          <w:tcPr>
            <w:tcW w:w="6524" w:type="dxa"/>
            <w:noWrap w:val="0"/>
            <w:vAlign w:val="top"/>
          </w:tcPr>
          <w:p w14:paraId="39DA7006">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4782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22535357">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工程质量</w:t>
            </w:r>
          </w:p>
        </w:tc>
        <w:tc>
          <w:tcPr>
            <w:tcW w:w="6524" w:type="dxa"/>
            <w:noWrap w:val="0"/>
            <w:vAlign w:val="top"/>
          </w:tcPr>
          <w:p w14:paraId="76951866">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3F53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186F5885">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项目经理</w:t>
            </w:r>
          </w:p>
        </w:tc>
        <w:tc>
          <w:tcPr>
            <w:tcW w:w="6524" w:type="dxa"/>
            <w:noWrap w:val="0"/>
            <w:vAlign w:val="top"/>
          </w:tcPr>
          <w:p w14:paraId="16B386F8">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2FC4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0ACE3DBE">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项目总工</w:t>
            </w:r>
          </w:p>
        </w:tc>
        <w:tc>
          <w:tcPr>
            <w:tcW w:w="6524" w:type="dxa"/>
            <w:noWrap w:val="0"/>
            <w:vAlign w:val="top"/>
          </w:tcPr>
          <w:p w14:paraId="356F66EB">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559F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5687CF10">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总监理工程师及电话</w:t>
            </w:r>
          </w:p>
        </w:tc>
        <w:tc>
          <w:tcPr>
            <w:tcW w:w="6524" w:type="dxa"/>
            <w:noWrap w:val="0"/>
            <w:vAlign w:val="top"/>
          </w:tcPr>
          <w:p w14:paraId="57659DAC">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42AA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2649B5B8">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项目描述</w:t>
            </w:r>
          </w:p>
        </w:tc>
        <w:tc>
          <w:tcPr>
            <w:tcW w:w="6524" w:type="dxa"/>
            <w:noWrap w:val="0"/>
            <w:vAlign w:val="top"/>
          </w:tcPr>
          <w:p w14:paraId="0F039D46">
            <w:pPr>
              <w:pageBreakBefore w:val="0"/>
              <w:kinsoku/>
              <w:wordWrap w:val="0"/>
              <w:topLinePunct/>
              <w:bidi w:val="0"/>
              <w:spacing w:line="440" w:lineRule="exact"/>
              <w:rPr>
                <w:rFonts w:hint="default" w:ascii="Times New Roman" w:hAnsi="Times New Roman" w:cs="Times New Roman"/>
                <w:color w:val="auto"/>
                <w:sz w:val="20"/>
                <w:szCs w:val="20"/>
                <w:highlight w:val="none"/>
              </w:rPr>
            </w:pPr>
          </w:p>
          <w:p w14:paraId="470358C0">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r w14:paraId="1A19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7" w:type="dxa"/>
            <w:noWrap w:val="0"/>
            <w:vAlign w:val="center"/>
          </w:tcPr>
          <w:p w14:paraId="2E529C3A">
            <w:pPr>
              <w:pageBreakBefore w:val="0"/>
              <w:kinsoku/>
              <w:wordWrap w:val="0"/>
              <w:topLinePunct/>
              <w:bidi w:val="0"/>
              <w:spacing w:line="440" w:lineRule="exact"/>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备注</w:t>
            </w:r>
          </w:p>
        </w:tc>
        <w:tc>
          <w:tcPr>
            <w:tcW w:w="6524" w:type="dxa"/>
            <w:noWrap w:val="0"/>
            <w:vAlign w:val="top"/>
          </w:tcPr>
          <w:p w14:paraId="0A99BDD1">
            <w:pPr>
              <w:pageBreakBefore w:val="0"/>
              <w:kinsoku/>
              <w:wordWrap w:val="0"/>
              <w:topLinePunct/>
              <w:bidi w:val="0"/>
              <w:spacing w:line="440" w:lineRule="exact"/>
              <w:rPr>
                <w:rFonts w:hint="default" w:ascii="Times New Roman" w:hAnsi="Times New Roman" w:cs="Times New Roman"/>
                <w:color w:val="auto"/>
                <w:sz w:val="20"/>
                <w:szCs w:val="20"/>
                <w:highlight w:val="none"/>
              </w:rPr>
            </w:pPr>
          </w:p>
        </w:tc>
      </w:tr>
    </w:tbl>
    <w:p w14:paraId="3F2C4FF2">
      <w:pPr>
        <w:pageBreakBefore w:val="0"/>
        <w:kinsoku/>
        <w:wordWrap w:val="0"/>
        <w:bidi w:val="0"/>
        <w:spacing w:line="400" w:lineRule="atLeast"/>
        <w:ind w:left="735" w:hanging="735" w:hangingChars="3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注：1.每张表格只填写一个项目，并标明序号。</w:t>
      </w:r>
    </w:p>
    <w:p w14:paraId="63D57CF8">
      <w:pPr>
        <w:pageBreakBefore w:val="0"/>
        <w:kinsoku/>
        <w:wordWrap w:val="0"/>
        <w:bidi w:val="0"/>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第3.5.3项的要求在本表后附相关证明材料。</w:t>
      </w:r>
    </w:p>
    <w:p w14:paraId="30B36AB1">
      <w:pPr>
        <w:pageBreakBefore w:val="0"/>
        <w:kinsoku/>
        <w:wordWrap w:val="0"/>
        <w:bidi w:val="0"/>
        <w:spacing w:line="400" w:lineRule="atLeast"/>
        <w:ind w:left="588" w:leftChars="200" w:hanging="168" w:hangingChars="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3.如近年来，投标人法人机构发生合法变更或重组或法人名称变更时，应提供相关部门的合法批件或其他相关证明材料来证明其所附业绩的继承性。</w:t>
      </w:r>
    </w:p>
    <w:p w14:paraId="523D0CC0">
      <w:pPr>
        <w:pageBreakBefore w:val="0"/>
        <w:kinsoku/>
        <w:wordWrap w:val="0"/>
        <w:bidi w:val="0"/>
        <w:spacing w:line="400" w:lineRule="atLeast"/>
        <w:ind w:left="609" w:leftChars="190" w:hanging="210" w:hanging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4.以联合体形式参与投标的，联合体各成员</w:t>
      </w:r>
      <w:r>
        <w:rPr>
          <w:rFonts w:hint="default" w:ascii="Times New Roman" w:hAnsi="Times New Roman" w:cs="Times New Roman"/>
          <w:color w:val="auto"/>
          <w:szCs w:val="21"/>
          <w:highlight w:val="none"/>
          <w:lang w:val="en-US" w:eastAsia="zh-CN"/>
        </w:rPr>
        <w:t>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lang w:val="en-US" w:eastAsia="zh-CN"/>
        </w:rPr>
        <w:t>前附表附录3要求及第三章</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评标办法</w:t>
      </w:r>
      <w:r>
        <w:rPr>
          <w:rFonts w:hint="eastAsia" w:ascii="宋体" w:hAnsi="宋体" w:eastAsia="宋体" w:cs="宋体"/>
          <w:color w:val="auto"/>
          <w:highlight w:val="none"/>
          <w:lang w:val="en-US" w:eastAsia="zh-CN"/>
        </w:rPr>
        <w:t>”</w:t>
      </w:r>
      <w:r>
        <w:rPr>
          <w:rFonts w:hint="default" w:ascii="Times New Roman" w:hAnsi="Times New Roman" w:cs="Times New Roman"/>
          <w:color w:val="auto"/>
          <w:highlight w:val="none"/>
          <w:lang w:val="en-US" w:eastAsia="zh-CN"/>
        </w:rPr>
        <w:t>详细评审要求（如有）</w:t>
      </w:r>
      <w:r>
        <w:rPr>
          <w:rFonts w:hint="default" w:ascii="Times New Roman" w:hAnsi="Times New Roman" w:cs="Times New Roman"/>
          <w:color w:val="auto"/>
          <w:szCs w:val="21"/>
          <w:highlight w:val="none"/>
        </w:rPr>
        <w:t>分别填写。</w:t>
      </w:r>
    </w:p>
    <w:p w14:paraId="51AB2A06">
      <w:pPr>
        <w:pageBreakBefore w:val="0"/>
        <w:kinsoku/>
        <w:wordWrap w:val="0"/>
        <w:bidi w:val="0"/>
        <w:spacing w:line="280" w:lineRule="exact"/>
        <w:rPr>
          <w:rFonts w:hint="default" w:ascii="Times New Roman" w:hAnsi="Times New Roman" w:eastAsia="黑体" w:cs="Times New Roman"/>
          <w:color w:val="auto"/>
          <w:sz w:val="23"/>
          <w:szCs w:val="23"/>
          <w:highlight w:val="none"/>
        </w:rPr>
      </w:pPr>
      <w:r>
        <w:rPr>
          <w:rFonts w:hint="default" w:ascii="Times New Roman" w:hAnsi="Times New Roman" w:eastAsia="黑体" w:cs="Times New Roman"/>
          <w:color w:val="auto"/>
          <w:sz w:val="23"/>
          <w:szCs w:val="23"/>
          <w:highlight w:val="none"/>
        </w:rPr>
        <w:br w:type="page"/>
      </w:r>
    </w:p>
    <w:p w14:paraId="1DFF9D83">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bookmarkStart w:id="1688" w:name="_Toc2693"/>
      <w:bookmarkStart w:id="1689" w:name="_Toc26533"/>
      <w:bookmarkStart w:id="1690" w:name="_Toc234833285"/>
      <w:r>
        <w:rPr>
          <w:rFonts w:hint="eastAsia" w:ascii="Times New Roman" w:hAnsi="Times New Roman" w:eastAsia="黑体" w:cs="Times New Roman"/>
          <w:b w:val="0"/>
          <w:color w:val="auto"/>
          <w:sz w:val="24"/>
          <w:szCs w:val="24"/>
          <w:highlight w:val="none"/>
          <w:lang w:val="en-US" w:eastAsia="zh-CN"/>
        </w:rPr>
        <w:t>（五）</w:t>
      </w:r>
      <w:r>
        <w:rPr>
          <w:rFonts w:hint="default" w:ascii="Times New Roman" w:hAnsi="Times New Roman" w:eastAsia="黑体" w:cs="Times New Roman"/>
          <w:b w:val="0"/>
          <w:color w:val="auto"/>
          <w:sz w:val="24"/>
          <w:szCs w:val="24"/>
          <w:highlight w:val="none"/>
        </w:rPr>
        <w:t>投标人的信誉情况表</w:t>
      </w:r>
      <w:bookmarkEnd w:id="1688"/>
      <w:bookmarkEnd w:id="1689"/>
    </w:p>
    <w:p w14:paraId="4E48B772">
      <w:pPr>
        <w:keepNext/>
        <w:keepLines/>
        <w:spacing w:before="80" w:after="64"/>
        <w:ind w:firstLine="566"/>
        <w:jc w:val="center"/>
        <w:rPr>
          <w:rFonts w:hint="default" w:eastAsia="黑体" w:cs="Times New Roman"/>
          <w:bCs/>
          <w:color w:val="auto"/>
          <w:kern w:val="0"/>
          <w:sz w:val="28"/>
          <w:szCs w:val="28"/>
          <w:highlight w:val="none"/>
          <w:lang w:val="en-US" w:eastAsia="zh-CN" w:bidi="zh-CN"/>
        </w:rPr>
      </w:pPr>
      <w:r>
        <w:rPr>
          <w:rFonts w:hint="eastAsia" w:eastAsia="黑体" w:cs="Times New Roman"/>
          <w:bCs/>
          <w:color w:val="auto"/>
          <w:kern w:val="0"/>
          <w:sz w:val="28"/>
          <w:szCs w:val="28"/>
          <w:highlight w:val="none"/>
          <w:lang w:val="en-US" w:eastAsia="zh-CN" w:bidi="zh-CN"/>
        </w:rPr>
        <w:t>5-1</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3F2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01D9FDF4">
            <w:pPr>
              <w:pageBreakBefore w:val="0"/>
              <w:kinsoku/>
              <w:wordWrap w:val="0"/>
              <w:topLinePunct/>
              <w:bidi w:val="0"/>
              <w:spacing w:line="40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项目</w:t>
            </w:r>
          </w:p>
        </w:tc>
        <w:tc>
          <w:tcPr>
            <w:tcW w:w="4261" w:type="dxa"/>
            <w:noWrap w:val="0"/>
            <w:vAlign w:val="center"/>
          </w:tcPr>
          <w:p w14:paraId="17E62E68">
            <w:pPr>
              <w:pageBreakBefore w:val="0"/>
              <w:kinsoku/>
              <w:wordWrap w:val="0"/>
              <w:topLinePunct/>
              <w:bidi w:val="0"/>
              <w:spacing w:line="40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投标人情况说明</w:t>
            </w:r>
          </w:p>
        </w:tc>
      </w:tr>
      <w:tr w14:paraId="6DDA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6E802B43">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459D5E71">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1007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34353CB9">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0608AC5F">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5FB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137FE42">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6FD5112D">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218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39E2B02">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53DAEA39">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0945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50DB37">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6EEA8C18">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4BDB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D2E3A2F">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6DDFD1E8">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3228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4826FE">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72ED0E27">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r w14:paraId="0ABE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B4F75C">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c>
          <w:tcPr>
            <w:tcW w:w="4261" w:type="dxa"/>
            <w:noWrap w:val="0"/>
            <w:vAlign w:val="top"/>
          </w:tcPr>
          <w:p w14:paraId="2FBFB6D4">
            <w:pPr>
              <w:pageBreakBefore w:val="0"/>
              <w:kinsoku/>
              <w:wordWrap w:val="0"/>
              <w:topLinePunct/>
              <w:bidi w:val="0"/>
              <w:spacing w:line="400" w:lineRule="atLeast"/>
              <w:rPr>
                <w:rFonts w:hint="default" w:ascii="Times New Roman" w:hAnsi="Times New Roman" w:cs="Times New Roman"/>
                <w:bCs/>
                <w:color w:val="auto"/>
                <w:sz w:val="20"/>
                <w:szCs w:val="20"/>
                <w:highlight w:val="none"/>
              </w:rPr>
            </w:pPr>
          </w:p>
        </w:tc>
      </w:tr>
    </w:tbl>
    <w:p w14:paraId="4CC66E75">
      <w:pPr>
        <w:keepNext w:val="0"/>
        <w:keepLines w:val="0"/>
        <w:pageBreakBefore w:val="0"/>
        <w:widowControl w:val="0"/>
        <w:kinsoku/>
        <w:wordWrap w:val="0"/>
        <w:overflowPunct/>
        <w:topLinePunct w:val="0"/>
        <w:autoSpaceDE/>
        <w:autoSpaceDN/>
        <w:bidi w:val="0"/>
        <w:adjustRightInd/>
        <w:snapToGrid/>
        <w:spacing w:line="400" w:lineRule="atLeast"/>
        <w:ind w:left="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注：1.投标人应按照招标文件第二章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前附表附录4和</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正文第1.4.4项规定，逐条说明其信誉情况。</w:t>
      </w:r>
      <w:bookmarkEnd w:id="1690"/>
    </w:p>
    <w:p w14:paraId="65D31368">
      <w:pPr>
        <w:keepNext w:val="0"/>
        <w:keepLines w:val="0"/>
        <w:pageBreakBefore w:val="0"/>
        <w:widowControl w:val="0"/>
        <w:kinsoku/>
        <w:wordWrap w:val="0"/>
        <w:overflowPunct/>
        <w:topLinePunct w:val="0"/>
        <w:autoSpaceDE/>
        <w:autoSpaceDN/>
        <w:bidi w:val="0"/>
        <w:adjustRightInd/>
        <w:snapToGrid/>
        <w:spacing w:line="400" w:lineRule="atLeast"/>
        <w:ind w:left="0" w:firstLine="420" w:firstLineChars="200"/>
        <w:textAlignment w:val="auto"/>
        <w:rPr>
          <w:rFonts w:hint="default" w:ascii="Times New Roman" w:hAnsi="Times New Roman" w:cs="Times New Roman"/>
          <w:color w:val="auto"/>
          <w:szCs w:val="21"/>
          <w:highlight w:val="none"/>
        </w:rPr>
      </w:pPr>
      <w:bookmarkStart w:id="1691" w:name="_Hlk493477915"/>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第3.5.4项的要求在本表后附相关证明材料。</w:t>
      </w:r>
      <w:bookmarkEnd w:id="1691"/>
    </w:p>
    <w:p w14:paraId="4F26CEBF">
      <w:pPr>
        <w:keepNext w:val="0"/>
        <w:keepLines w:val="0"/>
        <w:pageBreakBefore w:val="0"/>
        <w:widowControl w:val="0"/>
        <w:kinsoku/>
        <w:wordWrap w:val="0"/>
        <w:overflowPunct/>
        <w:topLinePunct w:val="0"/>
        <w:autoSpaceDE/>
        <w:autoSpaceDN/>
        <w:bidi w:val="0"/>
        <w:adjustRightInd/>
        <w:snapToGrid/>
        <w:spacing w:line="400" w:lineRule="atLeast"/>
        <w:ind w:left="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3.以联合体形式参与投标的，联合体各成员应分别填写。</w:t>
      </w:r>
    </w:p>
    <w:p w14:paraId="6714ECC4">
      <w:pPr>
        <w:pStyle w:val="2"/>
        <w:pageBreakBefore w:val="0"/>
        <w:kinsoku/>
        <w:wordWrap w:val="0"/>
        <w:bidi w:val="0"/>
        <w:spacing w:before="0" w:after="0" w:line="380" w:lineRule="atLeast"/>
        <w:jc w:val="center"/>
        <w:outlineLvl w:val="9"/>
        <w:rPr>
          <w:rFonts w:hint="default" w:ascii="Times New Roman" w:hAnsi="Times New Roman" w:cs="Times New Roman"/>
          <w:b w:val="0"/>
          <w:bCs w:val="0"/>
          <w:color w:val="auto"/>
          <w:kern w:val="2"/>
          <w:sz w:val="21"/>
          <w:szCs w:val="21"/>
          <w:highlight w:val="none"/>
          <w:lang w:val="en-US" w:eastAsia="zh-CN"/>
        </w:rPr>
        <w:sectPr>
          <w:headerReference r:id="rId40" w:type="default"/>
          <w:footerReference r:id="rId41"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7021F7C4">
      <w:pPr>
        <w:keepNext/>
        <w:keepLines/>
        <w:spacing w:before="80" w:after="64"/>
        <w:ind w:firstLine="566"/>
        <w:jc w:val="center"/>
        <w:rPr>
          <w:rFonts w:hint="default" w:ascii="Times New Roman" w:hAnsi="Times New Roman" w:eastAsia="黑体" w:cs="Times New Roman"/>
          <w:bCs/>
          <w:color w:val="auto"/>
          <w:kern w:val="0"/>
          <w:sz w:val="28"/>
          <w:szCs w:val="28"/>
          <w:highlight w:val="none"/>
          <w:lang w:val="en-US" w:bidi="zh-CN"/>
        </w:rPr>
      </w:pPr>
      <w:r>
        <w:rPr>
          <w:rFonts w:hint="eastAsia" w:eastAsia="黑体" w:cs="Times New Roman"/>
          <w:bCs/>
          <w:color w:val="auto"/>
          <w:kern w:val="0"/>
          <w:sz w:val="28"/>
          <w:szCs w:val="28"/>
          <w:highlight w:val="none"/>
          <w:lang w:val="en-US" w:bidi="zh-CN"/>
        </w:rPr>
        <w:t>5-2</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598"/>
        <w:gridCol w:w="1952"/>
        <w:gridCol w:w="1952"/>
        <w:gridCol w:w="1953"/>
      </w:tblGrid>
      <w:tr w14:paraId="54DE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52" w:type="pct"/>
            <w:noWrap w:val="0"/>
            <w:vAlign w:val="center"/>
          </w:tcPr>
          <w:p w14:paraId="7EB550FF">
            <w:pPr>
              <w:pageBreakBefore w:val="0"/>
              <w:kinsoku/>
              <w:wordWrap w:val="0"/>
              <w:topLinePunct/>
              <w:bidi w:val="0"/>
              <w:spacing w:line="400" w:lineRule="atLeast"/>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评价年度</w:t>
            </w:r>
          </w:p>
        </w:tc>
        <w:tc>
          <w:tcPr>
            <w:tcW w:w="910" w:type="pct"/>
            <w:noWrap w:val="0"/>
            <w:vAlign w:val="center"/>
          </w:tcPr>
          <w:p w14:paraId="7D0AA313">
            <w:pPr>
              <w:pageBreakBefore w:val="0"/>
              <w:kinsoku/>
              <w:wordWrap w:val="0"/>
              <w:topLinePunct/>
              <w:bidi w:val="0"/>
              <w:spacing w:line="40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评价机构</w:t>
            </w:r>
          </w:p>
        </w:tc>
        <w:tc>
          <w:tcPr>
            <w:tcW w:w="1112" w:type="pct"/>
            <w:noWrap w:val="0"/>
            <w:vAlign w:val="center"/>
          </w:tcPr>
          <w:p w14:paraId="0CA6BE20">
            <w:pPr>
              <w:pageBreakBefore w:val="0"/>
              <w:kinsoku/>
              <w:wordWrap w:val="0"/>
              <w:topLinePunct/>
              <w:bidi w:val="0"/>
              <w:spacing w:line="40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信用评价等级</w:t>
            </w:r>
          </w:p>
        </w:tc>
        <w:tc>
          <w:tcPr>
            <w:tcW w:w="1112" w:type="pct"/>
            <w:noWrap w:val="0"/>
            <w:vAlign w:val="center"/>
          </w:tcPr>
          <w:p w14:paraId="09BC65E2">
            <w:pPr>
              <w:pageBreakBefore w:val="0"/>
              <w:kinsoku/>
              <w:wordWrap w:val="0"/>
              <w:topLinePunct/>
              <w:bidi w:val="0"/>
              <w:spacing w:line="400" w:lineRule="atLeast"/>
              <w:jc w:val="center"/>
              <w:rPr>
                <w:rFonts w:hint="eastAsia"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评价信息公示网站地址</w:t>
            </w:r>
          </w:p>
        </w:tc>
        <w:tc>
          <w:tcPr>
            <w:tcW w:w="1112" w:type="pct"/>
            <w:noWrap w:val="0"/>
            <w:vAlign w:val="center"/>
          </w:tcPr>
          <w:p w14:paraId="20FBCB11">
            <w:pPr>
              <w:pageBreakBefore w:val="0"/>
              <w:kinsoku/>
              <w:wordWrap w:val="0"/>
              <w:topLinePunct/>
              <w:bidi w:val="0"/>
              <w:spacing w:line="400" w:lineRule="atLeast"/>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有效期</w:t>
            </w:r>
          </w:p>
        </w:tc>
      </w:tr>
      <w:tr w14:paraId="0D4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6B04431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7B052BB6">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A0D7CDE">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0C95D767">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9A06EE8">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72E4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38B35AEB">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63CF90F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7348804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6D9B417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6A8849B3">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3AE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62864EDE">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535D43B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4040437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1BC088D9">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39C66185">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14D6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3ABC5FF0">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1ACD0488">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3B4F4944">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F2F6581">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FF01B9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52C5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1C8F9F79">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6D67BD6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4764731F">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148616B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41A1EFC1">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23F1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2FBA695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68A53557">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090CA7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585ABA0">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09FBDD74">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0CD2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423B77B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701F3E19">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6551DE6C">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2D1F28E2">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58E08BEF">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r w14:paraId="329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52" w:type="pct"/>
            <w:noWrap w:val="0"/>
            <w:vAlign w:val="center"/>
          </w:tcPr>
          <w:p w14:paraId="15FA798F">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910" w:type="pct"/>
            <w:noWrap w:val="0"/>
            <w:vAlign w:val="center"/>
          </w:tcPr>
          <w:p w14:paraId="0D1433A6">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7189254D">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06DA5B93">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c>
          <w:tcPr>
            <w:tcW w:w="1112" w:type="pct"/>
            <w:noWrap w:val="0"/>
            <w:vAlign w:val="center"/>
          </w:tcPr>
          <w:p w14:paraId="7DF620BA">
            <w:pPr>
              <w:pageBreakBefore w:val="0"/>
              <w:kinsoku/>
              <w:wordWrap w:val="0"/>
              <w:topLinePunct/>
              <w:bidi w:val="0"/>
              <w:spacing w:line="400" w:lineRule="atLeast"/>
              <w:jc w:val="center"/>
              <w:rPr>
                <w:rFonts w:hint="default" w:ascii="Times New Roman" w:hAnsi="Times New Roman" w:cs="Times New Roman"/>
                <w:bCs/>
                <w:color w:val="auto"/>
                <w:sz w:val="20"/>
                <w:szCs w:val="20"/>
                <w:highlight w:val="none"/>
              </w:rPr>
            </w:pPr>
          </w:p>
        </w:tc>
      </w:tr>
    </w:tbl>
    <w:p w14:paraId="2C4F3E34">
      <w:pPr>
        <w:keepNext/>
        <w:keepLines/>
        <w:spacing w:before="80" w:after="64"/>
        <w:ind w:firstLine="566"/>
        <w:jc w:val="center"/>
        <w:rPr>
          <w:rFonts w:hint="default" w:ascii="Times New Roman" w:hAnsi="Times New Roman" w:eastAsia="黑体" w:cs="Times New Roman"/>
          <w:bCs/>
          <w:color w:val="auto"/>
          <w:kern w:val="0"/>
          <w:sz w:val="28"/>
          <w:szCs w:val="28"/>
          <w:highlight w:val="none"/>
          <w:lang w:val="zh-CN" w:bidi="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679F533B">
      <w:pPr>
        <w:keepNext/>
        <w:keepLines/>
        <w:spacing w:before="80" w:after="64"/>
        <w:ind w:firstLine="566"/>
        <w:jc w:val="center"/>
        <w:rPr>
          <w:rFonts w:hint="default" w:ascii="Times New Roman" w:hAnsi="Times New Roman" w:eastAsia="黑体" w:cs="Times New Roman"/>
          <w:bCs/>
          <w:color w:val="auto"/>
          <w:kern w:val="0"/>
          <w:sz w:val="28"/>
          <w:szCs w:val="28"/>
          <w:highlight w:val="none"/>
          <w:lang w:val="zh-CN" w:bidi="zh-CN"/>
        </w:rPr>
      </w:pPr>
      <w:r>
        <w:rPr>
          <w:rFonts w:hint="default" w:ascii="Times New Roman" w:hAnsi="Times New Roman" w:eastAsia="黑体" w:cs="Times New Roman"/>
          <w:bCs/>
          <w:color w:val="auto"/>
          <w:kern w:val="0"/>
          <w:sz w:val="28"/>
          <w:szCs w:val="28"/>
          <w:highlight w:val="none"/>
          <w:lang w:val="zh-CN" w:bidi="zh-CN"/>
        </w:rPr>
        <w:t>无行贿犯罪行为承诺函（格式）</w:t>
      </w:r>
    </w:p>
    <w:p w14:paraId="58BFCCA0">
      <w:pPr>
        <w:spacing w:line="360" w:lineRule="auto"/>
        <w:ind w:firstLine="480" w:firstLineChars="200"/>
        <w:rPr>
          <w:rFonts w:hint="default" w:ascii="Times New Roman" w:hAnsi="Times New Roman" w:cs="Times New Roman"/>
          <w:color w:val="auto"/>
          <w:sz w:val="24"/>
          <w:szCs w:val="22"/>
          <w:highlight w:val="none"/>
        </w:rPr>
      </w:pPr>
    </w:p>
    <w:p w14:paraId="611C05F8">
      <w:pPr>
        <w:spacing w:line="360" w:lineRule="auto"/>
        <w:rPr>
          <w:rFonts w:hint="default" w:ascii="Times New Roman" w:hAnsi="Times New Roman" w:cs="Times New Roman"/>
          <w:color w:val="auto"/>
          <w:sz w:val="24"/>
          <w:szCs w:val="22"/>
          <w:highlight w:val="none"/>
        </w:rPr>
      </w:pPr>
      <w:bookmarkStart w:id="1692" w:name="_Toc14547"/>
      <w:bookmarkStart w:id="1693" w:name="_Toc24695"/>
      <w:r>
        <w:rPr>
          <w:rFonts w:hint="default" w:ascii="Times New Roman" w:hAnsi="Times New Roman" w:cs="Times New Roman"/>
          <w:color w:val="auto"/>
          <w:sz w:val="24"/>
          <w:szCs w:val="22"/>
          <w:highlight w:val="none"/>
        </w:rPr>
        <w:t>致：</w:t>
      </w:r>
      <w:r>
        <w:rPr>
          <w:rFonts w:hint="default" w:ascii="Times New Roman" w:hAnsi="Times New Roman" w:cs="Times New Roman"/>
          <w:color w:val="auto"/>
          <w:sz w:val="24"/>
          <w:szCs w:val="22"/>
          <w:highlight w:val="none"/>
          <w:u w:val="single"/>
        </w:rPr>
        <w:t xml:space="preserve">  （招标人全称）  </w:t>
      </w:r>
    </w:p>
    <w:p w14:paraId="2DA2F1BC">
      <w:pPr>
        <w:spacing w:line="360" w:lineRule="auto"/>
        <w:ind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我单位承诺：在近三年内（</w:t>
      </w:r>
      <w:r>
        <w:rPr>
          <w:rFonts w:hint="default" w:ascii="Times New Roman" w:hAnsi="Times New Roman" w:cs="Times New Roman"/>
          <w:color w:val="auto"/>
          <w:sz w:val="24"/>
          <w:szCs w:val="22"/>
          <w:highlight w:val="none"/>
          <w:u w:val="single"/>
        </w:rPr>
        <w:t xml:space="preserve">   </w:t>
      </w:r>
      <w:r>
        <w:rPr>
          <w:rFonts w:hint="default" w:ascii="Times New Roman" w:hAnsi="Times New Roman" w:cs="Times New Roman"/>
          <w:color w:val="auto"/>
          <w:sz w:val="24"/>
          <w:szCs w:val="22"/>
          <w:highlight w:val="none"/>
        </w:rPr>
        <w:t>年</w:t>
      </w:r>
      <w:r>
        <w:rPr>
          <w:rFonts w:hint="default" w:ascii="Times New Roman" w:hAnsi="Times New Roman" w:cs="Times New Roman"/>
          <w:color w:val="auto"/>
          <w:sz w:val="24"/>
          <w:szCs w:val="22"/>
          <w:highlight w:val="none"/>
          <w:u w:val="single"/>
        </w:rPr>
        <w:t xml:space="preserve">   </w:t>
      </w:r>
      <w:r>
        <w:rPr>
          <w:rFonts w:hint="default" w:ascii="Times New Roman" w:hAnsi="Times New Roman" w:cs="Times New Roman"/>
          <w:color w:val="auto"/>
          <w:sz w:val="24"/>
          <w:szCs w:val="22"/>
          <w:highlight w:val="none"/>
        </w:rPr>
        <w:t>月</w:t>
      </w:r>
      <w:r>
        <w:rPr>
          <w:rFonts w:hint="default" w:ascii="Times New Roman" w:hAnsi="Times New Roman" w:cs="Times New Roman"/>
          <w:color w:val="auto"/>
          <w:sz w:val="24"/>
          <w:szCs w:val="22"/>
          <w:highlight w:val="none"/>
          <w:u w:val="single"/>
        </w:rPr>
        <w:t xml:space="preserve">   </w:t>
      </w:r>
      <w:r>
        <w:rPr>
          <w:rFonts w:hint="default" w:ascii="Times New Roman" w:hAnsi="Times New Roman" w:cs="Times New Roman"/>
          <w:color w:val="auto"/>
          <w:sz w:val="24"/>
          <w:szCs w:val="22"/>
          <w:highlight w:val="none"/>
        </w:rPr>
        <w:t>日至投标文件递交截止日），</w:t>
      </w:r>
      <w:r>
        <w:rPr>
          <w:rFonts w:hint="default" w:ascii="Times New Roman" w:hAnsi="Times New Roman" w:cs="Times New Roman"/>
          <w:color w:val="auto"/>
          <w:sz w:val="24"/>
          <w:szCs w:val="22"/>
          <w:highlight w:val="none"/>
          <w:u w:val="single"/>
        </w:rPr>
        <w:t xml:space="preserve">  （投标人单位名称及统一社会信用代码）  </w:t>
      </w:r>
      <w:r>
        <w:rPr>
          <w:rFonts w:hint="default" w:ascii="Times New Roman" w:hAnsi="Times New Roman" w:cs="Times New Roman"/>
          <w:color w:val="auto"/>
          <w:sz w:val="24"/>
          <w:szCs w:val="22"/>
          <w:highlight w:val="none"/>
        </w:rPr>
        <w:t>及法定代表人</w:t>
      </w:r>
      <w:r>
        <w:rPr>
          <w:rFonts w:hint="default" w:ascii="Times New Roman" w:hAnsi="Times New Roman" w:cs="Times New Roman"/>
          <w:color w:val="auto"/>
          <w:sz w:val="24"/>
          <w:szCs w:val="22"/>
          <w:highlight w:val="none"/>
          <w:u w:val="single"/>
        </w:rPr>
        <w:t xml:space="preserve">  （法定代表人姓名及身份证号码）  </w:t>
      </w:r>
      <w:r>
        <w:rPr>
          <w:rFonts w:hint="default" w:ascii="Times New Roman" w:hAnsi="Times New Roman" w:cs="Times New Roman"/>
          <w:color w:val="auto"/>
          <w:sz w:val="24"/>
          <w:szCs w:val="22"/>
          <w:highlight w:val="none"/>
        </w:rPr>
        <w:t>、拟委任的项目</w:t>
      </w:r>
      <w:r>
        <w:rPr>
          <w:rFonts w:hint="default" w:ascii="Times New Roman" w:hAnsi="Times New Roman" w:cs="Times New Roman"/>
          <w:color w:val="auto"/>
          <w:sz w:val="24"/>
          <w:szCs w:val="22"/>
          <w:highlight w:val="none"/>
          <w:lang w:val="en-US" w:eastAsia="zh-CN"/>
        </w:rPr>
        <w:t>经理</w:t>
      </w:r>
      <w:r>
        <w:rPr>
          <w:rFonts w:hint="default" w:ascii="Times New Roman" w:hAnsi="Times New Roman" w:cs="Times New Roman"/>
          <w:color w:val="auto"/>
          <w:sz w:val="24"/>
          <w:szCs w:val="22"/>
          <w:highlight w:val="none"/>
          <w:u w:val="single"/>
        </w:rPr>
        <w:t xml:space="preserve">   （项目</w:t>
      </w:r>
      <w:r>
        <w:rPr>
          <w:rFonts w:hint="default" w:ascii="Times New Roman" w:hAnsi="Times New Roman" w:cs="Times New Roman"/>
          <w:color w:val="auto"/>
          <w:sz w:val="24"/>
          <w:szCs w:val="22"/>
          <w:highlight w:val="none"/>
          <w:u w:val="single"/>
          <w:lang w:val="en-US" w:eastAsia="zh-CN"/>
        </w:rPr>
        <w:t>经理</w:t>
      </w:r>
      <w:r>
        <w:rPr>
          <w:rFonts w:hint="default" w:ascii="Times New Roman" w:hAnsi="Times New Roman" w:cs="Times New Roman"/>
          <w:color w:val="auto"/>
          <w:sz w:val="24"/>
          <w:szCs w:val="22"/>
          <w:highlight w:val="none"/>
          <w:u w:val="single"/>
        </w:rPr>
        <w:t xml:space="preserve">姓名及身份证号码）   </w:t>
      </w:r>
      <w:r>
        <w:rPr>
          <w:rFonts w:hint="default" w:ascii="Times New Roman" w:hAnsi="Times New Roman" w:cs="Times New Roman"/>
          <w:color w:val="auto"/>
          <w:sz w:val="24"/>
          <w:szCs w:val="22"/>
          <w:highlight w:val="none"/>
        </w:rPr>
        <w:t>均无行贿犯罪行为。</w:t>
      </w:r>
    </w:p>
    <w:p w14:paraId="12064B9C">
      <w:pPr>
        <w:spacing w:line="360" w:lineRule="auto"/>
        <w:ind w:firstLine="480" w:firstLineChars="2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如经招标人或评标委员会核实我单位出具的该承诺存在弄虚作假，承诺不实的情形，</w:t>
      </w:r>
      <w:r>
        <w:rPr>
          <w:rFonts w:hint="eastAsia" w:cs="Times New Roman"/>
          <w:color w:val="auto"/>
          <w:sz w:val="24"/>
          <w:szCs w:val="22"/>
          <w:highlight w:val="none"/>
          <w:lang w:eastAsia="zh-CN"/>
        </w:rPr>
        <w:t>评标委员会</w:t>
      </w:r>
      <w:r>
        <w:rPr>
          <w:rFonts w:hint="default" w:ascii="Times New Roman" w:hAnsi="Times New Roman" w:cs="Times New Roman"/>
          <w:color w:val="auto"/>
          <w:sz w:val="24"/>
          <w:szCs w:val="22"/>
          <w:highlight w:val="none"/>
        </w:rPr>
        <w:t>有权否决我单位投标资格或招标人取消我单位中标资格，并由招标人上报上级行政主管部门，作为不良记录纳入信用信息管理系统。</w:t>
      </w:r>
    </w:p>
    <w:p w14:paraId="7D44C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特此承诺！</w:t>
      </w:r>
    </w:p>
    <w:p w14:paraId="6529201E">
      <w:pPr>
        <w:spacing w:line="360" w:lineRule="auto"/>
        <w:ind w:firstLine="480" w:firstLineChars="200"/>
        <w:rPr>
          <w:rFonts w:hint="default" w:ascii="Times New Roman" w:hAnsi="Times New Roman" w:cs="Times New Roman"/>
          <w:color w:val="auto"/>
          <w:sz w:val="24"/>
          <w:szCs w:val="22"/>
          <w:highlight w:val="none"/>
        </w:rPr>
      </w:pPr>
    </w:p>
    <w:p w14:paraId="1BA294F4">
      <w:pPr>
        <w:spacing w:line="360" w:lineRule="auto"/>
        <w:ind w:firstLine="480" w:firstLineChars="200"/>
        <w:rPr>
          <w:rFonts w:hint="default" w:ascii="Times New Roman" w:hAnsi="Times New Roman" w:cs="Times New Roman"/>
          <w:color w:val="auto"/>
          <w:sz w:val="24"/>
          <w:szCs w:val="22"/>
          <w:highlight w:val="none"/>
        </w:rPr>
      </w:pPr>
    </w:p>
    <w:p w14:paraId="20709830">
      <w:pPr>
        <w:spacing w:line="360" w:lineRule="auto"/>
        <w:ind w:left="2520" w:leftChars="1200" w:firstLine="1920" w:firstLineChars="800"/>
        <w:rPr>
          <w:rFonts w:hint="default" w:ascii="Times New Roman" w:hAnsi="Times New Roman" w:cs="Times New Roman"/>
          <w:color w:val="auto"/>
          <w:sz w:val="24"/>
          <w:szCs w:val="22"/>
          <w:highlight w:val="none"/>
        </w:rPr>
      </w:pPr>
    </w:p>
    <w:p w14:paraId="4E704B2C">
      <w:pPr>
        <w:wordWrap w:val="0"/>
        <w:topLinePunct/>
        <w:spacing w:line="4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2"/>
          <w:highlight w:val="none"/>
        </w:rPr>
        <w:t xml:space="preserve">                       </w:t>
      </w:r>
      <w:r>
        <w:rPr>
          <w:rFonts w:hint="default" w:ascii="Times New Roman" w:hAnsi="Times New Roman" w:cs="Times New Roman"/>
          <w:color w:val="auto"/>
          <w:sz w:val="24"/>
          <w:szCs w:val="24"/>
          <w:highlight w:val="none"/>
        </w:rPr>
        <w:t xml:space="preserve">   投标人：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（全称）</w:t>
      </w:r>
      <w:r>
        <w:rPr>
          <w:rFonts w:hint="default" w:ascii="Times New Roman" w:hAnsi="Times New Roman" w:cs="Times New Roman"/>
          <w:color w:val="auto"/>
          <w:sz w:val="24"/>
          <w:szCs w:val="24"/>
          <w:highlight w:val="none"/>
          <w:u w:val="none"/>
        </w:rPr>
        <w:t>（</w:t>
      </w:r>
      <w:r>
        <w:rPr>
          <w:rFonts w:hint="default" w:ascii="Times New Roman" w:hAnsi="Times New Roman" w:cs="Times New Roman"/>
          <w:color w:val="auto"/>
          <w:sz w:val="24"/>
          <w:szCs w:val="24"/>
          <w:highlight w:val="none"/>
          <w:u w:val="none"/>
          <w:lang w:val="en-US" w:eastAsia="zh-CN"/>
        </w:rPr>
        <w:t>盖单位电子印章</w:t>
      </w:r>
      <w:r>
        <w:rPr>
          <w:rFonts w:hint="default" w:ascii="Times New Roman" w:hAnsi="Times New Roman" w:cs="Times New Roman"/>
          <w:color w:val="auto"/>
          <w:sz w:val="24"/>
          <w:szCs w:val="24"/>
          <w:highlight w:val="none"/>
          <w:u w:val="none"/>
        </w:rPr>
        <w:t>）</w:t>
      </w:r>
    </w:p>
    <w:p w14:paraId="6CDCF735">
      <w:pPr>
        <w:spacing w:line="360" w:lineRule="auto"/>
        <w:ind w:left="2520" w:leftChars="1200" w:firstLine="1920" w:firstLineChars="800"/>
        <w:rPr>
          <w:rFonts w:hint="default" w:ascii="Times New Roman" w:hAnsi="Times New Roman" w:cs="Times New Roman"/>
          <w:color w:val="auto"/>
          <w:sz w:val="24"/>
          <w:szCs w:val="24"/>
          <w:highlight w:val="none"/>
        </w:rPr>
      </w:pPr>
    </w:p>
    <w:p w14:paraId="50560106">
      <w:pPr>
        <w:spacing w:line="360" w:lineRule="auto"/>
        <w:ind w:left="2520" w:leftChars="1200" w:firstLine="1920" w:firstLineChars="80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日</w:t>
      </w:r>
    </w:p>
    <w:p w14:paraId="523CCC54">
      <w:pPr>
        <w:pStyle w:val="17"/>
        <w:rPr>
          <w:rFonts w:hint="default" w:ascii="Times New Roman" w:hAnsi="Times New Roman" w:cs="Times New Roman"/>
          <w:color w:val="auto"/>
          <w:highlight w:val="none"/>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4A4D6E82">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b w:val="0"/>
          <w:color w:val="auto"/>
          <w:sz w:val="24"/>
          <w:szCs w:val="24"/>
          <w:highlight w:val="none"/>
        </w:rPr>
        <w:t>（六）拟委任的项目经理和项目总工资历表</w:t>
      </w:r>
      <w:bookmarkEnd w:id="1684"/>
      <w:bookmarkEnd w:id="1692"/>
      <w:bookmarkEnd w:id="1693"/>
    </w:p>
    <w:p w14:paraId="60E868FE">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67D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79AB62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1506" w:type="dxa"/>
            <w:gridSpan w:val="3"/>
            <w:noWrap w:val="0"/>
            <w:vAlign w:val="center"/>
          </w:tcPr>
          <w:p w14:paraId="6CBB7EE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060" w:type="dxa"/>
            <w:noWrap w:val="0"/>
            <w:vAlign w:val="center"/>
          </w:tcPr>
          <w:p w14:paraId="2FA4B78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年龄</w:t>
            </w:r>
          </w:p>
        </w:tc>
        <w:tc>
          <w:tcPr>
            <w:tcW w:w="1381" w:type="dxa"/>
            <w:noWrap w:val="0"/>
            <w:vAlign w:val="top"/>
          </w:tcPr>
          <w:p w14:paraId="071E6D0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top"/>
          </w:tcPr>
          <w:p w14:paraId="0CFD5C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专业</w:t>
            </w:r>
          </w:p>
        </w:tc>
        <w:tc>
          <w:tcPr>
            <w:tcW w:w="1669" w:type="dxa"/>
            <w:gridSpan w:val="2"/>
            <w:noWrap w:val="0"/>
            <w:vAlign w:val="top"/>
          </w:tcPr>
          <w:p w14:paraId="487670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0A0C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4846238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506" w:type="dxa"/>
            <w:gridSpan w:val="3"/>
            <w:noWrap w:val="0"/>
            <w:vAlign w:val="center"/>
          </w:tcPr>
          <w:p w14:paraId="3D8B291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060" w:type="dxa"/>
            <w:noWrap w:val="0"/>
            <w:vAlign w:val="center"/>
          </w:tcPr>
          <w:p w14:paraId="63D77B5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学历</w:t>
            </w:r>
          </w:p>
        </w:tc>
        <w:tc>
          <w:tcPr>
            <w:tcW w:w="1381" w:type="dxa"/>
            <w:noWrap w:val="0"/>
            <w:vAlign w:val="top"/>
          </w:tcPr>
          <w:p w14:paraId="575C06D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top"/>
          </w:tcPr>
          <w:p w14:paraId="790AE83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w:t>
            </w:r>
          </w:p>
          <w:p w14:paraId="57CF308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工程任职</w:t>
            </w:r>
          </w:p>
        </w:tc>
        <w:tc>
          <w:tcPr>
            <w:tcW w:w="1669" w:type="dxa"/>
            <w:gridSpan w:val="2"/>
            <w:noWrap w:val="0"/>
            <w:vAlign w:val="top"/>
          </w:tcPr>
          <w:p w14:paraId="41F85DC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D81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287948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工作年限</w:t>
            </w:r>
          </w:p>
        </w:tc>
        <w:tc>
          <w:tcPr>
            <w:tcW w:w="3947" w:type="dxa"/>
            <w:gridSpan w:val="5"/>
            <w:noWrap w:val="0"/>
            <w:vAlign w:val="center"/>
          </w:tcPr>
          <w:p w14:paraId="37D7BD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881" w:type="dxa"/>
            <w:gridSpan w:val="2"/>
            <w:noWrap w:val="0"/>
            <w:vAlign w:val="center"/>
          </w:tcPr>
          <w:p w14:paraId="2155FB7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类似施工经验年限</w:t>
            </w:r>
          </w:p>
        </w:tc>
        <w:tc>
          <w:tcPr>
            <w:tcW w:w="1669" w:type="dxa"/>
            <w:gridSpan w:val="2"/>
            <w:noWrap w:val="0"/>
            <w:vAlign w:val="top"/>
          </w:tcPr>
          <w:p w14:paraId="24045D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0619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3BEC6AA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毕业学校</w:t>
            </w:r>
          </w:p>
        </w:tc>
        <w:tc>
          <w:tcPr>
            <w:tcW w:w="7497" w:type="dxa"/>
            <w:gridSpan w:val="9"/>
            <w:noWrap w:val="0"/>
            <w:vAlign w:val="center"/>
          </w:tcPr>
          <w:p w14:paraId="7FAB1D5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______年___月毕业于___________________学校___________专业，学制______年</w:t>
            </w:r>
          </w:p>
        </w:tc>
      </w:tr>
      <w:tr w14:paraId="5CA9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87AECE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经历</w:t>
            </w:r>
          </w:p>
        </w:tc>
      </w:tr>
      <w:tr w14:paraId="00A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F8905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时间</w:t>
            </w:r>
          </w:p>
        </w:tc>
        <w:tc>
          <w:tcPr>
            <w:tcW w:w="4233" w:type="dxa"/>
            <w:gridSpan w:val="5"/>
            <w:noWrap w:val="0"/>
            <w:vAlign w:val="center"/>
          </w:tcPr>
          <w:p w14:paraId="3CC98B6C">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参加过的类似工程项目名称</w:t>
            </w:r>
          </w:p>
        </w:tc>
        <w:tc>
          <w:tcPr>
            <w:tcW w:w="1930" w:type="dxa"/>
            <w:gridSpan w:val="2"/>
            <w:noWrap w:val="0"/>
            <w:vAlign w:val="center"/>
          </w:tcPr>
          <w:p w14:paraId="05F6C5B3">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担任职务</w:t>
            </w:r>
          </w:p>
        </w:tc>
        <w:tc>
          <w:tcPr>
            <w:tcW w:w="1283" w:type="dxa"/>
            <w:noWrap w:val="0"/>
            <w:vAlign w:val="center"/>
          </w:tcPr>
          <w:p w14:paraId="4205364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发包人及联系电话</w:t>
            </w:r>
          </w:p>
        </w:tc>
      </w:tr>
      <w:tr w14:paraId="1C25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13FD51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4495287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16CABF4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5B55847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35A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CD35E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0A6D4CB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0D5A0E2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29B0771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A49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3B72D3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0A096D9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FC5ADD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351030C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9F3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4F4FD1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7E298E3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702E9C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44201A7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4A50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DB9B1C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597FF0B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1C7DB2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35A61D8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72B8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9332CB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29751E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333C7B7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5F7CA87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9FB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C95C7E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30C4519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336C2A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61654DE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66CB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5FA31F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504485F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6AA1C3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725E91B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35A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C5742C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5760B51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3E9B241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012A6C7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186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485CCBD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获奖情况</w:t>
            </w:r>
          </w:p>
        </w:tc>
        <w:tc>
          <w:tcPr>
            <w:tcW w:w="6094" w:type="dxa"/>
            <w:gridSpan w:val="7"/>
            <w:noWrap w:val="0"/>
            <w:vAlign w:val="top"/>
          </w:tcPr>
          <w:p w14:paraId="7C471A9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6235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0FCED4E">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说明在岗情况</w:t>
            </w:r>
          </w:p>
        </w:tc>
        <w:tc>
          <w:tcPr>
            <w:tcW w:w="6094" w:type="dxa"/>
            <w:gridSpan w:val="7"/>
            <w:noWrap w:val="0"/>
            <w:vAlign w:val="top"/>
          </w:tcPr>
          <w:p w14:paraId="6766A91D">
            <w:pPr>
              <w:pStyle w:val="16"/>
              <w:pageBreakBefore w:val="0"/>
              <w:kinsoku/>
              <w:wordWrap w:val="0"/>
              <w:topLinePunct/>
              <w:bidi w:val="0"/>
              <w:spacing w:line="360" w:lineRule="atLeas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□目前未在其他项目上任职，现从事工作为：。</w:t>
            </w:r>
          </w:p>
          <w:p w14:paraId="209ABDAB">
            <w:pPr>
              <w:pageBreakBefore w:val="0"/>
              <w:widowControl/>
              <w:kinsoku/>
              <w:wordWrap w:val="0"/>
              <w:autoSpaceDE w:val="0"/>
              <w:autoSpaceDN w:val="0"/>
              <w:bidi w:val="0"/>
              <w:spacing w:line="400" w:lineRule="atLeast"/>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□目前虽</w:t>
            </w:r>
            <w:r>
              <w:rPr>
                <w:rFonts w:hint="default" w:ascii="Times New Roman" w:hAnsi="Times New Roman" w:cs="Times New Roman"/>
                <w:color w:val="auto"/>
                <w:highlight w:val="none"/>
              </w:rPr>
              <w:t>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任职，但本项目中标后能够从该项目撤离，目前任职项目：，担任职位：。</w:t>
            </w:r>
          </w:p>
        </w:tc>
      </w:tr>
      <w:tr w14:paraId="498A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42AC9DD3">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6094" w:type="dxa"/>
            <w:gridSpan w:val="7"/>
            <w:noWrap w:val="0"/>
            <w:vAlign w:val="top"/>
          </w:tcPr>
          <w:p w14:paraId="4E1B0C04">
            <w:pPr>
              <w:pageBreakBefore w:val="0"/>
              <w:widowControl/>
              <w:kinsoku/>
              <w:wordWrap w:val="0"/>
              <w:autoSpaceDE w:val="0"/>
              <w:autoSpaceDN w:val="0"/>
              <w:bidi w:val="0"/>
              <w:spacing w:line="400" w:lineRule="atLeast"/>
              <w:textAlignment w:val="bottom"/>
              <w:rPr>
                <w:rFonts w:hint="default" w:ascii="Times New Roman" w:hAnsi="Times New Roman" w:cs="Times New Roman"/>
                <w:color w:val="auto"/>
                <w:szCs w:val="21"/>
                <w:highlight w:val="none"/>
              </w:rPr>
            </w:pPr>
          </w:p>
        </w:tc>
      </w:tr>
    </w:tbl>
    <w:p w14:paraId="1FD139E2">
      <w:pPr>
        <w:pStyle w:val="18"/>
        <w:pageBreakBefore w:val="0"/>
        <w:kinsoku/>
        <w:wordWrap w:val="0"/>
        <w:bidi w:val="0"/>
        <w:spacing w:after="0" w:line="400" w:lineRule="atLeast"/>
        <w:ind w:left="699" w:leftChars="0" w:hanging="699" w:hangingChars="333"/>
        <w:rPr>
          <w:rFonts w:hint="default" w:ascii="Times New Roman" w:hAnsi="Times New Roman" w:cs="Times New Roman"/>
          <w:color w:val="auto"/>
          <w:highlight w:val="none"/>
        </w:rPr>
      </w:pPr>
      <w:r>
        <w:rPr>
          <w:rFonts w:hint="default" w:ascii="Times New Roman" w:hAnsi="Times New Roman" w:cs="Times New Roman"/>
          <w:color w:val="auto"/>
          <w:highlight w:val="none"/>
        </w:rPr>
        <w:t>注：1.本表应填写项目经理和项目总工相关情况。</w:t>
      </w:r>
    </w:p>
    <w:p w14:paraId="2000A595">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2.投标人应根据招标文件第二章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第3.5.5项的要求在本表后附相关证明材料。</w:t>
      </w:r>
    </w:p>
    <w:p w14:paraId="1644EFAD">
      <w:pPr>
        <w:pageBreakBefore w:val="0"/>
        <w:kinsoku/>
        <w:wordWrap/>
        <w:bidi w:val="0"/>
        <w:spacing w:line="240" w:lineRule="auto"/>
        <w:ind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50D64B8C">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主要人员撤离承诺函（如有）</w:t>
      </w:r>
    </w:p>
    <w:p w14:paraId="54E79FA6">
      <w:pPr>
        <w:pageBreakBefore w:val="0"/>
        <w:kinsoku/>
        <w:wordWrap w:val="0"/>
        <w:overflowPunct/>
        <w:bidi w:val="0"/>
        <w:ind w:firstLine="232"/>
        <w:jc w:val="center"/>
        <w:rPr>
          <w:rFonts w:hint="default" w:ascii="Times New Roman" w:hAnsi="Times New Roman" w:cs="Times New Roman"/>
          <w:color w:val="auto"/>
          <w:sz w:val="28"/>
          <w:szCs w:val="36"/>
          <w:highlight w:val="none"/>
        </w:rPr>
      </w:pPr>
    </w:p>
    <w:p w14:paraId="69CA1E6E">
      <w:pPr>
        <w:pageBreakBefore w:val="0"/>
        <w:kinsoku/>
        <w:wordWrap w:val="0"/>
        <w:overflowPunct/>
        <w:bidi w:val="0"/>
        <w:spacing w:line="40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14:paraId="2125A582">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我方参加了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标段（以下简称</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本项目</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）投标，我方在此承诺：</w:t>
      </w:r>
    </w:p>
    <w:p w14:paraId="6D356344">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鉴于我方拟投入的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项目经理</w:t>
      </w:r>
      <w:r>
        <w:rPr>
          <w:rFonts w:hint="default" w:ascii="Times New Roman" w:hAnsi="Times New Roman" w:cs="Times New Roman"/>
          <w:color w:val="auto"/>
          <w:sz w:val="24"/>
          <w:highlight w:val="none"/>
        </w:rPr>
        <w:t>和/或</w:t>
      </w:r>
      <w:r>
        <w:rPr>
          <w:rFonts w:hint="eastAsia" w:cs="Times New Roman"/>
          <w:color w:val="auto"/>
          <w:sz w:val="24"/>
          <w:highlight w:val="none"/>
          <w:lang w:val="en-US" w:eastAsia="zh-CN"/>
        </w:rPr>
        <w:t>项目总工</w:t>
      </w:r>
      <w:r>
        <w:rPr>
          <w:rFonts w:hint="default" w:ascii="Times New Roman" w:hAnsi="Times New Roman" w:cs="Times New Roman"/>
          <w:color w:val="auto"/>
          <w:sz w:val="24"/>
          <w:highlight w:val="none"/>
        </w:rPr>
        <w:t>姓名）目前仍在</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（项目名称）上任职，若我方中标，立即将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项目经理</w:t>
      </w:r>
      <w:r>
        <w:rPr>
          <w:rFonts w:hint="default" w:ascii="Times New Roman" w:hAnsi="Times New Roman" w:cs="Times New Roman"/>
          <w:color w:val="auto"/>
          <w:sz w:val="24"/>
          <w:highlight w:val="none"/>
        </w:rPr>
        <w:t>和/或</w:t>
      </w:r>
      <w:r>
        <w:rPr>
          <w:rFonts w:hint="eastAsia" w:cs="Times New Roman"/>
          <w:color w:val="auto"/>
          <w:sz w:val="24"/>
          <w:highlight w:val="none"/>
          <w:lang w:val="en-US" w:eastAsia="zh-CN"/>
        </w:rPr>
        <w:t>项目总工</w:t>
      </w:r>
      <w:r>
        <w:rPr>
          <w:rFonts w:hint="default" w:ascii="Times New Roman" w:hAnsi="Times New Roman" w:cs="Times New Roman"/>
          <w:color w:val="auto"/>
          <w:sz w:val="24"/>
          <w:highlight w:val="none"/>
        </w:rPr>
        <w:t>）从上述项目撤离，投入本项目。</w:t>
      </w:r>
    </w:p>
    <w:p w14:paraId="129F5BF6">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如我方违背了上述承诺，招标人有权取消我方的中标资格，并由招标人将我方的违约行为上报省级交通运输主管部门，作为不良记录纳入</w:t>
      </w:r>
      <w:r>
        <w:rPr>
          <w:rFonts w:hint="eastAsia" w:cs="Times New Roman"/>
          <w:color w:val="auto"/>
          <w:sz w:val="24"/>
          <w:highlight w:val="none"/>
          <w:lang w:eastAsia="zh-CN"/>
        </w:rPr>
        <w:t>全国公路建设市场监督管理系统</w:t>
      </w:r>
      <w:r>
        <w:rPr>
          <w:rFonts w:hint="default" w:ascii="Times New Roman" w:hAnsi="Times New Roman" w:cs="Times New Roman"/>
          <w:color w:val="auto"/>
          <w:sz w:val="24"/>
          <w:highlight w:val="none"/>
        </w:rPr>
        <w:t>。</w:t>
      </w:r>
    </w:p>
    <w:p w14:paraId="2421A7D3">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p>
    <w:p w14:paraId="2D2406C9">
      <w:pPr>
        <w:pageBreakBefore w:val="0"/>
        <w:kinsoku/>
        <w:wordWrap w:val="0"/>
        <w:overflowPunct/>
        <w:bidi w:val="0"/>
        <w:spacing w:line="400" w:lineRule="exact"/>
        <w:ind w:firstLine="480" w:firstLineChars="200"/>
        <w:rPr>
          <w:rFonts w:hint="default" w:ascii="Times New Roman" w:hAnsi="Times New Roman" w:cs="Times New Roman"/>
          <w:color w:val="auto"/>
          <w:sz w:val="24"/>
          <w:highlight w:val="none"/>
        </w:rPr>
      </w:pPr>
    </w:p>
    <w:p w14:paraId="175985D9">
      <w:pPr>
        <w:pageBreakBefore w:val="0"/>
        <w:kinsoku/>
        <w:wordWrap w:val="0"/>
        <w:overflowPunct/>
        <w:bidi w:val="0"/>
        <w:spacing w:line="400" w:lineRule="exact"/>
        <w:ind w:firstLine="2880" w:firstLineChars="1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（全称）</w:t>
      </w:r>
      <w:r>
        <w:rPr>
          <w:rFonts w:hint="default" w:ascii="Times New Roman" w:hAnsi="Times New Roman" w:cs="Times New Roman"/>
          <w:color w:val="auto"/>
          <w:sz w:val="24"/>
          <w:szCs w:val="24"/>
          <w:highlight w:val="none"/>
          <w:u w:val="none"/>
        </w:rPr>
        <w:t>（</w:t>
      </w:r>
      <w:r>
        <w:rPr>
          <w:rFonts w:hint="default" w:ascii="Times New Roman" w:hAnsi="Times New Roman" w:cs="Times New Roman"/>
          <w:color w:val="auto"/>
          <w:sz w:val="24"/>
          <w:szCs w:val="24"/>
          <w:highlight w:val="none"/>
          <w:u w:val="none"/>
          <w:lang w:val="en-US" w:eastAsia="zh-CN"/>
        </w:rPr>
        <w:t>盖单位电子印章</w:t>
      </w:r>
      <w:r>
        <w:rPr>
          <w:rFonts w:hint="default" w:ascii="Times New Roman" w:hAnsi="Times New Roman" w:cs="Times New Roman"/>
          <w:color w:val="auto"/>
          <w:sz w:val="24"/>
          <w:szCs w:val="24"/>
          <w:highlight w:val="none"/>
          <w:u w:val="none"/>
        </w:rPr>
        <w:t>）</w:t>
      </w:r>
    </w:p>
    <w:p w14:paraId="3457235D">
      <w:pPr>
        <w:pageBreakBefore w:val="0"/>
        <w:kinsoku/>
        <w:wordWrap w:val="0"/>
        <w:overflowPunct/>
        <w:bidi w:val="0"/>
        <w:spacing w:line="400" w:lineRule="exact"/>
        <w:ind w:firstLine="720" w:firstLineChars="3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32E73286">
      <w:pPr>
        <w:pageBreakBefore w:val="0"/>
        <w:kinsoku/>
        <w:wordWrap w:val="0"/>
        <w:overflowPunct/>
        <w:bidi w:val="0"/>
        <w:spacing w:line="400" w:lineRule="exact"/>
        <w:ind w:firstLine="3120" w:firstLineChars="1300"/>
        <w:rPr>
          <w:rFonts w:hint="default" w:ascii="Times New Roman" w:hAnsi="Times New Roman" w:cs="Times New Roman"/>
          <w:color w:val="auto"/>
          <w:sz w:val="24"/>
          <w:highlight w:val="none"/>
        </w:rPr>
      </w:pPr>
    </w:p>
    <w:p w14:paraId="6DD60662">
      <w:pPr>
        <w:pageBreakBefore w:val="0"/>
        <w:kinsoku/>
        <w:wordWrap w:val="0"/>
        <w:overflowPunct/>
        <w:bidi w:val="0"/>
        <w:spacing w:line="400" w:lineRule="exact"/>
        <w:ind w:firstLine="3840" w:firstLineChars="16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E9F3BEA">
      <w:pPr>
        <w:pageBreakBefore w:val="0"/>
        <w:kinsoku/>
        <w:wordWrap w:val="0"/>
        <w:overflowPunct/>
        <w:bidi w:val="0"/>
        <w:spacing w:line="400" w:lineRule="exact"/>
        <w:ind w:firstLine="3840" w:firstLineChars="1600"/>
        <w:rPr>
          <w:rFonts w:hint="default" w:ascii="Times New Roman" w:hAnsi="Times New Roman" w:cs="Times New Roman"/>
          <w:color w:val="auto"/>
          <w:sz w:val="24"/>
          <w:highlight w:val="none"/>
        </w:rPr>
      </w:pPr>
    </w:p>
    <w:p w14:paraId="5A6B602F">
      <w:pPr>
        <w:pageBreakBefore w:val="0"/>
        <w:kinsoku/>
        <w:wordWrap w:val="0"/>
        <w:overflowPunct/>
        <w:bidi w:val="0"/>
        <w:spacing w:line="3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注：1、如项目经理和/或项目总工目前仍在其他项目上任职，投标人应提供项目经理和/或项目总工能够从该项目撤离的承诺函。</w:t>
      </w:r>
    </w:p>
    <w:p w14:paraId="51F5C5BF">
      <w:pPr>
        <w:pageBreakBefore w:val="0"/>
        <w:kinsoku/>
        <w:wordWrap w:val="0"/>
        <w:overflowPunct/>
        <w:bidi w:val="0"/>
        <w:spacing w:line="360" w:lineRule="exact"/>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2、投标人所提供的承诺函格式和内容须与招标文件提供的格式和内容一致，不得更改招标文件提供的承诺函格式和内容，否则其投标将被否决。</w:t>
      </w:r>
    </w:p>
    <w:p w14:paraId="0755A5D9">
      <w:pPr>
        <w:pageBreakBefore w:val="0"/>
        <w:kinsoku/>
        <w:wordWrap w:val="0"/>
        <w:bidi w:val="0"/>
        <w:spacing w:line="400" w:lineRule="atLeast"/>
        <w:ind w:firstLine="420" w:firstLineChars="200"/>
        <w:rPr>
          <w:rFonts w:hint="default" w:ascii="Times New Roman" w:hAnsi="Times New Roman" w:cs="Times New Roman"/>
          <w:color w:val="auto"/>
          <w:szCs w:val="21"/>
          <w:highlight w:val="none"/>
        </w:rPr>
      </w:pPr>
    </w:p>
    <w:p w14:paraId="2B3A01E5">
      <w:pPr>
        <w:pageBreakBefore w:val="0"/>
        <w:kinsoku/>
        <w:wordWrap w:val="0"/>
        <w:bidi w:val="0"/>
        <w:spacing w:before="0" w:after="0" w:line="380" w:lineRule="atLeast"/>
        <w:jc w:val="center"/>
        <w:outlineLvl w:val="9"/>
        <w:rPr>
          <w:rFonts w:hint="default" w:ascii="Times New Roman" w:hAnsi="Times New Roman" w:eastAsia="黑体" w:cs="Times New Roman"/>
          <w:b w:val="0"/>
          <w:color w:val="auto"/>
          <w:sz w:val="24"/>
          <w:szCs w:val="24"/>
          <w:highlight w:val="none"/>
        </w:rPr>
      </w:pPr>
      <w:r>
        <w:rPr>
          <w:rFonts w:hint="default" w:ascii="Times New Roman" w:hAnsi="Times New Roman" w:eastAsia="黑体" w:cs="Times New Roman"/>
          <w:color w:val="auto"/>
          <w:sz w:val="24"/>
          <w:highlight w:val="none"/>
        </w:rPr>
        <w:br w:type="page"/>
      </w:r>
      <w:bookmarkStart w:id="1694" w:name="_Toc30763"/>
      <w:bookmarkStart w:id="1695" w:name="_Toc15670"/>
      <w:bookmarkStart w:id="1696" w:name="_Toc234833286"/>
      <w:r>
        <w:rPr>
          <w:rFonts w:hint="default" w:ascii="Times New Roman" w:hAnsi="Times New Roman" w:eastAsia="黑体" w:cs="Times New Roman"/>
          <w:b w:val="0"/>
          <w:color w:val="auto"/>
          <w:sz w:val="24"/>
          <w:szCs w:val="24"/>
          <w:highlight w:val="none"/>
        </w:rPr>
        <w:t>（</w:t>
      </w:r>
      <w:r>
        <w:rPr>
          <w:rFonts w:hint="default" w:ascii="Times New Roman" w:hAnsi="Times New Roman" w:eastAsia="黑体" w:cs="Times New Roman"/>
          <w:b w:val="0"/>
          <w:color w:val="auto"/>
          <w:sz w:val="24"/>
          <w:szCs w:val="24"/>
          <w:highlight w:val="none"/>
          <w:lang w:eastAsia="zh-CN"/>
        </w:rPr>
        <w:t>七</w:t>
      </w:r>
      <w:r>
        <w:rPr>
          <w:rFonts w:hint="default" w:ascii="Times New Roman" w:hAnsi="Times New Roman" w:eastAsia="黑体" w:cs="Times New Roman"/>
          <w:b w:val="0"/>
          <w:color w:val="auto"/>
          <w:sz w:val="24"/>
          <w:szCs w:val="24"/>
          <w:highlight w:val="none"/>
        </w:rPr>
        <w:t>）拟委任的其他管理和技术人员汇总表</w:t>
      </w:r>
      <w:r>
        <w:rPr>
          <w:rFonts w:hint="default" w:ascii="Times New Roman" w:hAnsi="Times New Roman" w:eastAsia="黑体" w:cs="Times New Roman"/>
          <w:b w:val="0"/>
          <w:color w:val="auto"/>
          <w:sz w:val="24"/>
          <w:szCs w:val="24"/>
          <w:highlight w:val="none"/>
          <w:vertAlign w:val="superscript"/>
        </w:rPr>
        <w:footnoteReference w:id="52"/>
      </w:r>
      <w:bookmarkEnd w:id="1694"/>
      <w:bookmarkEnd w:id="1695"/>
      <w:bookmarkEnd w:id="1696"/>
    </w:p>
    <w:p w14:paraId="55ED1300">
      <w:pPr>
        <w:pageBreakBefore w:val="0"/>
        <w:kinsoku/>
        <w:wordWrap w:val="0"/>
        <w:bidi w:val="0"/>
        <w:spacing w:line="400" w:lineRule="atLeast"/>
        <w:rPr>
          <w:rFonts w:hint="default" w:ascii="Times New Roman" w:hAnsi="Times New Roman" w:cs="Times New Roman"/>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0CB8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46A0EF4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姓名</w:t>
            </w:r>
          </w:p>
        </w:tc>
        <w:tc>
          <w:tcPr>
            <w:tcW w:w="926" w:type="dxa"/>
            <w:noWrap w:val="0"/>
            <w:vAlign w:val="center"/>
          </w:tcPr>
          <w:p w14:paraId="45ACA244">
            <w:pPr>
              <w:pStyle w:val="76"/>
              <w:pageBreakBefore w:val="0"/>
              <w:kinsoku/>
              <w:wordWrap w:val="0"/>
              <w:autoSpaceDE/>
              <w:autoSpaceDN/>
              <w:bidi w:val="0"/>
              <w:adjustRightInd/>
              <w:snapToGrid/>
              <w:spacing w:line="400" w:lineRule="atLeast"/>
              <w:textAlignment w:val="auto"/>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年龄</w:t>
            </w:r>
          </w:p>
        </w:tc>
        <w:tc>
          <w:tcPr>
            <w:tcW w:w="2682" w:type="dxa"/>
            <w:noWrap w:val="0"/>
            <w:vAlign w:val="center"/>
          </w:tcPr>
          <w:p w14:paraId="76973EE8">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拟在本标段工程任职</w:t>
            </w:r>
          </w:p>
        </w:tc>
        <w:tc>
          <w:tcPr>
            <w:tcW w:w="1101" w:type="dxa"/>
            <w:noWrap w:val="0"/>
            <w:vAlign w:val="center"/>
          </w:tcPr>
          <w:p w14:paraId="6185B6A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技术职称</w:t>
            </w:r>
          </w:p>
        </w:tc>
        <w:tc>
          <w:tcPr>
            <w:tcW w:w="1307" w:type="dxa"/>
            <w:noWrap w:val="0"/>
            <w:vAlign w:val="center"/>
          </w:tcPr>
          <w:p w14:paraId="616E1FB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工作年限</w:t>
            </w:r>
          </w:p>
        </w:tc>
        <w:tc>
          <w:tcPr>
            <w:tcW w:w="1942" w:type="dxa"/>
            <w:noWrap w:val="0"/>
            <w:vAlign w:val="center"/>
          </w:tcPr>
          <w:p w14:paraId="4B3FF7AE">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类似施工经验年限</w:t>
            </w:r>
          </w:p>
        </w:tc>
      </w:tr>
      <w:tr w14:paraId="146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79A52437">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736E2C3A">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3CF781CC">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19D62083">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18A77816">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F2081AA">
            <w:pPr>
              <w:pageBreakBefore w:val="0"/>
              <w:kinsoku/>
              <w:wordWrap w:val="0"/>
              <w:bidi w:val="0"/>
              <w:spacing w:line="400" w:lineRule="atLeast"/>
              <w:jc w:val="center"/>
              <w:rPr>
                <w:rFonts w:hint="default" w:ascii="Times New Roman" w:hAnsi="Times New Roman" w:cs="Times New Roman"/>
                <w:color w:val="auto"/>
                <w:highlight w:val="none"/>
              </w:rPr>
            </w:pPr>
          </w:p>
        </w:tc>
      </w:tr>
      <w:tr w14:paraId="129D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31AFCCAF">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4921EAA1">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3F1104E0">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5E849BE5">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4FCE431A">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3011F10">
            <w:pPr>
              <w:pageBreakBefore w:val="0"/>
              <w:kinsoku/>
              <w:wordWrap w:val="0"/>
              <w:bidi w:val="0"/>
              <w:spacing w:line="400" w:lineRule="atLeast"/>
              <w:jc w:val="center"/>
              <w:rPr>
                <w:rFonts w:hint="default" w:ascii="Times New Roman" w:hAnsi="Times New Roman" w:cs="Times New Roman"/>
                <w:color w:val="auto"/>
                <w:highlight w:val="none"/>
              </w:rPr>
            </w:pPr>
          </w:p>
        </w:tc>
      </w:tr>
      <w:tr w14:paraId="0481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7F558560">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24E587B8">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2BEA3A98">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0F51B9A7">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63DB19D6">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0C1FF758">
            <w:pPr>
              <w:pageBreakBefore w:val="0"/>
              <w:kinsoku/>
              <w:wordWrap w:val="0"/>
              <w:bidi w:val="0"/>
              <w:spacing w:line="400" w:lineRule="atLeast"/>
              <w:jc w:val="center"/>
              <w:rPr>
                <w:rFonts w:hint="default" w:ascii="Times New Roman" w:hAnsi="Times New Roman" w:cs="Times New Roman"/>
                <w:color w:val="auto"/>
                <w:highlight w:val="none"/>
              </w:rPr>
            </w:pPr>
          </w:p>
        </w:tc>
      </w:tr>
      <w:tr w14:paraId="02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425706F">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CD362DF">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28EF59CE">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30CAF5D0">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001171B4">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74EC3426">
            <w:pPr>
              <w:pageBreakBefore w:val="0"/>
              <w:kinsoku/>
              <w:wordWrap w:val="0"/>
              <w:bidi w:val="0"/>
              <w:spacing w:line="400" w:lineRule="atLeast"/>
              <w:jc w:val="center"/>
              <w:rPr>
                <w:rFonts w:hint="default" w:ascii="Times New Roman" w:hAnsi="Times New Roman" w:cs="Times New Roman"/>
                <w:color w:val="auto"/>
                <w:highlight w:val="none"/>
              </w:rPr>
            </w:pPr>
          </w:p>
        </w:tc>
      </w:tr>
      <w:tr w14:paraId="0A74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23DC30EA">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68FF0DC">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15602679">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4DFC1CB6">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78C00A6C">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8D4AAE0">
            <w:pPr>
              <w:pageBreakBefore w:val="0"/>
              <w:kinsoku/>
              <w:wordWrap w:val="0"/>
              <w:bidi w:val="0"/>
              <w:spacing w:line="400" w:lineRule="atLeast"/>
              <w:jc w:val="center"/>
              <w:rPr>
                <w:rFonts w:hint="default" w:ascii="Times New Roman" w:hAnsi="Times New Roman" w:cs="Times New Roman"/>
                <w:color w:val="auto"/>
                <w:highlight w:val="none"/>
              </w:rPr>
            </w:pPr>
          </w:p>
        </w:tc>
      </w:tr>
      <w:tr w14:paraId="4A35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7F531213">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5B7A1AE9">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23D0A318">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615674C7">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677D0E70">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E413DD5">
            <w:pPr>
              <w:pageBreakBefore w:val="0"/>
              <w:kinsoku/>
              <w:wordWrap w:val="0"/>
              <w:bidi w:val="0"/>
              <w:spacing w:line="400" w:lineRule="atLeast"/>
              <w:jc w:val="center"/>
              <w:rPr>
                <w:rFonts w:hint="default" w:ascii="Times New Roman" w:hAnsi="Times New Roman" w:cs="Times New Roman"/>
                <w:color w:val="auto"/>
                <w:highlight w:val="none"/>
              </w:rPr>
            </w:pPr>
          </w:p>
        </w:tc>
      </w:tr>
      <w:tr w14:paraId="393B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1B6676E3">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20DAA939">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428BFBAA">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1E803EEC">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11CDB528">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D85C34E">
            <w:pPr>
              <w:pageBreakBefore w:val="0"/>
              <w:kinsoku/>
              <w:wordWrap w:val="0"/>
              <w:bidi w:val="0"/>
              <w:spacing w:line="400" w:lineRule="atLeast"/>
              <w:jc w:val="center"/>
              <w:rPr>
                <w:rFonts w:hint="default" w:ascii="Times New Roman" w:hAnsi="Times New Roman" w:cs="Times New Roman"/>
                <w:color w:val="auto"/>
                <w:highlight w:val="none"/>
              </w:rPr>
            </w:pPr>
          </w:p>
        </w:tc>
      </w:tr>
      <w:tr w14:paraId="7325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7D32E44A">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2A355724">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0EC01A65">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4AE05605">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4995E385">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5D8DB342">
            <w:pPr>
              <w:pageBreakBefore w:val="0"/>
              <w:kinsoku/>
              <w:wordWrap w:val="0"/>
              <w:bidi w:val="0"/>
              <w:spacing w:line="400" w:lineRule="atLeast"/>
              <w:jc w:val="center"/>
              <w:rPr>
                <w:rFonts w:hint="default" w:ascii="Times New Roman" w:hAnsi="Times New Roman" w:cs="Times New Roman"/>
                <w:color w:val="auto"/>
                <w:highlight w:val="none"/>
              </w:rPr>
            </w:pPr>
          </w:p>
        </w:tc>
      </w:tr>
      <w:tr w14:paraId="510C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6669087B">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34E52F2E">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7F07176F">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51458469">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731228B1">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2663DC1B">
            <w:pPr>
              <w:pageBreakBefore w:val="0"/>
              <w:kinsoku/>
              <w:wordWrap w:val="0"/>
              <w:bidi w:val="0"/>
              <w:spacing w:line="400" w:lineRule="atLeast"/>
              <w:jc w:val="center"/>
              <w:rPr>
                <w:rFonts w:hint="default" w:ascii="Times New Roman" w:hAnsi="Times New Roman" w:cs="Times New Roman"/>
                <w:color w:val="auto"/>
                <w:highlight w:val="none"/>
              </w:rPr>
            </w:pPr>
          </w:p>
        </w:tc>
      </w:tr>
      <w:tr w14:paraId="2096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3E0B63C">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50F8D285">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5DDCC473">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1D36A35E">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37A6E5F1">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8E7EFD2">
            <w:pPr>
              <w:pageBreakBefore w:val="0"/>
              <w:kinsoku/>
              <w:wordWrap w:val="0"/>
              <w:bidi w:val="0"/>
              <w:spacing w:line="400" w:lineRule="atLeast"/>
              <w:jc w:val="center"/>
              <w:rPr>
                <w:rFonts w:hint="default" w:ascii="Times New Roman" w:hAnsi="Times New Roman" w:cs="Times New Roman"/>
                <w:color w:val="auto"/>
                <w:highlight w:val="none"/>
              </w:rPr>
            </w:pPr>
          </w:p>
        </w:tc>
      </w:tr>
      <w:tr w14:paraId="5DC3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BBF965">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A44B0EC">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71F6EE2E">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59B5D722">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00F21184">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0A382F47">
            <w:pPr>
              <w:pageBreakBefore w:val="0"/>
              <w:kinsoku/>
              <w:wordWrap w:val="0"/>
              <w:bidi w:val="0"/>
              <w:spacing w:line="400" w:lineRule="atLeast"/>
              <w:jc w:val="center"/>
              <w:rPr>
                <w:rFonts w:hint="default" w:ascii="Times New Roman" w:hAnsi="Times New Roman" w:cs="Times New Roman"/>
                <w:color w:val="auto"/>
                <w:highlight w:val="none"/>
              </w:rPr>
            </w:pPr>
          </w:p>
        </w:tc>
      </w:tr>
      <w:tr w14:paraId="33F8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F1E522C">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3AB29D95">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73844086">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61C52C64">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3885077A">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1261A027">
            <w:pPr>
              <w:pageBreakBefore w:val="0"/>
              <w:kinsoku/>
              <w:wordWrap w:val="0"/>
              <w:bidi w:val="0"/>
              <w:spacing w:line="400" w:lineRule="atLeast"/>
              <w:jc w:val="center"/>
              <w:rPr>
                <w:rFonts w:hint="default" w:ascii="Times New Roman" w:hAnsi="Times New Roman" w:cs="Times New Roman"/>
                <w:color w:val="auto"/>
                <w:highlight w:val="none"/>
              </w:rPr>
            </w:pPr>
          </w:p>
        </w:tc>
      </w:tr>
      <w:tr w14:paraId="68E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1649A">
            <w:pPr>
              <w:pageBreakBefore w:val="0"/>
              <w:kinsoku/>
              <w:wordWrap w:val="0"/>
              <w:bidi w:val="0"/>
              <w:spacing w:line="400" w:lineRule="atLeast"/>
              <w:jc w:val="center"/>
              <w:rPr>
                <w:rFonts w:hint="default" w:ascii="Times New Roman" w:hAnsi="Times New Roman" w:cs="Times New Roman"/>
                <w:color w:val="auto"/>
                <w:highlight w:val="none"/>
              </w:rPr>
            </w:pPr>
          </w:p>
        </w:tc>
        <w:tc>
          <w:tcPr>
            <w:tcW w:w="926" w:type="dxa"/>
            <w:noWrap w:val="0"/>
            <w:vAlign w:val="center"/>
          </w:tcPr>
          <w:p w14:paraId="66B32BBD">
            <w:pPr>
              <w:pageBreakBefore w:val="0"/>
              <w:kinsoku/>
              <w:wordWrap w:val="0"/>
              <w:bidi w:val="0"/>
              <w:spacing w:line="400" w:lineRule="atLeast"/>
              <w:jc w:val="center"/>
              <w:rPr>
                <w:rFonts w:hint="default" w:ascii="Times New Roman" w:hAnsi="Times New Roman" w:cs="Times New Roman"/>
                <w:color w:val="auto"/>
                <w:highlight w:val="none"/>
              </w:rPr>
            </w:pPr>
          </w:p>
        </w:tc>
        <w:tc>
          <w:tcPr>
            <w:tcW w:w="2682" w:type="dxa"/>
            <w:noWrap w:val="0"/>
            <w:vAlign w:val="center"/>
          </w:tcPr>
          <w:p w14:paraId="5591F8C5">
            <w:pPr>
              <w:pageBreakBefore w:val="0"/>
              <w:kinsoku/>
              <w:wordWrap w:val="0"/>
              <w:bidi w:val="0"/>
              <w:spacing w:line="400" w:lineRule="atLeast"/>
              <w:jc w:val="center"/>
              <w:rPr>
                <w:rFonts w:hint="default" w:ascii="Times New Roman" w:hAnsi="Times New Roman" w:cs="Times New Roman"/>
                <w:color w:val="auto"/>
                <w:highlight w:val="none"/>
              </w:rPr>
            </w:pPr>
          </w:p>
        </w:tc>
        <w:tc>
          <w:tcPr>
            <w:tcW w:w="1101" w:type="dxa"/>
            <w:noWrap w:val="0"/>
            <w:vAlign w:val="center"/>
          </w:tcPr>
          <w:p w14:paraId="4D02F701">
            <w:pPr>
              <w:pageBreakBefore w:val="0"/>
              <w:kinsoku/>
              <w:wordWrap w:val="0"/>
              <w:bidi w:val="0"/>
              <w:spacing w:line="400" w:lineRule="atLeast"/>
              <w:jc w:val="center"/>
              <w:rPr>
                <w:rFonts w:hint="default" w:ascii="Times New Roman" w:hAnsi="Times New Roman" w:cs="Times New Roman"/>
                <w:color w:val="auto"/>
                <w:highlight w:val="none"/>
              </w:rPr>
            </w:pPr>
          </w:p>
        </w:tc>
        <w:tc>
          <w:tcPr>
            <w:tcW w:w="1307" w:type="dxa"/>
            <w:noWrap w:val="0"/>
            <w:vAlign w:val="center"/>
          </w:tcPr>
          <w:p w14:paraId="5F5E5FBB">
            <w:pPr>
              <w:pageBreakBefore w:val="0"/>
              <w:kinsoku/>
              <w:wordWrap w:val="0"/>
              <w:bidi w:val="0"/>
              <w:spacing w:line="400" w:lineRule="atLeast"/>
              <w:jc w:val="center"/>
              <w:rPr>
                <w:rFonts w:hint="default" w:ascii="Times New Roman" w:hAnsi="Times New Roman" w:cs="Times New Roman"/>
                <w:color w:val="auto"/>
                <w:highlight w:val="none"/>
              </w:rPr>
            </w:pPr>
          </w:p>
        </w:tc>
        <w:tc>
          <w:tcPr>
            <w:tcW w:w="1942" w:type="dxa"/>
            <w:noWrap w:val="0"/>
            <w:vAlign w:val="center"/>
          </w:tcPr>
          <w:p w14:paraId="407EB6CC">
            <w:pPr>
              <w:pageBreakBefore w:val="0"/>
              <w:kinsoku/>
              <w:wordWrap w:val="0"/>
              <w:bidi w:val="0"/>
              <w:spacing w:line="400" w:lineRule="atLeast"/>
              <w:jc w:val="center"/>
              <w:rPr>
                <w:rFonts w:hint="default" w:ascii="Times New Roman" w:hAnsi="Times New Roman" w:cs="Times New Roman"/>
                <w:color w:val="auto"/>
                <w:highlight w:val="none"/>
              </w:rPr>
            </w:pPr>
          </w:p>
        </w:tc>
      </w:tr>
    </w:tbl>
    <w:p w14:paraId="751BBFB8">
      <w:pPr>
        <w:pStyle w:val="18"/>
        <w:pageBreakBefore w:val="0"/>
        <w:kinsoku/>
        <w:wordWrap w:val="0"/>
        <w:bidi w:val="0"/>
        <w:spacing w:after="0" w:line="400" w:lineRule="atLeast"/>
        <w:ind w:left="735" w:leftChars="0" w:hanging="735" w:hangingChars="350"/>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注：本表填报的人员应满足招标文件第二章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前附表附录6的要求。</w:t>
      </w:r>
    </w:p>
    <w:p w14:paraId="4F814862">
      <w:pPr>
        <w:pageBreakBefore w:val="0"/>
        <w:kinsoku/>
        <w:wordWrap w:val="0"/>
        <w:bidi w:val="0"/>
        <w:spacing w:line="400" w:lineRule="atLeast"/>
        <w:jc w:val="center"/>
        <w:rPr>
          <w:rFonts w:hint="default" w:ascii="Times New Roman" w:hAnsi="Times New Roman" w:eastAsia="黑体" w:cs="Times New Roman"/>
          <w:color w:val="auto"/>
          <w:sz w:val="28"/>
          <w:highlight w:val="none"/>
        </w:rPr>
      </w:pPr>
      <w:r>
        <w:rPr>
          <w:rFonts w:hint="default" w:ascii="Times New Roman" w:hAnsi="Times New Roman" w:eastAsia="黑体" w:cs="Times New Roman"/>
          <w:color w:val="auto"/>
          <w:sz w:val="28"/>
          <w:highlight w:val="none"/>
        </w:rPr>
        <w:br w:type="page"/>
      </w:r>
    </w:p>
    <w:p w14:paraId="79EC4D9C">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bookmarkStart w:id="1697" w:name="_Toc31833"/>
      <w:bookmarkStart w:id="1698" w:name="_Toc4744"/>
      <w:bookmarkStart w:id="1699" w:name="_Toc234833287"/>
      <w:r>
        <w:rPr>
          <w:rFonts w:hint="default" w:ascii="Times New Roman" w:hAnsi="Times New Roman" w:eastAsia="黑体" w:cs="Times New Roman"/>
          <w:color w:val="auto"/>
          <w:sz w:val="24"/>
          <w:highlight w:val="none"/>
        </w:rPr>
        <w:t>（</w:t>
      </w:r>
      <w:r>
        <w:rPr>
          <w:rFonts w:hint="default" w:ascii="Times New Roman" w:hAnsi="Times New Roman" w:eastAsia="黑体" w:cs="Times New Roman"/>
          <w:color w:val="auto"/>
          <w:sz w:val="24"/>
          <w:highlight w:val="none"/>
          <w:lang w:eastAsia="zh-CN"/>
        </w:rPr>
        <w:t>八</w:t>
      </w:r>
      <w:r>
        <w:rPr>
          <w:rFonts w:hint="default" w:ascii="Times New Roman" w:hAnsi="Times New Roman" w:eastAsia="黑体" w:cs="Times New Roman"/>
          <w:color w:val="auto"/>
          <w:sz w:val="24"/>
          <w:highlight w:val="none"/>
        </w:rPr>
        <w:t>）拟委任的其他管理和技术人员资历表</w:t>
      </w:r>
      <w:r>
        <w:rPr>
          <w:rFonts w:hint="default" w:ascii="Times New Roman" w:hAnsi="Times New Roman" w:eastAsia="黑体" w:cs="Times New Roman"/>
          <w:color w:val="auto"/>
          <w:sz w:val="24"/>
          <w:highlight w:val="none"/>
        </w:rPr>
        <w:footnoteReference w:id="53"/>
      </w:r>
      <w:bookmarkEnd w:id="1697"/>
      <w:bookmarkEnd w:id="1698"/>
      <w:bookmarkEnd w:id="1699"/>
    </w:p>
    <w:p w14:paraId="6ACA3E38">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color w:val="auto"/>
          <w:highlight w:val="none"/>
        </w:rPr>
      </w:pPr>
    </w:p>
    <w:tbl>
      <w:tblPr>
        <w:tblStyle w:val="40"/>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C0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DAAC9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D1DAE9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296A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5A854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21F5AF0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0F50C0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1658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82221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3D627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B91D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5B8F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336583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拟在本标段</w:t>
            </w:r>
          </w:p>
          <w:p w14:paraId="4FA9555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C68AB5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50B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shd w:val="clear" w:color="auto" w:fill="auto"/>
            <w:noWrap w:val="0"/>
            <w:vAlign w:val="center"/>
          </w:tcPr>
          <w:p w14:paraId="67033C1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工作年限</w:t>
            </w:r>
          </w:p>
        </w:tc>
        <w:tc>
          <w:tcPr>
            <w:tcW w:w="3947" w:type="dxa"/>
            <w:gridSpan w:val="5"/>
            <w:shd w:val="clear" w:color="auto" w:fill="auto"/>
            <w:noWrap w:val="0"/>
            <w:vAlign w:val="center"/>
          </w:tcPr>
          <w:p w14:paraId="72E1DBA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81" w:type="dxa"/>
            <w:gridSpan w:val="2"/>
            <w:shd w:val="clear" w:color="auto" w:fill="auto"/>
            <w:noWrap w:val="0"/>
            <w:vAlign w:val="center"/>
          </w:tcPr>
          <w:p w14:paraId="5C06C81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类似施工经验年限</w:t>
            </w:r>
          </w:p>
        </w:tc>
        <w:tc>
          <w:tcPr>
            <w:tcW w:w="1669" w:type="dxa"/>
            <w:gridSpan w:val="2"/>
            <w:shd w:val="clear" w:color="auto" w:fill="auto"/>
            <w:noWrap w:val="0"/>
            <w:vAlign w:val="top"/>
          </w:tcPr>
          <w:p w14:paraId="3C5BC67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6C60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shd w:val="clear" w:color="auto" w:fill="auto"/>
            <w:noWrap w:val="0"/>
            <w:vAlign w:val="center"/>
          </w:tcPr>
          <w:p w14:paraId="62C74D4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毕业学校</w:t>
            </w:r>
          </w:p>
        </w:tc>
        <w:tc>
          <w:tcPr>
            <w:tcW w:w="7497" w:type="dxa"/>
            <w:gridSpan w:val="9"/>
            <w:shd w:val="clear" w:color="auto" w:fill="auto"/>
            <w:noWrap w:val="0"/>
            <w:vAlign w:val="center"/>
          </w:tcPr>
          <w:p w14:paraId="77F9C979">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______年___月毕业于___________________学校___________专业，学制______年</w:t>
            </w:r>
          </w:p>
        </w:tc>
      </w:tr>
      <w:tr w14:paraId="62D3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0955222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经         历</w:t>
            </w:r>
          </w:p>
        </w:tc>
      </w:tr>
      <w:tr w14:paraId="1DCD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EE63B9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时  间</w:t>
            </w:r>
          </w:p>
        </w:tc>
        <w:tc>
          <w:tcPr>
            <w:tcW w:w="4233" w:type="dxa"/>
            <w:gridSpan w:val="5"/>
            <w:noWrap w:val="0"/>
            <w:vAlign w:val="center"/>
          </w:tcPr>
          <w:p w14:paraId="1B819DB8">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参加过的类似工程项目名称</w:t>
            </w:r>
          </w:p>
        </w:tc>
        <w:tc>
          <w:tcPr>
            <w:tcW w:w="1930" w:type="dxa"/>
            <w:gridSpan w:val="2"/>
            <w:noWrap w:val="0"/>
            <w:vAlign w:val="center"/>
          </w:tcPr>
          <w:p w14:paraId="4916F445">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color w:val="auto"/>
                <w:spacing w:val="0"/>
                <w:kern w:val="2"/>
                <w:szCs w:val="21"/>
                <w:highlight w:val="none"/>
              </w:rPr>
            </w:pPr>
            <w:r>
              <w:rPr>
                <w:rFonts w:hint="default" w:ascii="Times New Roman" w:hAnsi="Times New Roman" w:cs="Times New Roman"/>
                <w:color w:val="auto"/>
                <w:spacing w:val="0"/>
                <w:kern w:val="2"/>
                <w:szCs w:val="21"/>
                <w:highlight w:val="none"/>
              </w:rPr>
              <w:t>担任职务</w:t>
            </w:r>
          </w:p>
        </w:tc>
        <w:tc>
          <w:tcPr>
            <w:tcW w:w="1283" w:type="dxa"/>
            <w:noWrap w:val="0"/>
            <w:vAlign w:val="center"/>
          </w:tcPr>
          <w:p w14:paraId="2CE0DEC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发包人及联系电话</w:t>
            </w:r>
          </w:p>
        </w:tc>
      </w:tr>
      <w:tr w14:paraId="170B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FCE9F6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429D918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0BE5B38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2063D32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13F0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98D17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75AD3EE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07312AF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7FDC526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8E8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E3ABBB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28C149F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11D07EC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00E0E00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74F8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608A924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06A8BC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7FC456E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604493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0234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0D8F10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6F1BA48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5A31DCB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2F8A039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159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672C37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276696D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148932C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73DFBA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7F7A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D36F7C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4233" w:type="dxa"/>
            <w:gridSpan w:val="5"/>
            <w:noWrap w:val="0"/>
            <w:vAlign w:val="center"/>
          </w:tcPr>
          <w:p w14:paraId="16DE4B7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color w:val="auto"/>
                <w:szCs w:val="21"/>
                <w:highlight w:val="none"/>
              </w:rPr>
            </w:pPr>
          </w:p>
        </w:tc>
        <w:tc>
          <w:tcPr>
            <w:tcW w:w="1930" w:type="dxa"/>
            <w:gridSpan w:val="2"/>
            <w:noWrap w:val="0"/>
            <w:vAlign w:val="top"/>
          </w:tcPr>
          <w:p w14:paraId="4837868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c>
          <w:tcPr>
            <w:tcW w:w="1283" w:type="dxa"/>
            <w:noWrap w:val="0"/>
            <w:vAlign w:val="top"/>
          </w:tcPr>
          <w:p w14:paraId="5EF977D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color w:val="auto"/>
                <w:szCs w:val="21"/>
                <w:highlight w:val="none"/>
              </w:rPr>
            </w:pPr>
          </w:p>
        </w:tc>
      </w:tr>
      <w:tr w14:paraId="25D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shd w:val="clear" w:color="auto" w:fill="auto"/>
            <w:noWrap w:val="0"/>
            <w:vAlign w:val="center"/>
          </w:tcPr>
          <w:p w14:paraId="5C417B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获奖情况</w:t>
            </w:r>
          </w:p>
        </w:tc>
        <w:tc>
          <w:tcPr>
            <w:tcW w:w="6094" w:type="dxa"/>
            <w:gridSpan w:val="7"/>
            <w:shd w:val="clear" w:color="auto" w:fill="auto"/>
            <w:noWrap w:val="0"/>
            <w:vAlign w:val="top"/>
          </w:tcPr>
          <w:p w14:paraId="0D61C2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r w14:paraId="2F2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shd w:val="clear" w:color="auto" w:fill="auto"/>
            <w:noWrap w:val="0"/>
            <w:vAlign w:val="center"/>
          </w:tcPr>
          <w:p w14:paraId="16CC97CC">
            <w:pPr>
              <w:pageBreakBefore w:val="0"/>
              <w:widowControl/>
              <w:kinsoku/>
              <w:wordWrap w:val="0"/>
              <w:autoSpaceDE w:val="0"/>
              <w:autoSpaceDN w:val="0"/>
              <w:bidi w:val="0"/>
              <w:spacing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说明在岗情况</w:t>
            </w:r>
          </w:p>
        </w:tc>
        <w:tc>
          <w:tcPr>
            <w:tcW w:w="6094" w:type="dxa"/>
            <w:gridSpan w:val="7"/>
            <w:shd w:val="clear" w:color="auto" w:fill="auto"/>
            <w:noWrap w:val="0"/>
            <w:vAlign w:val="top"/>
          </w:tcPr>
          <w:p w14:paraId="0119C973">
            <w:pPr>
              <w:pStyle w:val="16"/>
              <w:pageBreakBefore w:val="0"/>
              <w:kinsoku/>
              <w:wordWrap w:val="0"/>
              <w:topLinePunct/>
              <w:bidi w:val="0"/>
              <w:spacing w:line="360" w:lineRule="atLeas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□目前未在其他项目上任职，现从事工作为：</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w:t>
            </w:r>
          </w:p>
          <w:p w14:paraId="7829D601">
            <w:pPr>
              <w:pageBreakBefore w:val="0"/>
              <w:widowControl/>
              <w:kinsoku/>
              <w:wordWrap w:val="0"/>
              <w:autoSpaceDE w:val="0"/>
              <w:autoSpaceDN w:val="0"/>
              <w:bidi w:val="0"/>
              <w:spacing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□目前虽</w:t>
            </w:r>
            <w:r>
              <w:rPr>
                <w:rFonts w:hint="default" w:ascii="Times New Roman" w:hAnsi="Times New Roman" w:cs="Times New Roman"/>
                <w:color w:val="auto"/>
                <w:highlight w:val="none"/>
              </w:rPr>
              <w:t>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任职，但本项目中标后能够从该项目撤离，目前任职项目：</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，担任职位：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highlight w:val="none"/>
              </w:rPr>
              <w:t>。</w:t>
            </w:r>
          </w:p>
        </w:tc>
      </w:tr>
      <w:tr w14:paraId="3156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shd w:val="clear" w:color="auto" w:fill="auto"/>
            <w:noWrap w:val="0"/>
            <w:vAlign w:val="center"/>
          </w:tcPr>
          <w:p w14:paraId="63CE66EB">
            <w:pPr>
              <w:pageBreakBefore w:val="0"/>
              <w:widowControl/>
              <w:kinsoku/>
              <w:wordWrap w:val="0"/>
              <w:autoSpaceDE w:val="0"/>
              <w:autoSpaceDN w:val="0"/>
              <w:bidi w:val="0"/>
              <w:spacing w:line="400" w:lineRule="atLeast"/>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备     注</w:t>
            </w:r>
          </w:p>
        </w:tc>
        <w:tc>
          <w:tcPr>
            <w:tcW w:w="6094" w:type="dxa"/>
            <w:gridSpan w:val="7"/>
            <w:shd w:val="clear" w:color="auto" w:fill="auto"/>
            <w:noWrap w:val="0"/>
            <w:vAlign w:val="top"/>
          </w:tcPr>
          <w:p w14:paraId="1B53C811">
            <w:pPr>
              <w:pageBreakBefore w:val="0"/>
              <w:widowControl/>
              <w:kinsoku/>
              <w:wordWrap w:val="0"/>
              <w:autoSpaceDE w:val="0"/>
              <w:autoSpaceDN w:val="0"/>
              <w:bidi w:val="0"/>
              <w:spacing w:line="400" w:lineRule="atLeast"/>
              <w:textAlignment w:val="bottom"/>
              <w:rPr>
                <w:rFonts w:hint="default" w:ascii="Times New Roman" w:hAnsi="Times New Roman" w:eastAsia="宋体" w:cs="Times New Roman"/>
                <w:color w:val="auto"/>
                <w:kern w:val="2"/>
                <w:sz w:val="21"/>
                <w:szCs w:val="21"/>
                <w:highlight w:val="none"/>
                <w:lang w:val="en-US" w:eastAsia="zh-CN" w:bidi="ar-SA"/>
              </w:rPr>
            </w:pPr>
          </w:p>
        </w:tc>
      </w:tr>
    </w:tbl>
    <w:p w14:paraId="1AEFE075">
      <w:pPr>
        <w:pStyle w:val="18"/>
        <w:pageBreakBefore w:val="0"/>
        <w:kinsoku/>
        <w:wordWrap w:val="0"/>
        <w:bidi w:val="0"/>
        <w:spacing w:after="0" w:line="400" w:lineRule="atLeast"/>
        <w:ind w:left="588" w:leftChars="0" w:right="-61" w:rightChars="-29" w:hanging="588" w:hangingChars="28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注：1.本表人员应与表（七）中所列人员相一致。</w:t>
      </w:r>
    </w:p>
    <w:p w14:paraId="3FBE663A">
      <w:pPr>
        <w:pStyle w:val="18"/>
        <w:pageBreakBefore w:val="0"/>
        <w:kinsoku/>
        <w:wordWrap w:val="0"/>
        <w:bidi w:val="0"/>
        <w:spacing w:after="0" w:line="400" w:lineRule="atLeast"/>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w:t>
      </w:r>
      <w:r>
        <w:rPr>
          <w:rFonts w:hint="default" w:ascii="Times New Roman" w:hAnsi="Times New Roman" w:cs="Times New Roman"/>
          <w:color w:val="auto"/>
          <w:highlight w:val="none"/>
        </w:rPr>
        <w:t>投标人应根据招标文件第二章</w:t>
      </w:r>
      <w:r>
        <w:rPr>
          <w:rFonts w:hint="eastAsia" w:ascii="宋体" w:hAnsi="宋体" w:eastAsia="宋体" w:cs="宋体"/>
          <w:color w:val="auto"/>
          <w:highlight w:val="none"/>
        </w:rPr>
        <w:t>“</w:t>
      </w:r>
      <w:r>
        <w:rPr>
          <w:rFonts w:hint="default" w:ascii="Times New Roman" w:hAnsi="Times New Roman" w:cs="Times New Roman"/>
          <w:color w:val="auto"/>
          <w:highlight w:val="none"/>
        </w:rPr>
        <w:t>投标人须知</w:t>
      </w:r>
      <w:r>
        <w:rPr>
          <w:rFonts w:hint="eastAsia" w:ascii="宋体" w:hAnsi="宋体" w:eastAsia="宋体" w:cs="宋体"/>
          <w:color w:val="auto"/>
          <w:highlight w:val="none"/>
        </w:rPr>
        <w:t>”</w:t>
      </w:r>
      <w:r>
        <w:rPr>
          <w:rFonts w:hint="default" w:ascii="Times New Roman" w:hAnsi="Times New Roman" w:cs="Times New Roman"/>
          <w:color w:val="auto"/>
          <w:highlight w:val="none"/>
        </w:rPr>
        <w:t>第3.5.6项的要求在本表后附相关证明材料。</w:t>
      </w:r>
    </w:p>
    <w:p w14:paraId="4BBE8E6B">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br w:type="page"/>
      </w:r>
      <w:bookmarkStart w:id="1700" w:name="_Toc21686"/>
      <w:bookmarkStart w:id="1701" w:name="_Toc234833288"/>
      <w:bookmarkStart w:id="1702" w:name="_Toc26111"/>
      <w:r>
        <w:rPr>
          <w:rFonts w:hint="default" w:ascii="Times New Roman" w:hAnsi="Times New Roman" w:eastAsia="黑体" w:cs="Times New Roman"/>
          <w:color w:val="auto"/>
          <w:sz w:val="24"/>
          <w:highlight w:val="none"/>
        </w:rPr>
        <w:t>（</w:t>
      </w:r>
      <w:r>
        <w:rPr>
          <w:rFonts w:hint="default" w:ascii="Times New Roman" w:hAnsi="Times New Roman" w:eastAsia="黑体" w:cs="Times New Roman"/>
          <w:color w:val="auto"/>
          <w:sz w:val="24"/>
          <w:highlight w:val="none"/>
          <w:lang w:eastAsia="zh-CN"/>
        </w:rPr>
        <w:t>九</w:t>
      </w:r>
      <w:r>
        <w:rPr>
          <w:rFonts w:hint="default" w:ascii="Times New Roman" w:hAnsi="Times New Roman" w:eastAsia="黑体" w:cs="Times New Roman"/>
          <w:color w:val="auto"/>
          <w:sz w:val="24"/>
          <w:highlight w:val="none"/>
        </w:rPr>
        <w:t>）拟投入本标段的主要施工机械表</w:t>
      </w:r>
      <w:r>
        <w:rPr>
          <w:rFonts w:hint="default" w:ascii="Times New Roman" w:hAnsi="Times New Roman" w:eastAsia="黑体" w:cs="Times New Roman"/>
          <w:color w:val="auto"/>
          <w:sz w:val="24"/>
          <w:highlight w:val="none"/>
          <w:vertAlign w:val="superscript"/>
        </w:rPr>
        <w:footnoteReference w:id="54"/>
      </w:r>
      <w:bookmarkEnd w:id="1700"/>
      <w:bookmarkEnd w:id="1701"/>
      <w:bookmarkEnd w:id="1702"/>
    </w:p>
    <w:p w14:paraId="04F41334">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color w:val="auto"/>
          <w:sz w:val="23"/>
          <w:szCs w:val="23"/>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5D52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6B42E29D">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085" w:type="dxa"/>
            <w:vMerge w:val="restart"/>
            <w:noWrap w:val="0"/>
            <w:vAlign w:val="center"/>
          </w:tcPr>
          <w:p w14:paraId="5B8CBE8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设备名称</w:t>
            </w:r>
          </w:p>
        </w:tc>
        <w:tc>
          <w:tcPr>
            <w:tcW w:w="758" w:type="dxa"/>
            <w:vMerge w:val="restart"/>
            <w:noWrap w:val="0"/>
            <w:vAlign w:val="center"/>
          </w:tcPr>
          <w:p w14:paraId="3C4C8BD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w:t>
            </w:r>
          </w:p>
          <w:p w14:paraId="72F994D6">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w:t>
            </w:r>
          </w:p>
        </w:tc>
        <w:tc>
          <w:tcPr>
            <w:tcW w:w="670" w:type="dxa"/>
            <w:vMerge w:val="restart"/>
            <w:noWrap w:val="0"/>
            <w:vAlign w:val="center"/>
          </w:tcPr>
          <w:p w14:paraId="320D362B">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w:t>
            </w:r>
          </w:p>
          <w:p w14:paraId="78D34584">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w:t>
            </w:r>
          </w:p>
        </w:tc>
        <w:tc>
          <w:tcPr>
            <w:tcW w:w="659" w:type="dxa"/>
            <w:vMerge w:val="restart"/>
            <w:noWrap w:val="0"/>
            <w:vAlign w:val="center"/>
          </w:tcPr>
          <w:p w14:paraId="014394E5">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w:t>
            </w:r>
          </w:p>
          <w:p w14:paraId="5A9545DF">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年份</w:t>
            </w:r>
          </w:p>
        </w:tc>
        <w:tc>
          <w:tcPr>
            <w:tcW w:w="941" w:type="dxa"/>
            <w:vMerge w:val="restart"/>
            <w:noWrap w:val="0"/>
            <w:vAlign w:val="center"/>
          </w:tcPr>
          <w:p w14:paraId="5DAFD08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额定功率（kW）</w:t>
            </w:r>
          </w:p>
        </w:tc>
        <w:tc>
          <w:tcPr>
            <w:tcW w:w="646" w:type="dxa"/>
            <w:vMerge w:val="restart"/>
            <w:noWrap w:val="0"/>
            <w:vAlign w:val="center"/>
          </w:tcPr>
          <w:p w14:paraId="42F24041">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生产</w:t>
            </w:r>
          </w:p>
          <w:p w14:paraId="213E1EEA">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能力</w:t>
            </w:r>
          </w:p>
        </w:tc>
        <w:tc>
          <w:tcPr>
            <w:tcW w:w="2109" w:type="dxa"/>
            <w:gridSpan w:val="4"/>
            <w:noWrap w:val="0"/>
            <w:vAlign w:val="center"/>
          </w:tcPr>
          <w:p w14:paraId="2235936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数量（台）</w:t>
            </w:r>
          </w:p>
        </w:tc>
        <w:tc>
          <w:tcPr>
            <w:tcW w:w="948" w:type="dxa"/>
            <w:vMerge w:val="restart"/>
            <w:noWrap w:val="0"/>
            <w:vAlign w:val="center"/>
          </w:tcPr>
          <w:p w14:paraId="657A97A2">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预计进场时间</w:t>
            </w:r>
          </w:p>
        </w:tc>
      </w:tr>
      <w:tr w14:paraId="792E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5E5175BD">
            <w:pPr>
              <w:pageBreakBefore w:val="0"/>
              <w:kinsoku/>
              <w:wordWrap w:val="0"/>
              <w:bidi w:val="0"/>
              <w:spacing w:line="400" w:lineRule="atLeast"/>
              <w:rPr>
                <w:rFonts w:hint="default" w:ascii="Times New Roman" w:hAnsi="Times New Roman" w:cs="Times New Roman"/>
                <w:color w:val="auto"/>
                <w:szCs w:val="21"/>
                <w:highlight w:val="none"/>
              </w:rPr>
            </w:pPr>
          </w:p>
        </w:tc>
        <w:tc>
          <w:tcPr>
            <w:tcW w:w="1085" w:type="dxa"/>
            <w:vMerge w:val="continue"/>
            <w:noWrap w:val="0"/>
            <w:vAlign w:val="center"/>
          </w:tcPr>
          <w:p w14:paraId="7742B5D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vMerge w:val="continue"/>
            <w:noWrap w:val="0"/>
            <w:vAlign w:val="center"/>
          </w:tcPr>
          <w:p w14:paraId="00EBAA3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vMerge w:val="continue"/>
            <w:noWrap w:val="0"/>
            <w:vAlign w:val="center"/>
          </w:tcPr>
          <w:p w14:paraId="2ABD688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vMerge w:val="continue"/>
            <w:noWrap w:val="0"/>
            <w:vAlign w:val="center"/>
          </w:tcPr>
          <w:p w14:paraId="3AD1654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vMerge w:val="continue"/>
            <w:noWrap w:val="0"/>
            <w:vAlign w:val="center"/>
          </w:tcPr>
          <w:p w14:paraId="0F12D9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vMerge w:val="continue"/>
            <w:noWrap w:val="0"/>
            <w:vAlign w:val="center"/>
          </w:tcPr>
          <w:p w14:paraId="4BDB5DB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vMerge w:val="restart"/>
            <w:noWrap w:val="0"/>
            <w:vAlign w:val="center"/>
          </w:tcPr>
          <w:p w14:paraId="2A97AA73">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1679" w:type="dxa"/>
            <w:gridSpan w:val="3"/>
            <w:noWrap w:val="0"/>
            <w:vAlign w:val="center"/>
          </w:tcPr>
          <w:p w14:paraId="01362080">
            <w:pPr>
              <w:pageBreakBefore w:val="0"/>
              <w:kinsoku/>
              <w:wordWrap w:val="0"/>
              <w:bidi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其中</w:t>
            </w:r>
          </w:p>
        </w:tc>
        <w:tc>
          <w:tcPr>
            <w:tcW w:w="948" w:type="dxa"/>
            <w:vMerge w:val="continue"/>
            <w:noWrap w:val="0"/>
            <w:vAlign w:val="center"/>
          </w:tcPr>
          <w:p w14:paraId="2053580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6DC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172A3E29">
            <w:pPr>
              <w:pageBreakBefore w:val="0"/>
              <w:kinsoku/>
              <w:wordWrap w:val="0"/>
              <w:bidi w:val="0"/>
              <w:spacing w:line="400" w:lineRule="atLeast"/>
              <w:rPr>
                <w:rFonts w:hint="default" w:ascii="Times New Roman" w:hAnsi="Times New Roman" w:cs="Times New Roman"/>
                <w:color w:val="auto"/>
                <w:szCs w:val="21"/>
                <w:highlight w:val="none"/>
              </w:rPr>
            </w:pPr>
          </w:p>
        </w:tc>
        <w:tc>
          <w:tcPr>
            <w:tcW w:w="1085" w:type="dxa"/>
            <w:vMerge w:val="continue"/>
            <w:noWrap w:val="0"/>
            <w:vAlign w:val="center"/>
          </w:tcPr>
          <w:p w14:paraId="4A04A92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vMerge w:val="continue"/>
            <w:noWrap w:val="0"/>
            <w:vAlign w:val="center"/>
          </w:tcPr>
          <w:p w14:paraId="0DC66B9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vMerge w:val="continue"/>
            <w:noWrap w:val="0"/>
            <w:vAlign w:val="center"/>
          </w:tcPr>
          <w:p w14:paraId="278B91A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vMerge w:val="continue"/>
            <w:noWrap w:val="0"/>
            <w:vAlign w:val="center"/>
          </w:tcPr>
          <w:p w14:paraId="1D2810C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vMerge w:val="continue"/>
            <w:noWrap w:val="0"/>
            <w:vAlign w:val="center"/>
          </w:tcPr>
          <w:p w14:paraId="7668AF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vMerge w:val="continue"/>
            <w:noWrap w:val="0"/>
            <w:vAlign w:val="center"/>
          </w:tcPr>
          <w:p w14:paraId="6B3DEF4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vMerge w:val="continue"/>
            <w:noWrap w:val="0"/>
            <w:vAlign w:val="center"/>
          </w:tcPr>
          <w:p w14:paraId="46793EA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center"/>
          </w:tcPr>
          <w:p w14:paraId="68F8E876">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自有</w:t>
            </w:r>
          </w:p>
        </w:tc>
        <w:tc>
          <w:tcPr>
            <w:tcW w:w="559" w:type="dxa"/>
            <w:noWrap w:val="0"/>
            <w:vAlign w:val="center"/>
          </w:tcPr>
          <w:p w14:paraId="02D5FA8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新购</w:t>
            </w:r>
          </w:p>
        </w:tc>
        <w:tc>
          <w:tcPr>
            <w:tcW w:w="561" w:type="dxa"/>
            <w:noWrap w:val="0"/>
            <w:vAlign w:val="center"/>
          </w:tcPr>
          <w:p w14:paraId="688C3B2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租赁</w:t>
            </w:r>
          </w:p>
        </w:tc>
        <w:tc>
          <w:tcPr>
            <w:tcW w:w="948" w:type="dxa"/>
            <w:vMerge w:val="continue"/>
            <w:noWrap w:val="0"/>
            <w:vAlign w:val="center"/>
          </w:tcPr>
          <w:p w14:paraId="0971F963">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380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2487A45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center"/>
          </w:tcPr>
          <w:p w14:paraId="562E7EE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center"/>
          </w:tcPr>
          <w:p w14:paraId="6B7664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center"/>
          </w:tcPr>
          <w:p w14:paraId="6713AD7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center"/>
          </w:tcPr>
          <w:p w14:paraId="1DE38CC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center"/>
          </w:tcPr>
          <w:p w14:paraId="5052FB3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center"/>
          </w:tcPr>
          <w:p w14:paraId="184AFA1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center"/>
          </w:tcPr>
          <w:p w14:paraId="75839A4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center"/>
          </w:tcPr>
          <w:p w14:paraId="0E98969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center"/>
          </w:tcPr>
          <w:p w14:paraId="3FE17BF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center"/>
          </w:tcPr>
          <w:p w14:paraId="5BAA8AF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center"/>
          </w:tcPr>
          <w:p w14:paraId="3D6965D0">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14EC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530AB0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center"/>
          </w:tcPr>
          <w:p w14:paraId="26FAC79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center"/>
          </w:tcPr>
          <w:p w14:paraId="04B7445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center"/>
          </w:tcPr>
          <w:p w14:paraId="5B24066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center"/>
          </w:tcPr>
          <w:p w14:paraId="2BEA060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center"/>
          </w:tcPr>
          <w:p w14:paraId="0B85A2B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center"/>
          </w:tcPr>
          <w:p w14:paraId="62084B6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center"/>
          </w:tcPr>
          <w:p w14:paraId="3C8B0B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center"/>
          </w:tcPr>
          <w:p w14:paraId="18A0F24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center"/>
          </w:tcPr>
          <w:p w14:paraId="00B7C5C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center"/>
          </w:tcPr>
          <w:p w14:paraId="6C06CC53">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center"/>
          </w:tcPr>
          <w:p w14:paraId="77D6F1BE">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742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C57198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8FE8A7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AA59DB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F6A39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FEEA1D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D27111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EB29A2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D94D1D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5F7C279">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22367D1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D19932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3BB337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3A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F07ECC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C9615D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F2EC28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2A3509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1B85583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304278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23C86C6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B9CB30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3647E4C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6DCC36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12DA9D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4EA5F65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11A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E3265A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365B0E6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A5509C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1B8BB0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F9C58F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5AAD0B9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0B32CC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3A96A3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4BEB3CC">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B9C0FF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3A552F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528F939">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6DE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7343B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848238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9FDFDC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EFA362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F4315E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7AFB39B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2D34FEE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CD67C5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9E6F7B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C8F2AF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73010A8">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FC61631">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24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691EE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27AEDC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DDDD00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39E7AF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C0042E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6A8EF25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3D0D2A2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117A359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3EDD632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5A83924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FFD0F2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4A0D992">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C0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91D3F3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1025617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0D5D82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332F9C9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FCD349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3042E40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DC1E1F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615D8EF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5AFC2F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63AF7C6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A52553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87C08F4">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7643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08B89C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0866E0B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2F2B47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BB354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0E31FF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728C676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0512FF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DE8C77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268FECB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1C03046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7CF66CD">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1EA1DFF">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124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B62CE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7EB392A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59B9454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6545EBA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884942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30A84C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769266D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0EAFC5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B49BCA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B4AD19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5D02626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72631DB">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051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F9779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2626DB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51FB29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641B256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2C7BD53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132F5A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C5C4BD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101839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9246996">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4DEA794D">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E77DD8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99A5739">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B61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9806CB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57399D8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235523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061451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130C8D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4EB31A1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430D53F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663C4DD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E28D0A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73D403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AD62B1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036D4F8">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4E6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931F0D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4A08A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73601CE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CD5A89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38A18B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50587AA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419C71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7509463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77000EF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435C0E66">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5FC55CE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DF9CC09">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C14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D22A3C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53C077D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5728A6F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417C6E5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3FC5F5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6594C3F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36CFB6C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092E62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54BCC5D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78FE08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8A4A23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EEFB8E0">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04A5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853A22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121DE6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91BB79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1A5819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1FBA418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2FA0FD1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421825A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3A85CC8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079BD86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BDAEE8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639D483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E8E055A">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8BD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2D548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29026FD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24CD127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C37E65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317F5C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40220E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0C10E86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DE62BC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3196960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1549613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73A72A9B">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420B577">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730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D38660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2F691DE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367758C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D3590F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7EB2FC6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B006A6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CE952E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14A0A79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4D30D6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1B301133">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38C9B2B8">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F1DCE3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2510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FFB5A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30119C1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2FFE89B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28CCEAA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36194B9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3E12D60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31841FB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1582046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4CE5845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25832CBD">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215E0E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7A2532DF">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3733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34E7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24FAB6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4A811A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5288A16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1B97B3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00D3383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35F854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0C98B4A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CF01C4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E203FA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C78E838">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4A9B35C1">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4990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7522ACC">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B9210F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1275686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1136F5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C9BEE3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7220CF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522BC5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D815A7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7B6F936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3936BE3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D82AE67">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E89160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53E6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5BF156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6A73A142">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429552C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63C88B9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0495892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7022C0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356AC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4A337B3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6E32C874">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02B8862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053D4C4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54CC721D">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808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243322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57E867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579772F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573D28E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3E5FB5D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6F4395D9">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E2154A0">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2F8A640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49E7FF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3FEB9EEC">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78926B6E">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4B0991D">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0C6C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64E81E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4C821AC3">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7A606D0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179D88D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5ECF931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BD01D8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116E6D67">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05E9BDD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18468651">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3B772BD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45EDEC2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24B22B6">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FB5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EACA3CD">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1AD59C8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2508A9AF">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0DEF75D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65AD4F7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5482D1CE">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6C518B0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5314B37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5165792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7ACE6112">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1E0CF250">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6BFF28EC">
            <w:pPr>
              <w:pageBreakBefore w:val="0"/>
              <w:kinsoku/>
              <w:wordWrap w:val="0"/>
              <w:bidi w:val="0"/>
              <w:spacing w:line="400" w:lineRule="atLeast"/>
              <w:jc w:val="center"/>
              <w:rPr>
                <w:rFonts w:hint="default" w:ascii="Times New Roman" w:hAnsi="Times New Roman" w:cs="Times New Roman"/>
                <w:color w:val="auto"/>
                <w:szCs w:val="21"/>
                <w:highlight w:val="none"/>
              </w:rPr>
            </w:pPr>
          </w:p>
        </w:tc>
      </w:tr>
      <w:tr w14:paraId="6FC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6F243C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1085" w:type="dxa"/>
            <w:noWrap w:val="0"/>
            <w:vAlign w:val="top"/>
          </w:tcPr>
          <w:p w14:paraId="5D917FCB">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758" w:type="dxa"/>
            <w:noWrap w:val="0"/>
            <w:vAlign w:val="top"/>
          </w:tcPr>
          <w:p w14:paraId="79C04ED6">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70" w:type="dxa"/>
            <w:noWrap w:val="0"/>
            <w:vAlign w:val="top"/>
          </w:tcPr>
          <w:p w14:paraId="59EE0955">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59" w:type="dxa"/>
            <w:noWrap w:val="0"/>
            <w:vAlign w:val="top"/>
          </w:tcPr>
          <w:p w14:paraId="4F63F65A">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941" w:type="dxa"/>
            <w:noWrap w:val="0"/>
            <w:vAlign w:val="top"/>
          </w:tcPr>
          <w:p w14:paraId="11BAAE24">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646" w:type="dxa"/>
            <w:noWrap w:val="0"/>
            <w:vAlign w:val="top"/>
          </w:tcPr>
          <w:p w14:paraId="2CCE0DB1">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430" w:type="dxa"/>
            <w:noWrap w:val="0"/>
            <w:vAlign w:val="top"/>
          </w:tcPr>
          <w:p w14:paraId="68EF3578">
            <w:pPr>
              <w:pageBreakBefore w:val="0"/>
              <w:kinsoku/>
              <w:wordWrap w:val="0"/>
              <w:bidi w:val="0"/>
              <w:spacing w:line="400" w:lineRule="atLeast"/>
              <w:jc w:val="center"/>
              <w:rPr>
                <w:rFonts w:hint="default" w:ascii="Times New Roman" w:hAnsi="Times New Roman" w:cs="Times New Roman"/>
                <w:color w:val="auto"/>
                <w:szCs w:val="21"/>
                <w:highlight w:val="none"/>
              </w:rPr>
            </w:pPr>
          </w:p>
        </w:tc>
        <w:tc>
          <w:tcPr>
            <w:tcW w:w="559" w:type="dxa"/>
            <w:noWrap w:val="0"/>
            <w:vAlign w:val="top"/>
          </w:tcPr>
          <w:p w14:paraId="653D86DA">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59" w:type="dxa"/>
            <w:noWrap w:val="0"/>
            <w:vAlign w:val="top"/>
          </w:tcPr>
          <w:p w14:paraId="6CE39825">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561" w:type="dxa"/>
            <w:noWrap w:val="0"/>
            <w:vAlign w:val="top"/>
          </w:tcPr>
          <w:p w14:paraId="22CAB68F">
            <w:pPr>
              <w:pageBreakBefore w:val="0"/>
              <w:kinsoku/>
              <w:wordWrap w:val="0"/>
              <w:bidi w:val="0"/>
              <w:spacing w:line="400" w:lineRule="atLeast"/>
              <w:ind w:left="-105" w:leftChars="-50" w:right="-105" w:rightChars="-50"/>
              <w:jc w:val="center"/>
              <w:rPr>
                <w:rFonts w:hint="default" w:ascii="Times New Roman" w:hAnsi="Times New Roman" w:cs="Times New Roman"/>
                <w:color w:val="auto"/>
                <w:szCs w:val="21"/>
                <w:highlight w:val="none"/>
              </w:rPr>
            </w:pPr>
          </w:p>
        </w:tc>
        <w:tc>
          <w:tcPr>
            <w:tcW w:w="948" w:type="dxa"/>
            <w:noWrap w:val="0"/>
            <w:vAlign w:val="top"/>
          </w:tcPr>
          <w:p w14:paraId="2218F8F4">
            <w:pPr>
              <w:pageBreakBefore w:val="0"/>
              <w:kinsoku/>
              <w:wordWrap w:val="0"/>
              <w:bidi w:val="0"/>
              <w:spacing w:line="400" w:lineRule="atLeast"/>
              <w:jc w:val="center"/>
              <w:rPr>
                <w:rFonts w:hint="default" w:ascii="Times New Roman" w:hAnsi="Times New Roman" w:cs="Times New Roman"/>
                <w:color w:val="auto"/>
                <w:szCs w:val="21"/>
                <w:highlight w:val="none"/>
              </w:rPr>
            </w:pPr>
          </w:p>
        </w:tc>
      </w:tr>
    </w:tbl>
    <w:p w14:paraId="1F2A34F1">
      <w:pPr>
        <w:pStyle w:val="18"/>
        <w:pageBreakBefore w:val="0"/>
        <w:kinsoku/>
        <w:wordWrap w:val="0"/>
        <w:bidi w:val="0"/>
        <w:spacing w:after="0" w:line="400" w:lineRule="atLeast"/>
        <w:ind w:left="735" w:leftChars="0" w:hanging="735" w:hangingChars="350"/>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注：本表填报的设备应满足招标文件第二章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前附表附录7的要求。</w:t>
      </w:r>
    </w:p>
    <w:p w14:paraId="6C286FAA">
      <w:pPr>
        <w:pageBreakBefore w:val="0"/>
        <w:kinsoku/>
        <w:wordWrap w:val="0"/>
        <w:topLinePunct/>
        <w:bidi w:val="0"/>
        <w:spacing w:line="400" w:lineRule="atLeast"/>
        <w:rPr>
          <w:rFonts w:hint="default" w:ascii="Times New Roman" w:hAnsi="Times New Roman" w:cs="Times New Roman"/>
          <w:color w:val="auto"/>
          <w:sz w:val="23"/>
          <w:szCs w:val="23"/>
          <w:highlight w:val="none"/>
        </w:rPr>
      </w:pPr>
    </w:p>
    <w:p w14:paraId="467A4783">
      <w:pPr>
        <w:pageBreakBefore w:val="0"/>
        <w:kinsoku/>
        <w:wordWrap w:val="0"/>
        <w:overflowPunct/>
        <w:topLinePunct/>
        <w:bidi w:val="0"/>
        <w:spacing w:line="400" w:lineRule="atLeast"/>
        <w:jc w:val="center"/>
        <w:rPr>
          <w:rFonts w:hint="default" w:ascii="Times New Roman" w:hAnsi="Times New Roman" w:eastAsia="黑体" w:cs="Times New Roman"/>
          <w:color w:val="auto"/>
          <w:sz w:val="24"/>
          <w:highlight w:val="none"/>
        </w:rPr>
      </w:pPr>
      <w:bookmarkStart w:id="1703" w:name="_Toc234833289"/>
      <w:bookmarkStart w:id="1704" w:name="_Toc32334"/>
      <w:bookmarkStart w:id="1705" w:name="_Toc19215"/>
      <w:r>
        <w:rPr>
          <w:rFonts w:hint="default" w:ascii="Times New Roman" w:hAnsi="Times New Roman" w:eastAsia="黑体" w:cs="Times New Roman"/>
          <w:color w:val="auto"/>
          <w:sz w:val="24"/>
          <w:highlight w:val="none"/>
        </w:rPr>
        <w:t>（十）拟配备本标段的主要材料试验、测量、质检仪器设备表</w:t>
      </w:r>
      <w:r>
        <w:rPr>
          <w:rFonts w:hint="default" w:ascii="Times New Roman" w:hAnsi="Times New Roman" w:eastAsia="黑体" w:cs="Times New Roman"/>
          <w:color w:val="auto"/>
          <w:sz w:val="24"/>
          <w:highlight w:val="none"/>
          <w:vertAlign w:val="superscript"/>
        </w:rPr>
        <w:footnoteReference w:id="55"/>
      </w:r>
      <w:bookmarkEnd w:id="1703"/>
      <w:bookmarkEnd w:id="1704"/>
      <w:bookmarkEnd w:id="1705"/>
    </w:p>
    <w:p w14:paraId="313118EB">
      <w:pPr>
        <w:pageBreakBefore w:val="0"/>
        <w:kinsoku/>
        <w:wordWrap w:val="0"/>
        <w:bidi w:val="0"/>
        <w:spacing w:line="400" w:lineRule="atLeast"/>
        <w:rPr>
          <w:rFonts w:hint="default" w:ascii="Times New Roman" w:hAnsi="Times New Roman" w:cs="Times New Roman"/>
          <w:color w:val="auto"/>
          <w:sz w:val="20"/>
          <w:szCs w:val="20"/>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637E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503D223E">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617" w:type="dxa"/>
            <w:noWrap w:val="0"/>
            <w:vAlign w:val="center"/>
          </w:tcPr>
          <w:p w14:paraId="2141B468">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仪器设备名称</w:t>
            </w:r>
          </w:p>
        </w:tc>
        <w:tc>
          <w:tcPr>
            <w:tcW w:w="1030" w:type="dxa"/>
            <w:noWrap w:val="0"/>
            <w:vAlign w:val="center"/>
          </w:tcPr>
          <w:p w14:paraId="2B1210A8">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型号规格</w:t>
            </w:r>
          </w:p>
        </w:tc>
        <w:tc>
          <w:tcPr>
            <w:tcW w:w="1016" w:type="dxa"/>
            <w:noWrap w:val="0"/>
            <w:vAlign w:val="center"/>
          </w:tcPr>
          <w:p w14:paraId="238CFAB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1026" w:type="dxa"/>
            <w:noWrap w:val="0"/>
            <w:vAlign w:val="center"/>
          </w:tcPr>
          <w:p w14:paraId="6BEEB64A">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国别产地</w:t>
            </w:r>
          </w:p>
        </w:tc>
        <w:tc>
          <w:tcPr>
            <w:tcW w:w="1026" w:type="dxa"/>
            <w:noWrap w:val="0"/>
            <w:vAlign w:val="center"/>
          </w:tcPr>
          <w:p w14:paraId="3EEAF37E">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制造年份</w:t>
            </w:r>
          </w:p>
        </w:tc>
        <w:tc>
          <w:tcPr>
            <w:tcW w:w="1693" w:type="dxa"/>
            <w:noWrap w:val="0"/>
            <w:vAlign w:val="center"/>
          </w:tcPr>
          <w:p w14:paraId="529D7A6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用途</w:t>
            </w:r>
          </w:p>
        </w:tc>
        <w:tc>
          <w:tcPr>
            <w:tcW w:w="697" w:type="dxa"/>
            <w:noWrap w:val="0"/>
            <w:vAlign w:val="center"/>
          </w:tcPr>
          <w:p w14:paraId="2EE9C3F7">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7F2A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AD9B57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center"/>
          </w:tcPr>
          <w:p w14:paraId="65305E5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center"/>
          </w:tcPr>
          <w:p w14:paraId="0A20BAF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center"/>
          </w:tcPr>
          <w:p w14:paraId="32BB92B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2359E0FC">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3173BFC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center"/>
          </w:tcPr>
          <w:p w14:paraId="3E04640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center"/>
          </w:tcPr>
          <w:p w14:paraId="636FC99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4A9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87F0A8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center"/>
          </w:tcPr>
          <w:p w14:paraId="5543BC9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center"/>
          </w:tcPr>
          <w:p w14:paraId="04B9C91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center"/>
          </w:tcPr>
          <w:p w14:paraId="2AE08B59">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134A886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center"/>
          </w:tcPr>
          <w:p w14:paraId="68A879B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center"/>
          </w:tcPr>
          <w:p w14:paraId="6249686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center"/>
          </w:tcPr>
          <w:p w14:paraId="7CCBE1C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5817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91D119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2EC9B07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43CF5C0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5CFA6A5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331100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C6782E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1652CD0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35BB42D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2335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5F75C1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234566E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6B7469C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5DCB42F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21CB5D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5A4549F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54AA07B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45D5B75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7986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B8AEAE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575CAB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6DD7664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6B76323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A5A763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9C814A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3C3B724C">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75570E19">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CA3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5FAECE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073C0D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3921076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0630FE0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5A9D6F7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17D67E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412A02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0F47FC7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76BE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noWrap w:val="0"/>
            <w:vAlign w:val="top"/>
          </w:tcPr>
          <w:p w14:paraId="3DEFF64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36A8F7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5DE6E9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105E50A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0B1511E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1820B5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18C4AC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5AADE4D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138B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8DDD6B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C770A0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47E96D1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1339D1E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0D5B57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C67E81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1A8FE31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2FBC0DF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53CE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C4E182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9CB35A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762480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02CC301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8CD038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44EB7F5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47D95A4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718DBC2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150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39AC29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1BB0206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1A43982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3596DD6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D22F21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0B028B3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251888C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2C7D493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2C0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noWrap w:val="0"/>
            <w:vAlign w:val="top"/>
          </w:tcPr>
          <w:p w14:paraId="2EFC95F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48EB9BC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2B8FEB0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4B6E010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C55DD9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2ED7F9E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7AE0309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63337D9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602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211B93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374BC4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014EAF2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2A304EF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A24A0E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47F691B">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D58901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739971A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3BD5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088ED8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D4E557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D725A7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725E66F6">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5E07B82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217F3AC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6396C12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3FAD816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081C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1BC7A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244F3D7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4D6B48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01811B9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A1CEF0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634F041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4E56F49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0B7BD9B1">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002B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5" w:type="dxa"/>
            <w:noWrap w:val="0"/>
            <w:vAlign w:val="top"/>
          </w:tcPr>
          <w:p w14:paraId="3071724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79F87A24">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1BE467C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3ECD30AD">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1672BDDF">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75C352E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4EC39BA8">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2DF051C2">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r w14:paraId="4636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82C50F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17" w:type="dxa"/>
            <w:noWrap w:val="0"/>
            <w:vAlign w:val="top"/>
          </w:tcPr>
          <w:p w14:paraId="6BC0672E">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30" w:type="dxa"/>
            <w:noWrap w:val="0"/>
            <w:vAlign w:val="top"/>
          </w:tcPr>
          <w:p w14:paraId="5364E95C">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16" w:type="dxa"/>
            <w:noWrap w:val="0"/>
            <w:vAlign w:val="top"/>
          </w:tcPr>
          <w:p w14:paraId="56EC0E93">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32889880">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026" w:type="dxa"/>
            <w:noWrap w:val="0"/>
            <w:vAlign w:val="top"/>
          </w:tcPr>
          <w:p w14:paraId="41BD9DB5">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1693" w:type="dxa"/>
            <w:noWrap w:val="0"/>
            <w:vAlign w:val="top"/>
          </w:tcPr>
          <w:p w14:paraId="2D012937">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c>
          <w:tcPr>
            <w:tcW w:w="697" w:type="dxa"/>
            <w:noWrap w:val="0"/>
            <w:vAlign w:val="top"/>
          </w:tcPr>
          <w:p w14:paraId="0DBDCAAA">
            <w:pPr>
              <w:pageBreakBefore w:val="0"/>
              <w:kinsoku/>
              <w:wordWrap w:val="0"/>
              <w:bidi w:val="0"/>
              <w:spacing w:before="120" w:beforeLines="50" w:after="120" w:afterLines="50" w:line="400" w:lineRule="atLeast"/>
              <w:jc w:val="center"/>
              <w:rPr>
                <w:rFonts w:hint="default" w:ascii="Times New Roman" w:hAnsi="Times New Roman" w:cs="Times New Roman"/>
                <w:color w:val="auto"/>
                <w:szCs w:val="21"/>
                <w:highlight w:val="none"/>
              </w:rPr>
            </w:pPr>
          </w:p>
        </w:tc>
      </w:tr>
    </w:tbl>
    <w:p w14:paraId="25088CC4">
      <w:pPr>
        <w:pStyle w:val="18"/>
        <w:pageBreakBefore w:val="0"/>
        <w:kinsoku/>
        <w:wordWrap w:val="0"/>
        <w:bidi w:val="0"/>
        <w:spacing w:after="0" w:line="400" w:lineRule="atLeast"/>
        <w:ind w:left="735" w:leftChars="0" w:hanging="735" w:hangingChars="3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注：本表填报的设备应满足招标文件第二章</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投标人须知</w:t>
      </w:r>
      <w:r>
        <w:rPr>
          <w:rFonts w:hint="eastAsia" w:ascii="宋体" w:hAnsi="宋体" w:eastAsia="宋体" w:cs="宋体"/>
          <w:color w:val="auto"/>
          <w:szCs w:val="21"/>
          <w:highlight w:val="none"/>
        </w:rPr>
        <w:t>”</w:t>
      </w:r>
      <w:r>
        <w:rPr>
          <w:rFonts w:hint="default" w:ascii="Times New Roman" w:hAnsi="Times New Roman" w:cs="Times New Roman"/>
          <w:color w:val="auto"/>
          <w:szCs w:val="21"/>
          <w:highlight w:val="none"/>
        </w:rPr>
        <w:t>前附表附录7的要求。</w:t>
      </w:r>
    </w:p>
    <w:p w14:paraId="3F5BA925">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color w:val="auto"/>
          <w:sz w:val="30"/>
          <w:szCs w:val="30"/>
          <w:highlight w:val="none"/>
        </w:rPr>
      </w:pPr>
      <w:r>
        <w:rPr>
          <w:rFonts w:hint="default" w:ascii="Times New Roman" w:hAnsi="Times New Roman" w:cs="Times New Roman"/>
          <w:color w:val="auto"/>
          <w:sz w:val="24"/>
          <w:highlight w:val="none"/>
        </w:rPr>
        <w:br w:type="page"/>
      </w:r>
      <w:bookmarkStart w:id="1706" w:name="_Toc5710"/>
      <w:bookmarkStart w:id="1707" w:name="_Toc15816"/>
      <w:bookmarkStart w:id="1708" w:name="_Toc8012"/>
      <w:bookmarkStart w:id="1709" w:name="_Toc234833291"/>
      <w:r>
        <w:rPr>
          <w:rFonts w:hint="eastAsia" w:ascii="Times New Roman" w:hAnsi="Times New Roman" w:eastAsia="黑体" w:cs="Times New Roman"/>
          <w:b w:val="0"/>
          <w:i w:val="0"/>
          <w:iCs/>
          <w:color w:val="auto"/>
          <w:sz w:val="30"/>
          <w:szCs w:val="30"/>
          <w:highlight w:val="none"/>
          <w:lang w:val="en-US" w:eastAsia="zh-CN"/>
        </w:rPr>
        <w:t>九</w:t>
      </w:r>
      <w:r>
        <w:rPr>
          <w:rFonts w:hint="default" w:ascii="Times New Roman" w:hAnsi="Times New Roman" w:eastAsia="黑体" w:cs="Times New Roman"/>
          <w:b w:val="0"/>
          <w:i w:val="0"/>
          <w:iCs/>
          <w:color w:val="auto"/>
          <w:sz w:val="30"/>
          <w:szCs w:val="30"/>
          <w:highlight w:val="none"/>
          <w:lang w:val="en-US" w:eastAsia="zh-CN"/>
        </w:rPr>
        <w:t>、投标人告知承诺函</w:t>
      </w:r>
      <w:bookmarkEnd w:id="1706"/>
      <w:bookmarkEnd w:id="1707"/>
      <w:bookmarkEnd w:id="1708"/>
      <w:r>
        <w:rPr>
          <w:rFonts w:hint="default" w:ascii="Times New Roman" w:hAnsi="Times New Roman" w:eastAsia="黑体" w:cs="Times New Roman"/>
          <w:b w:val="0"/>
          <w:i w:val="0"/>
          <w:iCs/>
          <w:color w:val="auto"/>
          <w:sz w:val="30"/>
          <w:szCs w:val="30"/>
          <w:highlight w:val="none"/>
          <w:vertAlign w:val="superscript"/>
          <w:lang w:val="zh-CN" w:eastAsia="zh-CN"/>
        </w:rPr>
        <w:footnoteReference w:id="56"/>
      </w:r>
    </w:p>
    <w:p w14:paraId="361AB61E">
      <w:pPr>
        <w:spacing w:line="380" w:lineRule="exact"/>
        <w:rPr>
          <w:rFonts w:hint="default" w:ascii="Times New Roman" w:hAnsi="Times New Roman" w:cs="Times New Roman"/>
          <w:color w:val="auto"/>
          <w:sz w:val="24"/>
          <w:highlight w:val="none"/>
          <w:u w:val="single"/>
        </w:rPr>
      </w:pPr>
    </w:p>
    <w:p w14:paraId="06F58AAA">
      <w:pPr>
        <w:wordWrap w:val="0"/>
        <w:spacing w:line="380" w:lineRule="exact"/>
        <w:ind w:firstLine="480" w:firstLineChars="200"/>
        <w:rPr>
          <w:rFonts w:hint="default" w:ascii="Times New Roman" w:hAnsi="Times New Roman" w:cs="Times New Roman"/>
          <w:color w:val="auto"/>
          <w:sz w:val="24"/>
          <w:highlight w:val="none"/>
        </w:rPr>
      </w:pPr>
      <w:bookmarkStart w:id="1710" w:name="_Toc29420"/>
      <w:bookmarkStart w:id="1711" w:name="_Toc18802"/>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（监管部门名称）：</w:t>
      </w:r>
    </w:p>
    <w:p w14:paraId="658FAD39">
      <w:pPr>
        <w:wordWrap w:val="0"/>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我单位参与</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none"/>
        </w:rPr>
        <w:t>（标段名称）</w:t>
      </w:r>
      <w:r>
        <w:rPr>
          <w:rFonts w:hint="eastAsia" w:cs="Times New Roman"/>
          <w:color w:val="auto"/>
          <w:sz w:val="24"/>
          <w:highlight w:val="none"/>
          <w:u w:val="none"/>
          <w:lang w:val="en-US" w:eastAsia="zh-CN"/>
        </w:rPr>
        <w:t>施工</w:t>
      </w:r>
      <w:r>
        <w:rPr>
          <w:rFonts w:hint="default" w:ascii="Times New Roman" w:hAnsi="Times New Roman" w:cs="Times New Roman"/>
          <w:color w:val="auto"/>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A4AAE1C">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一、我单位和我本人遵循公开、公平、公正、诚实守信的原则，依法依规参与本项目投标。</w:t>
      </w:r>
    </w:p>
    <w:p w14:paraId="28C31056">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二、我单位具有参与本次投标的资质和能力，公司运营状况良好，不存在挂靠投标、不受让、租借、出租、出借资格或资质证书，无处罚期内的不良行为。</w:t>
      </w:r>
    </w:p>
    <w:p w14:paraId="07429FB7">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三、我单位在本项目投标过程中从招标公告列明的渠道获取招标文件，没有通过其他不正当渠道获取招标文件。</w:t>
      </w:r>
    </w:p>
    <w:p w14:paraId="6949BD64">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四、我单位承诺投标文件由本单位员工独立编制，严格遵守保密义务。所提供的一切投标相关材料都是真实、有效、合法的。</w:t>
      </w:r>
    </w:p>
    <w:p w14:paraId="155E9BBE">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五、我单位不与其他投标人相互串通投标报价，不恶意压低或抬高投标报价，不排挤其他投标人的公平竞争，不损害招标人或其他投标人的合法权益。</w:t>
      </w:r>
    </w:p>
    <w:p w14:paraId="2CD17FC4">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六、我单位不与招标人或招标代理机构串通投标，损害国家利益、社会公共利益或者他人的合法权益。</w:t>
      </w:r>
    </w:p>
    <w:p w14:paraId="620DFBEA">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七、我单位不向招标人或者评标委员会成员行贿以牟取中标，不在开标后进行虚假恶意投诉。</w:t>
      </w:r>
    </w:p>
    <w:p w14:paraId="28EDD8AF">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八、我单位和我个人清楚并知晓《中华人民共和国刑法》第二百二十三条</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的规定。</w:t>
      </w:r>
    </w:p>
    <w:p w14:paraId="0FB36096">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九、我单位如在本项目招标投标活动评标工作中存在串通投标、弄虚作假等行为的，本单位及本人自愿承担法律责任，接受相应刑事、纪律和行政处罚以及失信惩戒。</w:t>
      </w:r>
    </w:p>
    <w:p w14:paraId="0715A326">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十、本承诺函由我单位盖章及法定代表人（授权委托人）本人</w:t>
      </w:r>
      <w:r>
        <w:rPr>
          <w:rFonts w:hint="eastAsia" w:cs="Times New Roman"/>
          <w:color w:val="auto"/>
          <w:sz w:val="24"/>
          <w:highlight w:val="none"/>
          <w:lang w:val="en-US" w:eastAsia="zh-CN"/>
        </w:rPr>
        <w:t>电子</w:t>
      </w:r>
      <w:r>
        <w:rPr>
          <w:rFonts w:hint="default" w:ascii="Times New Roman" w:hAnsi="Times New Roman" w:cs="Times New Roman"/>
          <w:color w:val="auto"/>
          <w:sz w:val="24"/>
          <w:highlight w:val="none"/>
        </w:rPr>
        <w:t>确认。</w:t>
      </w:r>
    </w:p>
    <w:p w14:paraId="7DEBB9CE">
      <w:pPr>
        <w:spacing w:line="380" w:lineRule="exact"/>
        <w:ind w:firstLine="480" w:firstLineChars="200"/>
        <w:rPr>
          <w:rFonts w:hint="default" w:ascii="Times New Roman" w:hAnsi="Times New Roman" w:cs="Times New Roman"/>
          <w:color w:val="auto"/>
          <w:sz w:val="24"/>
          <w:highlight w:val="none"/>
        </w:rPr>
      </w:pPr>
    </w:p>
    <w:p w14:paraId="008F3A57">
      <w:pPr>
        <w:widowControl/>
        <w:spacing w:line="380" w:lineRule="exact"/>
        <w:jc w:val="right"/>
        <w:rPr>
          <w:rFonts w:hint="default" w:ascii="Times New Roman" w:hAnsi="Times New Roman" w:cs="Times New Roman"/>
          <w:color w:val="auto"/>
          <w:kern w:val="0"/>
          <w:sz w:val="24"/>
          <w:highlight w:val="none"/>
          <w:u w:val="single"/>
          <w:lang w:val="zh-CN" w:bidi="zh-CN"/>
        </w:rPr>
      </w:pPr>
      <w:r>
        <w:rPr>
          <w:rFonts w:hint="default" w:ascii="Times New Roman" w:hAnsi="Times New Roman" w:cs="Times New Roman"/>
          <w:color w:val="auto"/>
          <w:kern w:val="0"/>
          <w:sz w:val="24"/>
          <w:highlight w:val="none"/>
          <w:lang w:val="zh-CN" w:bidi="zh-CN"/>
        </w:rPr>
        <w:t>投标人：</w:t>
      </w:r>
      <w:r>
        <w:rPr>
          <w:rFonts w:hint="default" w:ascii="Times New Roman" w:hAnsi="Times New Roman" w:cs="Times New Roman"/>
          <w:color w:val="auto"/>
          <w:kern w:val="0"/>
          <w:sz w:val="24"/>
          <w:highlight w:val="none"/>
          <w:u w:val="single"/>
          <w:lang w:val="zh-CN" w:bidi="zh-CN"/>
        </w:rPr>
        <w:t>投标人全称（加盖单位</w:t>
      </w:r>
      <w:r>
        <w:rPr>
          <w:rFonts w:hint="default" w:ascii="Times New Roman" w:hAnsi="Times New Roman" w:cs="Times New Roman"/>
          <w:color w:val="auto"/>
          <w:kern w:val="0"/>
          <w:sz w:val="24"/>
          <w:highlight w:val="none"/>
          <w:u w:val="single"/>
          <w:lang w:val="en-US" w:bidi="zh-CN"/>
        </w:rPr>
        <w:t>电子印</w:t>
      </w:r>
      <w:r>
        <w:rPr>
          <w:rFonts w:hint="default" w:ascii="Times New Roman" w:hAnsi="Times New Roman" w:cs="Times New Roman"/>
          <w:color w:val="auto"/>
          <w:kern w:val="0"/>
          <w:sz w:val="24"/>
          <w:highlight w:val="none"/>
          <w:u w:val="single"/>
          <w:lang w:val="zh-CN" w:bidi="zh-CN"/>
        </w:rPr>
        <w:t>章）</w:t>
      </w:r>
    </w:p>
    <w:p w14:paraId="522F9E30">
      <w:pPr>
        <w:keepNext w:val="0"/>
        <w:keepLines w:val="0"/>
        <w:pageBreakBefore w:val="0"/>
        <w:widowControl/>
        <w:kinsoku/>
        <w:wordWrap w:val="0"/>
        <w:overflowPunct/>
        <w:topLinePunct w:val="0"/>
        <w:autoSpaceDE/>
        <w:autoSpaceDN/>
        <w:bidi w:val="0"/>
        <w:adjustRightInd/>
        <w:snapToGrid/>
        <w:spacing w:line="380" w:lineRule="exact"/>
        <w:jc w:val="right"/>
        <w:textAlignment w:val="auto"/>
        <w:outlineLvl w:val="9"/>
        <w:rPr>
          <w:rFonts w:hint="default" w:ascii="Times New Roman" w:hAnsi="Times New Roman" w:cs="Times New Roman"/>
          <w:color w:val="auto"/>
          <w:kern w:val="0"/>
          <w:sz w:val="24"/>
          <w:highlight w:val="none"/>
          <w:lang w:val="zh-CN" w:bidi="zh-CN"/>
        </w:rPr>
      </w:pPr>
      <w:r>
        <w:rPr>
          <w:rFonts w:hint="default" w:ascii="Times New Roman" w:hAnsi="Times New Roman" w:cs="Times New Roman"/>
          <w:color w:val="auto"/>
          <w:kern w:val="0"/>
          <w:sz w:val="24"/>
          <w:highlight w:val="none"/>
          <w:lang w:val="zh-CN" w:bidi="zh-CN"/>
        </w:rPr>
        <w:t>法定代表人（或授权委托人）：</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r>
        <w:rPr>
          <w:rFonts w:hint="default" w:ascii="Times New Roman" w:hAnsi="Times New Roman" w:cs="Times New Roman"/>
          <w:color w:val="auto"/>
          <w:kern w:val="0"/>
          <w:sz w:val="24"/>
          <w:highlight w:val="none"/>
          <w:lang w:val="zh-CN" w:bidi="zh-CN"/>
        </w:rPr>
        <w:t>）</w:t>
      </w:r>
    </w:p>
    <w:p w14:paraId="68846DCE">
      <w:pPr>
        <w:widowControl/>
        <w:wordWrap w:val="0"/>
        <w:spacing w:line="380" w:lineRule="exact"/>
        <w:jc w:val="right"/>
        <w:rPr>
          <w:rFonts w:hint="default" w:ascii="Times New Roman" w:hAnsi="Times New Roman" w:eastAsia="黑体" w:cs="Times New Roman"/>
          <w:b w:val="0"/>
          <w:color w:val="auto"/>
          <w:sz w:val="28"/>
          <w:szCs w:val="28"/>
          <w:highlight w:val="none"/>
        </w:rPr>
      </w:pPr>
      <w:r>
        <w:rPr>
          <w:rFonts w:hint="default" w:ascii="Times New Roman" w:hAnsi="Times New Roman" w:cs="Times New Roman"/>
          <w:color w:val="auto"/>
          <w:kern w:val="0"/>
          <w:sz w:val="24"/>
          <w:highlight w:val="none"/>
          <w:lang w:val="zh-CN" w:bidi="zh-CN"/>
        </w:rPr>
        <w:t>承诺日期：</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年</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月</w:t>
      </w:r>
      <w:r>
        <w:rPr>
          <w:rFonts w:hint="default" w:ascii="Times New Roman" w:hAnsi="Times New Roman" w:cs="Times New Roman"/>
          <w:color w:val="auto"/>
          <w:kern w:val="0"/>
          <w:sz w:val="24"/>
          <w:highlight w:val="none"/>
          <w:u w:val="single"/>
          <w:lang w:val="zh-CN" w:bidi="zh-CN"/>
        </w:rPr>
        <w:t xml:space="preserve">    </w:t>
      </w:r>
      <w:r>
        <w:rPr>
          <w:rFonts w:hint="default" w:ascii="Times New Roman" w:hAnsi="Times New Roman" w:cs="Times New Roman"/>
          <w:color w:val="auto"/>
          <w:kern w:val="0"/>
          <w:sz w:val="24"/>
          <w:highlight w:val="none"/>
          <w:lang w:val="zh-CN" w:bidi="zh-CN"/>
        </w:rPr>
        <w:t>日</w:t>
      </w:r>
    </w:p>
    <w:p w14:paraId="6CB4DC58">
      <w:pPr>
        <w:pStyle w:val="2"/>
        <w:pageBreakBefore w:val="0"/>
        <w:kinsoku/>
        <w:wordWrap w:val="0"/>
        <w:overflowPunct/>
        <w:bidi w:val="0"/>
        <w:spacing w:before="0" w:after="0" w:line="380" w:lineRule="atLeast"/>
        <w:jc w:val="center"/>
        <w:outlineLvl w:val="9"/>
        <w:rPr>
          <w:rFonts w:hint="default" w:ascii="Times New Roman" w:hAnsi="Times New Roman" w:cs="Times New Roman"/>
          <w:b w:val="0"/>
          <w:color w:val="auto"/>
          <w:sz w:val="28"/>
          <w:szCs w:val="28"/>
          <w:highlight w:val="none"/>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61ECDAFE">
      <w:pPr>
        <w:pStyle w:val="6"/>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r>
        <w:rPr>
          <w:rFonts w:hint="eastAsia" w:ascii="Times New Roman" w:hAnsi="Times New Roman" w:eastAsia="黑体" w:cs="Times New Roman"/>
          <w:b w:val="0"/>
          <w:i w:val="0"/>
          <w:iCs/>
          <w:color w:val="auto"/>
          <w:sz w:val="30"/>
          <w:szCs w:val="30"/>
          <w:highlight w:val="none"/>
          <w:lang w:val="en-US" w:eastAsia="zh-CN"/>
        </w:rPr>
        <w:t>十</w:t>
      </w:r>
      <w:r>
        <w:rPr>
          <w:rFonts w:hint="default" w:ascii="Times New Roman" w:hAnsi="Times New Roman" w:eastAsia="黑体" w:cs="Times New Roman"/>
          <w:b w:val="0"/>
          <w:i w:val="0"/>
          <w:iCs/>
          <w:color w:val="auto"/>
          <w:sz w:val="30"/>
          <w:szCs w:val="30"/>
          <w:highlight w:val="none"/>
          <w:lang w:val="en-US" w:eastAsia="zh-CN"/>
        </w:rPr>
        <w:t>、其他</w:t>
      </w:r>
      <w:bookmarkEnd w:id="1709"/>
      <w:r>
        <w:rPr>
          <w:rFonts w:hint="default" w:ascii="Times New Roman" w:hAnsi="Times New Roman" w:eastAsia="黑体" w:cs="Times New Roman"/>
          <w:b w:val="0"/>
          <w:i w:val="0"/>
          <w:iCs/>
          <w:color w:val="auto"/>
          <w:sz w:val="30"/>
          <w:szCs w:val="30"/>
          <w:highlight w:val="none"/>
          <w:lang w:val="en-US" w:eastAsia="zh-CN"/>
        </w:rPr>
        <w:t>资料</w:t>
      </w:r>
      <w:bookmarkEnd w:id="1710"/>
      <w:bookmarkEnd w:id="1711"/>
    </w:p>
    <w:p w14:paraId="3D2EFD80">
      <w:pPr>
        <w:spacing w:line="380" w:lineRule="exact"/>
        <w:jc w:val="center"/>
        <w:rPr>
          <w:rFonts w:hint="eastAsia" w:ascii="Times New Roman" w:hAnsi="Times New Roman" w:cs="Times New Roman"/>
          <w:color w:val="auto"/>
          <w:sz w:val="24"/>
          <w:highlight w:val="yellow"/>
        </w:rPr>
      </w:pPr>
    </w:p>
    <w:p w14:paraId="33CC4696">
      <w:pPr>
        <w:pStyle w:val="21"/>
        <w:adjustRightInd w:val="0"/>
        <w:snapToGrid w:val="0"/>
        <w:spacing w:line="500" w:lineRule="exact"/>
        <w:jc w:val="center"/>
        <w:rPr>
          <w:rFonts w:hint="eastAsia" w:hAnsi="宋体"/>
          <w:b/>
          <w:sz w:val="28"/>
          <w:szCs w:val="28"/>
          <w:highlight w:val="none"/>
        </w:rPr>
      </w:pPr>
      <w:r>
        <w:rPr>
          <w:rFonts w:hint="eastAsia" w:hAnsi="宋体"/>
          <w:b/>
          <w:sz w:val="28"/>
          <w:szCs w:val="28"/>
          <w:highlight w:val="none"/>
        </w:rPr>
        <w:t>投标排序优先选择表</w:t>
      </w:r>
    </w:p>
    <w:p w14:paraId="44B40A25">
      <w:pPr>
        <w:pStyle w:val="21"/>
        <w:adjustRightInd w:val="0"/>
        <w:snapToGrid w:val="0"/>
        <w:spacing w:line="500" w:lineRule="exact"/>
        <w:jc w:val="left"/>
        <w:rPr>
          <w:rFonts w:hint="eastAsia" w:hAnsi="宋体"/>
          <w:b/>
          <w:sz w:val="24"/>
          <w:szCs w:val="24"/>
          <w:highlight w:val="none"/>
        </w:rPr>
      </w:pPr>
      <w:r>
        <w:rPr>
          <w:rFonts w:hint="eastAsia" w:hAnsi="宋体"/>
          <w:b/>
          <w:sz w:val="24"/>
          <w:szCs w:val="24"/>
          <w:highlight w:val="none"/>
          <w:lang w:eastAsia="zh-CN"/>
        </w:rPr>
        <w:t>项目</w:t>
      </w:r>
      <w:r>
        <w:rPr>
          <w:rFonts w:hint="eastAsia" w:hAnsi="宋体"/>
          <w:b/>
          <w:sz w:val="24"/>
          <w:szCs w:val="24"/>
          <w:highlight w:val="none"/>
        </w:rPr>
        <w:t>名称：</w:t>
      </w:r>
    </w:p>
    <w:p w14:paraId="696AACED">
      <w:pPr>
        <w:pStyle w:val="21"/>
        <w:adjustRightInd w:val="0"/>
        <w:snapToGrid w:val="0"/>
        <w:spacing w:line="500" w:lineRule="exact"/>
        <w:rPr>
          <w:rFonts w:hint="eastAsia" w:hAnsi="宋体"/>
          <w:b/>
          <w:sz w:val="24"/>
          <w:szCs w:val="24"/>
          <w:highlight w:val="none"/>
        </w:rPr>
      </w:pPr>
      <w:r>
        <w:rPr>
          <w:rFonts w:hint="eastAsia" w:hAnsi="宋体"/>
          <w:b/>
          <w:sz w:val="24"/>
          <w:szCs w:val="24"/>
          <w:highlight w:val="none"/>
          <w:lang w:eastAsia="zh-CN"/>
        </w:rPr>
        <w:t>项目</w:t>
      </w:r>
      <w:r>
        <w:rPr>
          <w:rFonts w:hint="eastAsia" w:hAnsi="宋体"/>
          <w:b/>
          <w:sz w:val="24"/>
          <w:szCs w:val="24"/>
          <w:highlight w:val="none"/>
        </w:rPr>
        <w:t>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697"/>
        <w:gridCol w:w="1985"/>
      </w:tblGrid>
      <w:tr w14:paraId="4F30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ign w:val="top"/>
          </w:tcPr>
          <w:p w14:paraId="3342C85A">
            <w:pPr>
              <w:pStyle w:val="21"/>
              <w:adjustRightInd w:val="0"/>
              <w:snapToGrid w:val="0"/>
              <w:spacing w:line="500" w:lineRule="exact"/>
              <w:jc w:val="center"/>
              <w:rPr>
                <w:rFonts w:hAnsi="宋体"/>
                <w:b/>
                <w:sz w:val="24"/>
                <w:szCs w:val="24"/>
                <w:highlight w:val="none"/>
              </w:rPr>
            </w:pPr>
            <w:r>
              <w:rPr>
                <w:rFonts w:hint="eastAsia" w:hAnsi="宋体"/>
                <w:b/>
                <w:sz w:val="24"/>
                <w:szCs w:val="24"/>
                <w:highlight w:val="none"/>
              </w:rPr>
              <w:t>优选顺序</w:t>
            </w:r>
          </w:p>
        </w:tc>
        <w:tc>
          <w:tcPr>
            <w:tcW w:w="3697" w:type="dxa"/>
            <w:tcBorders>
              <w:top w:val="single" w:color="auto" w:sz="4" w:space="0"/>
              <w:left w:val="single" w:color="auto" w:sz="4" w:space="0"/>
              <w:bottom w:val="single" w:color="auto" w:sz="4" w:space="0"/>
              <w:right w:val="single" w:color="auto" w:sz="4" w:space="0"/>
            </w:tcBorders>
            <w:noWrap/>
            <w:vAlign w:val="top"/>
          </w:tcPr>
          <w:p w14:paraId="23463C09">
            <w:pPr>
              <w:pStyle w:val="21"/>
              <w:adjustRightInd w:val="0"/>
              <w:snapToGrid w:val="0"/>
              <w:spacing w:line="500" w:lineRule="exact"/>
              <w:jc w:val="center"/>
              <w:rPr>
                <w:rFonts w:hAnsi="宋体"/>
                <w:b/>
                <w:sz w:val="24"/>
                <w:szCs w:val="24"/>
                <w:highlight w:val="none"/>
              </w:rPr>
            </w:pPr>
            <w:r>
              <w:rPr>
                <w:rFonts w:hint="eastAsia" w:hAnsi="宋体"/>
                <w:b/>
                <w:sz w:val="24"/>
                <w:szCs w:val="24"/>
                <w:highlight w:val="none"/>
              </w:rPr>
              <w:t>所选标段</w:t>
            </w:r>
          </w:p>
        </w:tc>
        <w:tc>
          <w:tcPr>
            <w:tcW w:w="1985" w:type="dxa"/>
            <w:tcBorders>
              <w:top w:val="single" w:color="auto" w:sz="4" w:space="0"/>
              <w:left w:val="single" w:color="auto" w:sz="4" w:space="0"/>
              <w:bottom w:val="single" w:color="auto" w:sz="4" w:space="0"/>
              <w:right w:val="single" w:color="auto" w:sz="4" w:space="0"/>
            </w:tcBorders>
            <w:noWrap/>
            <w:vAlign w:val="top"/>
          </w:tcPr>
          <w:p w14:paraId="7D447AB4">
            <w:pPr>
              <w:pStyle w:val="21"/>
              <w:adjustRightInd w:val="0"/>
              <w:snapToGrid w:val="0"/>
              <w:spacing w:line="500" w:lineRule="exact"/>
              <w:jc w:val="center"/>
              <w:rPr>
                <w:rFonts w:hAnsi="宋体"/>
                <w:b/>
                <w:sz w:val="24"/>
                <w:szCs w:val="24"/>
                <w:highlight w:val="none"/>
              </w:rPr>
            </w:pPr>
            <w:r>
              <w:rPr>
                <w:rFonts w:hint="eastAsia" w:hAnsi="宋体"/>
                <w:b/>
                <w:sz w:val="24"/>
                <w:szCs w:val="24"/>
                <w:highlight w:val="none"/>
              </w:rPr>
              <w:t>备注</w:t>
            </w:r>
          </w:p>
        </w:tc>
      </w:tr>
      <w:tr w14:paraId="164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ign w:val="top"/>
          </w:tcPr>
          <w:p w14:paraId="7882B134">
            <w:pPr>
              <w:pStyle w:val="21"/>
              <w:adjustRightInd w:val="0"/>
              <w:snapToGrid w:val="0"/>
              <w:spacing w:line="500" w:lineRule="exact"/>
              <w:jc w:val="center"/>
              <w:rPr>
                <w:rFonts w:hAnsi="宋体"/>
                <w:b/>
                <w:sz w:val="24"/>
                <w:szCs w:val="24"/>
                <w:highlight w:val="none"/>
              </w:rPr>
            </w:pPr>
            <w:r>
              <w:rPr>
                <w:rFonts w:hint="eastAsia" w:hAnsi="宋体"/>
                <w:b/>
                <w:sz w:val="24"/>
                <w:szCs w:val="24"/>
                <w:highlight w:val="none"/>
              </w:rPr>
              <w:t>1</w:t>
            </w:r>
          </w:p>
        </w:tc>
        <w:tc>
          <w:tcPr>
            <w:tcW w:w="3697" w:type="dxa"/>
            <w:tcBorders>
              <w:top w:val="single" w:color="auto" w:sz="4" w:space="0"/>
              <w:left w:val="single" w:color="auto" w:sz="4" w:space="0"/>
              <w:bottom w:val="single" w:color="auto" w:sz="4" w:space="0"/>
              <w:right w:val="single" w:color="auto" w:sz="4" w:space="0"/>
            </w:tcBorders>
            <w:noWrap/>
            <w:vAlign w:val="top"/>
          </w:tcPr>
          <w:p w14:paraId="02054DCE">
            <w:pPr>
              <w:pStyle w:val="21"/>
              <w:adjustRightInd w:val="0"/>
              <w:snapToGrid w:val="0"/>
              <w:spacing w:line="500" w:lineRule="exact"/>
              <w:jc w:val="center"/>
              <w:rPr>
                <w:rFonts w:hAnsi="宋体"/>
                <w:b/>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ign w:val="top"/>
          </w:tcPr>
          <w:p w14:paraId="5F98891D">
            <w:pPr>
              <w:pStyle w:val="21"/>
              <w:adjustRightInd w:val="0"/>
              <w:snapToGrid w:val="0"/>
              <w:spacing w:line="500" w:lineRule="exact"/>
              <w:jc w:val="center"/>
              <w:rPr>
                <w:rFonts w:hAnsi="宋体"/>
                <w:b/>
                <w:sz w:val="24"/>
                <w:szCs w:val="24"/>
                <w:highlight w:val="none"/>
              </w:rPr>
            </w:pPr>
          </w:p>
        </w:tc>
      </w:tr>
      <w:tr w14:paraId="455F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ign w:val="top"/>
          </w:tcPr>
          <w:p w14:paraId="59057917">
            <w:pPr>
              <w:pStyle w:val="21"/>
              <w:adjustRightInd w:val="0"/>
              <w:snapToGrid w:val="0"/>
              <w:spacing w:line="500" w:lineRule="exact"/>
              <w:jc w:val="center"/>
              <w:rPr>
                <w:rFonts w:hAnsi="宋体"/>
                <w:b/>
                <w:sz w:val="24"/>
                <w:szCs w:val="24"/>
                <w:highlight w:val="none"/>
              </w:rPr>
            </w:pPr>
            <w:r>
              <w:rPr>
                <w:rFonts w:hint="eastAsia" w:hAnsi="宋体"/>
                <w:b/>
                <w:sz w:val="24"/>
                <w:szCs w:val="24"/>
                <w:highlight w:val="none"/>
              </w:rPr>
              <w:t>2</w:t>
            </w:r>
          </w:p>
        </w:tc>
        <w:tc>
          <w:tcPr>
            <w:tcW w:w="3697" w:type="dxa"/>
            <w:tcBorders>
              <w:top w:val="single" w:color="auto" w:sz="4" w:space="0"/>
              <w:left w:val="single" w:color="auto" w:sz="4" w:space="0"/>
              <w:bottom w:val="single" w:color="auto" w:sz="4" w:space="0"/>
              <w:right w:val="single" w:color="auto" w:sz="4" w:space="0"/>
            </w:tcBorders>
            <w:noWrap/>
            <w:vAlign w:val="top"/>
          </w:tcPr>
          <w:p w14:paraId="3CA381C0">
            <w:pPr>
              <w:pStyle w:val="21"/>
              <w:adjustRightInd w:val="0"/>
              <w:snapToGrid w:val="0"/>
              <w:spacing w:line="500" w:lineRule="exact"/>
              <w:jc w:val="center"/>
              <w:rPr>
                <w:rFonts w:hAnsi="宋体"/>
                <w:b/>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ign w:val="top"/>
          </w:tcPr>
          <w:p w14:paraId="2EEC2642">
            <w:pPr>
              <w:pStyle w:val="21"/>
              <w:adjustRightInd w:val="0"/>
              <w:snapToGrid w:val="0"/>
              <w:spacing w:line="500" w:lineRule="exact"/>
              <w:jc w:val="center"/>
              <w:rPr>
                <w:rFonts w:hAnsi="宋体"/>
                <w:b/>
                <w:sz w:val="24"/>
                <w:szCs w:val="24"/>
                <w:highlight w:val="none"/>
              </w:rPr>
            </w:pPr>
          </w:p>
        </w:tc>
      </w:tr>
    </w:tbl>
    <w:p w14:paraId="0D2EC764">
      <w:pPr>
        <w:pStyle w:val="21"/>
        <w:adjustRightInd w:val="0"/>
        <w:snapToGrid w:val="0"/>
        <w:spacing w:line="500" w:lineRule="exact"/>
        <w:jc w:val="left"/>
        <w:rPr>
          <w:rFonts w:hint="default" w:hAnsi="宋体"/>
          <w:b/>
          <w:sz w:val="22"/>
          <w:szCs w:val="22"/>
          <w:highlight w:val="none"/>
        </w:rPr>
      </w:pPr>
      <w:r>
        <w:rPr>
          <w:rFonts w:hint="eastAsia" w:hAnsi="宋体"/>
          <w:b/>
          <w:sz w:val="22"/>
          <w:szCs w:val="22"/>
          <w:highlight w:val="none"/>
          <w:lang w:eastAsia="zh-CN"/>
        </w:rPr>
        <w:t>注：</w:t>
      </w:r>
      <w:r>
        <w:rPr>
          <w:rFonts w:hint="default" w:hAnsi="宋体"/>
          <w:b/>
          <w:sz w:val="22"/>
          <w:szCs w:val="22"/>
          <w:highlight w:val="none"/>
        </w:rPr>
        <w:t>本项目共划分2个标段，每个投标人允许同时参与2个标段，但每个投标人最多允许中标其中1个标段，投多个标段的投标单位必须递交“投标排序优先选择表”，且各标段投标文件中的排序必须</w:t>
      </w:r>
      <w:r>
        <w:rPr>
          <w:rFonts w:hint="eastAsia" w:hAnsi="宋体"/>
          <w:b/>
          <w:sz w:val="22"/>
          <w:szCs w:val="22"/>
          <w:highlight w:val="none"/>
          <w:lang w:eastAsia="zh-CN"/>
        </w:rPr>
        <w:t>一致</w:t>
      </w:r>
      <w:r>
        <w:rPr>
          <w:rFonts w:hint="default" w:hAnsi="宋体"/>
          <w:b/>
          <w:sz w:val="22"/>
          <w:szCs w:val="22"/>
          <w:highlight w:val="none"/>
        </w:rPr>
        <w:t>，否则按废标处理。</w:t>
      </w:r>
    </w:p>
    <w:p w14:paraId="71F0148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A6CB367">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E46AC12">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0D2849C1">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2B12B872">
      <w:pPr>
        <w:pStyle w:val="1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Times New Roman"/>
          <w:color w:val="auto"/>
          <w:sz w:val="31"/>
          <w:szCs w:val="31"/>
          <w:highlight w:val="none"/>
          <w:lang w:eastAsia="zh-CN"/>
        </w:rPr>
      </w:pPr>
      <w:r>
        <w:rPr>
          <w:rFonts w:hint="eastAsia" w:ascii="Times New Roman" w:eastAsia="黑体" w:cs="Times New Roman"/>
          <w:color w:val="auto"/>
          <w:sz w:val="31"/>
          <w:szCs w:val="31"/>
          <w:highlight w:val="none"/>
          <w:u w:val="single"/>
          <w:lang w:eastAsia="zh-CN"/>
        </w:rPr>
        <w:t>辽宁省</w:t>
      </w:r>
    </w:p>
    <w:p w14:paraId="47D53593">
      <w:pPr>
        <w:pageBreakBefore w:val="0"/>
        <w:kinsoku/>
        <w:wordWrap w:val="0"/>
        <w:bidi w:val="0"/>
        <w:spacing w:line="440" w:lineRule="exact"/>
        <w:rPr>
          <w:rFonts w:hint="default" w:ascii="Times New Roman" w:hAnsi="Times New Roman" w:eastAsia="黑体" w:cs="Times New Roman"/>
          <w:color w:val="auto"/>
          <w:sz w:val="24"/>
          <w:highlight w:val="none"/>
          <w:lang w:val="en-US" w:eastAsia="zh-CN"/>
        </w:rPr>
      </w:pP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（项目名称）</w:t>
      </w:r>
      <w:r>
        <w:rPr>
          <w:rFonts w:hint="default" w:ascii="Times New Roman" w:hAnsi="Times New Roman" w:eastAsia="黑体" w:cs="Times New Roman"/>
          <w:b w:val="0"/>
          <w:bCs w:val="0"/>
          <w:color w:val="auto"/>
          <w:sz w:val="31"/>
          <w:szCs w:val="31"/>
          <w:highlight w:val="none"/>
          <w:u w:val="single"/>
        </w:rPr>
        <w:t xml:space="preserve">          </w:t>
      </w:r>
      <w:r>
        <w:rPr>
          <w:rFonts w:hint="default" w:ascii="Times New Roman" w:hAnsi="Times New Roman" w:eastAsia="黑体" w:cs="Times New Roman"/>
          <w:b w:val="0"/>
          <w:bCs w:val="0"/>
          <w:color w:val="auto"/>
          <w:sz w:val="31"/>
          <w:szCs w:val="31"/>
          <w:highlight w:val="none"/>
        </w:rPr>
        <w:t>（</w:t>
      </w:r>
      <w:r>
        <w:rPr>
          <w:rFonts w:hint="default" w:ascii="Times New Roman" w:hAnsi="Times New Roman" w:eastAsia="黑体" w:cs="Times New Roman"/>
          <w:b w:val="0"/>
          <w:bCs w:val="0"/>
          <w:color w:val="auto"/>
          <w:sz w:val="31"/>
          <w:szCs w:val="31"/>
          <w:highlight w:val="none"/>
          <w:lang w:val="en-US" w:eastAsia="zh-CN"/>
        </w:rPr>
        <w:t>标段</w:t>
      </w:r>
      <w:r>
        <w:rPr>
          <w:rFonts w:hint="default" w:ascii="Times New Roman" w:hAnsi="Times New Roman" w:eastAsia="黑体" w:cs="Times New Roman"/>
          <w:b w:val="0"/>
          <w:bCs w:val="0"/>
          <w:color w:val="auto"/>
          <w:sz w:val="31"/>
          <w:szCs w:val="31"/>
          <w:highlight w:val="none"/>
        </w:rPr>
        <w:t>名称）</w:t>
      </w:r>
      <w:r>
        <w:rPr>
          <w:rFonts w:hint="default" w:ascii="Times New Roman" w:hAnsi="Times New Roman" w:eastAsia="黑体" w:cs="Times New Roman"/>
          <w:b w:val="0"/>
          <w:bCs w:val="0"/>
          <w:color w:val="auto"/>
          <w:sz w:val="31"/>
          <w:szCs w:val="31"/>
          <w:highlight w:val="none"/>
          <w:lang w:val="en-US" w:eastAsia="zh-CN"/>
        </w:rPr>
        <w:t>施工招标</w:t>
      </w:r>
    </w:p>
    <w:p w14:paraId="7D7857D5">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t xml:space="preserve"> </w:t>
      </w:r>
    </w:p>
    <w:p w14:paraId="1B8423D4">
      <w:pPr>
        <w:pageBreakBefore w:val="0"/>
        <w:kinsoku/>
        <w:wordWrap w:val="0"/>
        <w:bidi w:val="0"/>
        <w:spacing w:line="440" w:lineRule="exact"/>
        <w:rPr>
          <w:rFonts w:hint="default" w:ascii="Times New Roman" w:hAnsi="Times New Roman" w:eastAsia="黑体" w:cs="Times New Roman"/>
          <w:color w:val="auto"/>
          <w:sz w:val="40"/>
          <w:szCs w:val="40"/>
          <w:highlight w:val="none"/>
        </w:rPr>
      </w:pPr>
    </w:p>
    <w:p w14:paraId="600ED52A">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0D2ECE2C">
      <w:pPr>
        <w:pStyle w:val="17"/>
        <w:rPr>
          <w:rFonts w:hint="default" w:ascii="Times New Roman" w:hAnsi="Times New Roman" w:eastAsia="黑体" w:cs="Times New Roman"/>
          <w:color w:val="auto"/>
          <w:sz w:val="40"/>
          <w:szCs w:val="40"/>
          <w:highlight w:val="none"/>
        </w:rPr>
      </w:pPr>
    </w:p>
    <w:p w14:paraId="5BC75F62">
      <w:pPr>
        <w:pStyle w:val="17"/>
        <w:rPr>
          <w:rFonts w:hint="default" w:ascii="Times New Roman" w:hAnsi="Times New Roman" w:eastAsia="黑体" w:cs="Times New Roman"/>
          <w:color w:val="auto"/>
          <w:sz w:val="40"/>
          <w:szCs w:val="40"/>
          <w:highlight w:val="none"/>
        </w:rPr>
      </w:pPr>
    </w:p>
    <w:p w14:paraId="4F562A40">
      <w:pPr>
        <w:pStyle w:val="17"/>
        <w:rPr>
          <w:rFonts w:hint="default" w:ascii="Times New Roman" w:hAnsi="Times New Roman" w:eastAsia="黑体" w:cs="Times New Roman"/>
          <w:color w:val="auto"/>
          <w:sz w:val="40"/>
          <w:szCs w:val="40"/>
          <w:highlight w:val="none"/>
        </w:rPr>
      </w:pPr>
    </w:p>
    <w:p w14:paraId="31030679">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0FDE6541">
      <w:pPr>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黑体" w:cs="Times New Roman"/>
          <w:b w:val="0"/>
          <w:color w:val="auto"/>
          <w:sz w:val="72"/>
          <w:szCs w:val="72"/>
          <w:highlight w:val="none"/>
        </w:rPr>
      </w:pPr>
      <w:bookmarkStart w:id="1712" w:name="_Toc25715"/>
      <w:bookmarkStart w:id="1713" w:name="_Toc11826"/>
      <w:bookmarkStart w:id="1714" w:name="_Toc9419"/>
      <w:r>
        <w:rPr>
          <w:rFonts w:hint="default" w:ascii="Times New Roman" w:hAnsi="Times New Roman" w:eastAsia="黑体" w:cs="Times New Roman"/>
          <w:b w:val="0"/>
          <w:color w:val="auto"/>
          <w:sz w:val="72"/>
          <w:szCs w:val="72"/>
          <w:highlight w:val="none"/>
        </w:rPr>
        <w:t>投  标  文  件</w:t>
      </w:r>
      <w:bookmarkEnd w:id="1712"/>
      <w:bookmarkEnd w:id="1713"/>
      <w:bookmarkEnd w:id="1714"/>
    </w:p>
    <w:p w14:paraId="6032928A">
      <w:pPr>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黑体" w:cs="Times New Roman"/>
          <w:b w:val="0"/>
          <w:color w:val="auto"/>
          <w:sz w:val="30"/>
          <w:szCs w:val="30"/>
          <w:highlight w:val="none"/>
        </w:rPr>
      </w:pPr>
      <w:bookmarkStart w:id="1715" w:name="_Toc5781"/>
      <w:bookmarkStart w:id="1716" w:name="_Toc7412"/>
      <w:bookmarkStart w:id="1717" w:name="_Toc17899"/>
      <w:bookmarkStart w:id="1718" w:name="_Toc16866"/>
      <w:r>
        <w:rPr>
          <w:rFonts w:hint="default" w:ascii="Times New Roman" w:hAnsi="Times New Roman" w:eastAsia="黑体" w:cs="Times New Roman"/>
          <w:b w:val="0"/>
          <w:color w:val="auto"/>
          <w:sz w:val="32"/>
          <w:szCs w:val="32"/>
          <w:highlight w:val="none"/>
        </w:rPr>
        <w:t>（</w:t>
      </w:r>
      <w:r>
        <w:rPr>
          <w:rFonts w:hint="default" w:ascii="Times New Roman" w:hAnsi="Times New Roman" w:eastAsia="黑体" w:cs="Times New Roman"/>
          <w:b w:val="0"/>
          <w:color w:val="auto"/>
          <w:sz w:val="32"/>
          <w:szCs w:val="32"/>
          <w:highlight w:val="none"/>
          <w:lang w:val="en-US" w:eastAsia="zh-CN"/>
        </w:rPr>
        <w:t>第二个信封</w:t>
      </w:r>
      <w:r>
        <w:rPr>
          <w:rFonts w:hint="default" w:ascii="Times New Roman" w:hAnsi="Times New Roman" w:cs="Times New Roman"/>
          <w:b w:val="0"/>
          <w:color w:val="auto"/>
          <w:sz w:val="32"/>
          <w:szCs w:val="32"/>
          <w:highlight w:val="none"/>
          <w:lang w:val="en-US" w:eastAsia="zh-CN"/>
        </w:rPr>
        <w:t xml:space="preserve"> </w:t>
      </w:r>
      <w:r>
        <w:rPr>
          <w:rFonts w:hint="default" w:ascii="Times New Roman" w:hAnsi="Times New Roman" w:eastAsia="黑体" w:cs="Times New Roman"/>
          <w:b w:val="0"/>
          <w:color w:val="auto"/>
          <w:sz w:val="32"/>
          <w:szCs w:val="32"/>
          <w:highlight w:val="none"/>
        </w:rPr>
        <w:t>报价文件）</w:t>
      </w:r>
      <w:bookmarkEnd w:id="1715"/>
      <w:bookmarkEnd w:id="1716"/>
      <w:bookmarkEnd w:id="1717"/>
      <w:bookmarkEnd w:id="1718"/>
    </w:p>
    <w:p w14:paraId="097DD9D8">
      <w:pPr>
        <w:pageBreakBefore w:val="0"/>
        <w:kinsoku/>
        <w:wordWrap w:val="0"/>
        <w:bidi w:val="0"/>
        <w:spacing w:line="440" w:lineRule="exact"/>
        <w:jc w:val="center"/>
        <w:rPr>
          <w:rFonts w:hint="default" w:ascii="Times New Roman" w:hAnsi="Times New Roman" w:eastAsia="黑体" w:cs="Times New Roman"/>
          <w:color w:val="auto"/>
          <w:sz w:val="40"/>
          <w:szCs w:val="40"/>
          <w:highlight w:val="none"/>
        </w:rPr>
      </w:pPr>
    </w:p>
    <w:p w14:paraId="2B817389">
      <w:pPr>
        <w:pageBreakBefore w:val="0"/>
        <w:kinsoku/>
        <w:wordWrap w:val="0"/>
        <w:bidi w:val="0"/>
        <w:spacing w:line="440" w:lineRule="exact"/>
        <w:jc w:val="center"/>
        <w:rPr>
          <w:rFonts w:hint="default" w:ascii="Times New Roman" w:hAnsi="Times New Roman" w:eastAsia="黑体" w:cs="Times New Roman"/>
          <w:color w:val="auto"/>
          <w:sz w:val="36"/>
          <w:szCs w:val="36"/>
          <w:highlight w:val="none"/>
        </w:rPr>
      </w:pPr>
    </w:p>
    <w:p w14:paraId="1395442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2B3B85F">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60C942C">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38864E9">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591059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2E920C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AF72E17">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151A7C4">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CA0FD60">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投标人：</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w:t>
      </w:r>
      <w:r>
        <w:rPr>
          <w:rFonts w:hint="default" w:ascii="Times New Roman" w:hAnsi="Times New Roman" w:eastAsia="黑体" w:cs="Times New Roman"/>
          <w:color w:val="auto"/>
          <w:sz w:val="28"/>
          <w:szCs w:val="28"/>
          <w:highlight w:val="none"/>
          <w:lang w:eastAsia="zh-CN"/>
        </w:rPr>
        <w:t>盖单位电子印章</w:t>
      </w:r>
      <w:r>
        <w:rPr>
          <w:rFonts w:hint="default" w:ascii="Times New Roman" w:hAnsi="Times New Roman" w:eastAsia="黑体" w:cs="Times New Roman"/>
          <w:color w:val="auto"/>
          <w:sz w:val="28"/>
          <w:szCs w:val="28"/>
          <w:highlight w:val="none"/>
        </w:rPr>
        <w:t>）</w:t>
      </w:r>
    </w:p>
    <w:p w14:paraId="4EAD2FD9">
      <w:pPr>
        <w:pageBreakBefore w:val="0"/>
        <w:kinsoku/>
        <w:wordWrap w:val="0"/>
        <w:bidi w:val="0"/>
        <w:spacing w:line="440" w:lineRule="exact"/>
        <w:rPr>
          <w:rFonts w:hint="default" w:ascii="Times New Roman" w:hAnsi="Times New Roman" w:eastAsia="黑体" w:cs="Times New Roman"/>
          <w:color w:val="auto"/>
          <w:sz w:val="28"/>
          <w:szCs w:val="28"/>
          <w:highlight w:val="none"/>
        </w:rPr>
      </w:pPr>
    </w:p>
    <w:p w14:paraId="5A7015B7">
      <w:pPr>
        <w:pageBreakBefore w:val="0"/>
        <w:kinsoku/>
        <w:wordWrap w:val="0"/>
        <w:bidi w:val="0"/>
        <w:spacing w:line="44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年</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月</w:t>
      </w:r>
      <w:r>
        <w:rPr>
          <w:rFonts w:hint="default" w:ascii="Times New Roman" w:hAnsi="Times New Roman" w:eastAsia="黑体" w:cs="Times New Roman"/>
          <w:color w:val="auto"/>
          <w:sz w:val="28"/>
          <w:szCs w:val="28"/>
          <w:highlight w:val="none"/>
          <w:u w:val="single"/>
        </w:rPr>
        <w:t xml:space="preserve">         </w:t>
      </w:r>
      <w:r>
        <w:rPr>
          <w:rFonts w:hint="default" w:ascii="Times New Roman" w:hAnsi="Times New Roman" w:eastAsia="黑体" w:cs="Times New Roman"/>
          <w:color w:val="auto"/>
          <w:sz w:val="28"/>
          <w:szCs w:val="28"/>
          <w:highlight w:val="none"/>
        </w:rPr>
        <w:t>日</w:t>
      </w:r>
    </w:p>
    <w:p w14:paraId="79EBB00F">
      <w:pPr>
        <w:pageBreakBefore w:val="0"/>
        <w:kinsoku/>
        <w:wordWrap w:val="0"/>
        <w:bidi w:val="0"/>
        <w:spacing w:line="440" w:lineRule="exact"/>
        <w:ind w:firstLine="140" w:firstLineChars="5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br w:type="page"/>
      </w:r>
    </w:p>
    <w:p w14:paraId="3C62150A">
      <w:pPr>
        <w:pageBreakBefore w:val="0"/>
        <w:kinsoku/>
        <w:wordWrap w:val="0"/>
        <w:bidi w:val="0"/>
        <w:spacing w:line="440" w:lineRule="exact"/>
        <w:ind w:firstLine="151" w:firstLineChars="50"/>
        <w:jc w:val="center"/>
        <w:rPr>
          <w:rFonts w:hint="default" w:ascii="Times New Roman" w:hAnsi="Times New Roman" w:eastAsia="黑体" w:cs="Times New Roman"/>
          <w:b/>
          <w:color w:val="auto"/>
          <w:sz w:val="30"/>
          <w:szCs w:val="30"/>
          <w:highlight w:val="none"/>
        </w:rPr>
      </w:pPr>
      <w:r>
        <w:rPr>
          <w:rFonts w:hint="default" w:ascii="Times New Roman" w:hAnsi="Times New Roman" w:eastAsia="黑体" w:cs="Times New Roman"/>
          <w:b/>
          <w:color w:val="auto"/>
          <w:sz w:val="30"/>
          <w:szCs w:val="30"/>
          <w:highlight w:val="none"/>
        </w:rPr>
        <w:t>目     录</w:t>
      </w:r>
    </w:p>
    <w:p w14:paraId="00A3BBB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5FE6B48E">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一、投标函</w:t>
      </w:r>
    </w:p>
    <w:p w14:paraId="1BD1203D">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二、已标价工程量清单</w:t>
      </w:r>
    </w:p>
    <w:p w14:paraId="0BB267B4">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三、合同用款估算表</w:t>
      </w:r>
    </w:p>
    <w:p w14:paraId="556EE978">
      <w:pPr>
        <w:pageBreakBefore w:val="0"/>
        <w:kinsoku/>
        <w:wordWrap w:val="0"/>
        <w:bidi w:val="0"/>
        <w:spacing w:line="440" w:lineRule="exact"/>
        <w:ind w:left="1619" w:leftChars="771" w:firstLine="1"/>
        <w:rPr>
          <w:rFonts w:hint="default" w:ascii="Times New Roman" w:hAnsi="Times New Roman" w:cs="Times New Roman"/>
          <w:color w:val="auto"/>
          <w:sz w:val="24"/>
          <w:highlight w:val="none"/>
        </w:rPr>
      </w:pPr>
    </w:p>
    <w:p w14:paraId="30EF80FE">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color w:val="auto"/>
          <w:sz w:val="20"/>
          <w:szCs w:val="20"/>
          <w:highlight w:val="none"/>
        </w:rPr>
      </w:pPr>
    </w:p>
    <w:p w14:paraId="74AD206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2BD1DBE">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7B0FD10">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1F60BAB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6AA6AC7">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1211FAB">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0A25FFD2">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2446043F">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7298824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63853A2A">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3EA42C5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B866321">
      <w:pPr>
        <w:pageBreakBefore w:val="0"/>
        <w:kinsoku/>
        <w:wordWrap w:val="0"/>
        <w:bidi w:val="0"/>
        <w:spacing w:line="440" w:lineRule="exact"/>
        <w:rPr>
          <w:rFonts w:hint="default" w:ascii="Times New Roman" w:hAnsi="Times New Roman" w:eastAsia="黑体" w:cs="Times New Roman"/>
          <w:color w:val="auto"/>
          <w:sz w:val="20"/>
          <w:szCs w:val="20"/>
          <w:highlight w:val="none"/>
        </w:rPr>
      </w:pPr>
    </w:p>
    <w:p w14:paraId="4AB9FDEB">
      <w:pPr>
        <w:pageBreakBefore w:val="0"/>
        <w:kinsoku/>
        <w:wordWrap w:val="0"/>
        <w:bidi w:val="0"/>
        <w:spacing w:line="440" w:lineRule="exact"/>
        <w:rPr>
          <w:rFonts w:hint="default" w:ascii="Times New Roman" w:hAnsi="Times New Roman" w:eastAsia="黑体" w:cs="Times New Roman"/>
          <w:color w:val="auto"/>
          <w:sz w:val="20"/>
          <w:szCs w:val="20"/>
          <w:highlight w:val="none"/>
        </w:rPr>
      </w:pPr>
      <w:r>
        <w:rPr>
          <w:rFonts w:hint="default" w:ascii="Times New Roman" w:hAnsi="Times New Roman" w:eastAsia="黑体" w:cs="Times New Roman"/>
          <w:color w:val="auto"/>
          <w:sz w:val="20"/>
          <w:szCs w:val="20"/>
          <w:highlight w:val="none"/>
        </w:rPr>
        <w:br w:type="page"/>
      </w:r>
    </w:p>
    <w:p w14:paraId="119E5AA2">
      <w:pPr>
        <w:pStyle w:val="7"/>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bookmarkStart w:id="1719" w:name="_Toc13802"/>
      <w:bookmarkStart w:id="1720" w:name="_Toc29275"/>
      <w:r>
        <w:rPr>
          <w:rFonts w:hint="default" w:ascii="Times New Roman" w:hAnsi="Times New Roman" w:eastAsia="黑体" w:cs="Times New Roman"/>
          <w:b w:val="0"/>
          <w:i w:val="0"/>
          <w:iCs/>
          <w:color w:val="auto"/>
          <w:sz w:val="30"/>
          <w:szCs w:val="30"/>
          <w:highlight w:val="none"/>
          <w:lang w:val="en-US" w:eastAsia="zh-CN"/>
        </w:rPr>
        <w:t>一、投标函</w:t>
      </w:r>
      <w:bookmarkEnd w:id="1719"/>
      <w:bookmarkEnd w:id="1720"/>
    </w:p>
    <w:p w14:paraId="771C97C9">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color w:val="auto"/>
          <w:sz w:val="28"/>
          <w:szCs w:val="28"/>
          <w:highlight w:val="none"/>
        </w:rPr>
      </w:pPr>
    </w:p>
    <w:p w14:paraId="61401791">
      <w:pPr>
        <w:pageBreakBefore w:val="0"/>
        <w:kinsoku/>
        <w:wordWrap w:val="0"/>
        <w:bidi w:val="0"/>
        <w:spacing w:before="240" w:beforeLines="100" w:after="120" w:afterLines="50"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（招标人名称）：</w:t>
      </w:r>
    </w:p>
    <w:p w14:paraId="128A8AF6">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1．我方已仔细研究</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标段名称</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施工招标文件的全部内容（含补遗书第___号至第___号），在考察工程现场后，愿意以人民币（大写）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）的投标总报价（或根据招标文件规定修正核实后确定的另一金额，其中，增值税税率为</w:t>
      </w:r>
      <w:r>
        <w:rPr>
          <w:rFonts w:hint="default" w:ascii="Times New Roman" w:hAnsi="Times New Roman" w:eastAsia="黑体" w:cs="Times New Roman"/>
          <w:color w:val="auto"/>
          <w:sz w:val="24"/>
          <w:highlight w:val="none"/>
          <w:u w:val="single"/>
        </w:rPr>
        <w:t xml:space="preserve">         </w:t>
      </w:r>
      <w:r>
        <w:rPr>
          <w:rFonts w:hint="default" w:ascii="Times New Roman" w:hAnsi="Times New Roman" w:cs="Times New Roman"/>
          <w:color w:val="auto"/>
          <w:sz w:val="24"/>
          <w:highlight w:val="none"/>
        </w:rPr>
        <w:t>），按合同约定实施和完成承包工程，修补工程中的任何缺陷。</w:t>
      </w:r>
    </w:p>
    <w:p w14:paraId="33658B7E">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2．在合同协议书正式签署生效之前，本投标函连同你方的中标通知书将构成我们双方之间共同遵守的文件，对双方具有约束力。</w:t>
      </w:r>
    </w:p>
    <w:p w14:paraId="46762920">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（其他补充说明）。</w:t>
      </w:r>
    </w:p>
    <w:p w14:paraId="6C124E34">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p>
    <w:p w14:paraId="7664129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 标 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w:t>
      </w:r>
      <w:r>
        <w:rPr>
          <w:rFonts w:hint="default" w:ascii="Times New Roman" w:hAnsi="Times New Roman" w:cs="Times New Roman"/>
          <w:color w:val="auto"/>
          <w:sz w:val="24"/>
          <w:highlight w:val="none"/>
          <w:lang w:val="en-US" w:eastAsia="zh-CN"/>
        </w:rPr>
        <w:t>电子印</w:t>
      </w:r>
      <w:r>
        <w:rPr>
          <w:rFonts w:hint="default" w:ascii="Times New Roman" w:hAnsi="Times New Roman" w:cs="Times New Roman"/>
          <w:color w:val="auto"/>
          <w:sz w:val="24"/>
          <w:highlight w:val="none"/>
        </w:rPr>
        <w:t>章）</w:t>
      </w:r>
    </w:p>
    <w:p w14:paraId="5E1EE1A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（个人</w:t>
      </w:r>
      <w:r>
        <w:rPr>
          <w:rFonts w:hint="eastAsia" w:cs="Times New Roman"/>
          <w:color w:val="auto"/>
          <w:sz w:val="24"/>
          <w:highlight w:val="none"/>
          <w:lang w:eastAsia="zh-CN"/>
        </w:rPr>
        <w:t>电子签名</w:t>
      </w:r>
      <w:r>
        <w:rPr>
          <w:rFonts w:hint="default" w:ascii="Times New Roman" w:hAnsi="Times New Roman" w:cs="Times New Roman"/>
          <w:color w:val="auto"/>
          <w:sz w:val="24"/>
          <w:highlight w:val="none"/>
        </w:rPr>
        <w:t>或个人电子印章）</w:t>
      </w:r>
    </w:p>
    <w:p w14:paraId="5B50E215">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95F6DB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网    址：</w:t>
      </w:r>
      <w:r>
        <w:rPr>
          <w:rFonts w:hint="default" w:ascii="Times New Roman" w:hAnsi="Times New Roman" w:cs="Times New Roman"/>
          <w:color w:val="auto"/>
          <w:sz w:val="24"/>
          <w:highlight w:val="none"/>
          <w:u w:val="single"/>
        </w:rPr>
        <w:t xml:space="preserve">                                     </w:t>
      </w:r>
    </w:p>
    <w:p w14:paraId="447D01E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5AC492D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传    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23B91F3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邮政编码：</w:t>
      </w:r>
      <w:r>
        <w:rPr>
          <w:rFonts w:hint="default" w:ascii="Times New Roman" w:hAnsi="Times New Roman" w:cs="Times New Roman"/>
          <w:color w:val="auto"/>
          <w:sz w:val="24"/>
          <w:highlight w:val="none"/>
          <w:u w:val="single"/>
        </w:rPr>
        <w:t xml:space="preserve">                                  </w:t>
      </w:r>
    </w:p>
    <w:p w14:paraId="5FE9300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color w:val="auto"/>
          <w:sz w:val="24"/>
          <w:highlight w:val="none"/>
        </w:rPr>
      </w:pPr>
    </w:p>
    <w:p w14:paraId="075FDBE0">
      <w:pPr>
        <w:pageBreakBefore w:val="0"/>
        <w:kinsoku/>
        <w:wordWrap w:val="0"/>
        <w:bidi w:val="0"/>
        <w:spacing w:line="400" w:lineRule="atLeast"/>
        <w:ind w:firstLine="4740" w:firstLineChars="197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rPr>
        <w:br w:type="page"/>
      </w:r>
    </w:p>
    <w:p w14:paraId="742C64CD">
      <w:pPr>
        <w:pStyle w:val="7"/>
        <w:pageBreakBefore w:val="0"/>
        <w:kinsoku/>
        <w:wordWrap w:val="0"/>
        <w:bidi w:val="0"/>
        <w:spacing w:before="0" w:after="0" w:line="400" w:lineRule="atLeast"/>
        <w:jc w:val="center"/>
        <w:outlineLvl w:val="3"/>
        <w:rPr>
          <w:rFonts w:hint="default" w:ascii="Times New Roman" w:hAnsi="Times New Roman" w:eastAsia="黑体" w:cs="Times New Roman"/>
          <w:b w:val="0"/>
          <w:i w:val="0"/>
          <w:iCs/>
          <w:color w:val="auto"/>
          <w:sz w:val="30"/>
          <w:szCs w:val="30"/>
          <w:highlight w:val="none"/>
          <w:lang w:val="en-US" w:eastAsia="zh-CN"/>
        </w:rPr>
      </w:pPr>
      <w:bookmarkStart w:id="1721" w:name="_Toc234833263"/>
      <w:bookmarkStart w:id="1722" w:name="_Toc14806"/>
      <w:bookmarkStart w:id="1723" w:name="_Toc27163"/>
      <w:r>
        <w:rPr>
          <w:rFonts w:hint="default" w:ascii="Times New Roman" w:hAnsi="Times New Roman" w:eastAsia="黑体" w:cs="Times New Roman"/>
          <w:b w:val="0"/>
          <w:i w:val="0"/>
          <w:iCs/>
          <w:color w:val="auto"/>
          <w:sz w:val="30"/>
          <w:szCs w:val="30"/>
          <w:highlight w:val="none"/>
          <w:lang w:val="en-US" w:eastAsia="zh-CN"/>
        </w:rPr>
        <w:t>二、已标价工程量清单</w:t>
      </w:r>
      <w:bookmarkEnd w:id="1721"/>
      <w:bookmarkEnd w:id="1722"/>
      <w:bookmarkEnd w:id="1723"/>
    </w:p>
    <w:p w14:paraId="68DC620E">
      <w:pPr>
        <w:pageBreakBefore w:val="0"/>
        <w:kinsoku/>
        <w:wordWrap w:val="0"/>
        <w:bidi w:val="0"/>
        <w:spacing w:line="440" w:lineRule="exact"/>
        <w:rPr>
          <w:rFonts w:hint="default" w:ascii="Times New Roman" w:hAnsi="Times New Roman" w:eastAsia="黑体" w:cs="Times New Roman"/>
          <w:color w:val="auto"/>
          <w:sz w:val="24"/>
          <w:highlight w:val="none"/>
        </w:rPr>
      </w:pPr>
    </w:p>
    <w:p w14:paraId="17B6CB31">
      <w:pPr>
        <w:pageBreakBefore w:val="0"/>
        <w:kinsoku/>
        <w:wordWrap w:val="0"/>
        <w:bidi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投标人应按照第五章</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工程量清单</w:t>
      </w:r>
      <w:r>
        <w:rPr>
          <w:rFonts w:hint="eastAsia" w:ascii="宋体" w:hAnsi="宋体" w:eastAsia="宋体" w:cs="宋体"/>
          <w:color w:val="auto"/>
          <w:sz w:val="24"/>
          <w:highlight w:val="none"/>
        </w:rPr>
        <w:t>”</w:t>
      </w:r>
      <w:r>
        <w:rPr>
          <w:rFonts w:hint="default" w:ascii="Times New Roman" w:hAnsi="Times New Roman" w:cs="Times New Roman"/>
          <w:color w:val="auto"/>
          <w:sz w:val="24"/>
          <w:highlight w:val="none"/>
        </w:rPr>
        <w:t>的要求逐项填报工程量清单，包括工程量清单说明、投标报价说明、计日工说明、其他说明及工程量清单各项表格（工程量清单表5.1～表5.5）。</w:t>
      </w:r>
    </w:p>
    <w:p w14:paraId="65627B0A">
      <w:pPr>
        <w:pStyle w:val="7"/>
        <w:pageBreakBefore w:val="0"/>
        <w:kinsoku/>
        <w:wordWrap w:val="0"/>
        <w:bidi w:val="0"/>
        <w:spacing w:before="0" w:after="0" w:line="400" w:lineRule="atLeast"/>
        <w:jc w:val="center"/>
        <w:outlineLvl w:val="3"/>
        <w:rPr>
          <w:rFonts w:hint="default" w:ascii="Times New Roman" w:hAnsi="Times New Roman" w:eastAsia="黑体" w:cs="Times New Roman"/>
          <w:b w:val="0"/>
          <w:color w:val="auto"/>
          <w:sz w:val="28"/>
          <w:szCs w:val="28"/>
          <w:highlight w:val="none"/>
        </w:rPr>
      </w:pPr>
      <w:r>
        <w:rPr>
          <w:rFonts w:hint="default" w:ascii="Times New Roman" w:hAnsi="Times New Roman" w:eastAsia="黑体" w:cs="Times New Roman"/>
          <w:color w:val="auto"/>
          <w:sz w:val="24"/>
          <w:highlight w:val="none"/>
        </w:rPr>
        <w:br w:type="page"/>
      </w:r>
      <w:bookmarkStart w:id="1724" w:name="_Toc6563"/>
      <w:bookmarkStart w:id="1725" w:name="_Toc933"/>
      <w:bookmarkStart w:id="1726" w:name="_Toc234833274"/>
      <w:r>
        <w:rPr>
          <w:rFonts w:hint="default" w:ascii="Times New Roman" w:hAnsi="Times New Roman" w:eastAsia="黑体" w:cs="Times New Roman"/>
          <w:b w:val="0"/>
          <w:i w:val="0"/>
          <w:iCs/>
          <w:color w:val="auto"/>
          <w:sz w:val="30"/>
          <w:szCs w:val="30"/>
          <w:highlight w:val="none"/>
          <w:lang w:val="en-US" w:eastAsia="zh-CN"/>
        </w:rPr>
        <w:t>三、合同用款估算表</w:t>
      </w:r>
      <w:bookmarkEnd w:id="1724"/>
      <w:bookmarkEnd w:id="1725"/>
      <w:bookmarkEnd w:id="1726"/>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681E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6AE6014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从开工月算起的时间</w:t>
            </w:r>
          </w:p>
          <w:p w14:paraId="3F9D4C6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（月）</w:t>
            </w:r>
          </w:p>
        </w:tc>
        <w:tc>
          <w:tcPr>
            <w:tcW w:w="6191" w:type="dxa"/>
            <w:gridSpan w:val="4"/>
            <w:tcBorders>
              <w:left w:val="single" w:color="auto" w:sz="6" w:space="0"/>
            </w:tcBorders>
            <w:noWrap w:val="0"/>
            <w:vAlign w:val="center"/>
          </w:tcPr>
          <w:p w14:paraId="3B18F62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投标人的估算</w:t>
            </w:r>
          </w:p>
        </w:tc>
      </w:tr>
      <w:tr w14:paraId="2B9E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285554E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7E5AA6A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     期</w:t>
            </w:r>
          </w:p>
        </w:tc>
        <w:tc>
          <w:tcPr>
            <w:tcW w:w="3096" w:type="dxa"/>
            <w:gridSpan w:val="2"/>
            <w:tcBorders>
              <w:left w:val="single" w:color="auto" w:sz="6" w:space="0"/>
            </w:tcBorders>
            <w:noWrap w:val="0"/>
            <w:vAlign w:val="center"/>
          </w:tcPr>
          <w:p w14:paraId="1D6340D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累     计</w:t>
            </w:r>
          </w:p>
        </w:tc>
      </w:tr>
      <w:tr w14:paraId="5A21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4A3CBC1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7" w:type="dxa"/>
            <w:tcBorders>
              <w:top w:val="single" w:color="auto" w:sz="6" w:space="0"/>
              <w:left w:val="single" w:color="auto" w:sz="6" w:space="0"/>
            </w:tcBorders>
            <w:noWrap w:val="0"/>
            <w:vAlign w:val="center"/>
          </w:tcPr>
          <w:p w14:paraId="46A34D7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金额（元）</w:t>
            </w:r>
          </w:p>
        </w:tc>
        <w:tc>
          <w:tcPr>
            <w:tcW w:w="1548" w:type="dxa"/>
            <w:tcBorders>
              <w:top w:val="single" w:color="auto" w:sz="6" w:space="0"/>
            </w:tcBorders>
            <w:noWrap w:val="0"/>
            <w:vAlign w:val="center"/>
          </w:tcPr>
          <w:p w14:paraId="127746F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548" w:type="dxa"/>
            <w:noWrap w:val="0"/>
            <w:vAlign w:val="center"/>
          </w:tcPr>
          <w:p w14:paraId="236ACDC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金额（元）</w:t>
            </w:r>
          </w:p>
        </w:tc>
        <w:tc>
          <w:tcPr>
            <w:tcW w:w="1548" w:type="dxa"/>
            <w:noWrap w:val="0"/>
            <w:vAlign w:val="center"/>
          </w:tcPr>
          <w:p w14:paraId="35DB3DA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5560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93698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第一次开工预付款</w:t>
            </w:r>
          </w:p>
        </w:tc>
        <w:tc>
          <w:tcPr>
            <w:tcW w:w="1547" w:type="dxa"/>
            <w:noWrap w:val="0"/>
            <w:vAlign w:val="center"/>
          </w:tcPr>
          <w:p w14:paraId="46E76C0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62AED2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4925E72">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1ADB34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16EE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3F6907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 3</w:t>
            </w:r>
          </w:p>
        </w:tc>
        <w:tc>
          <w:tcPr>
            <w:tcW w:w="1547" w:type="dxa"/>
            <w:noWrap w:val="0"/>
            <w:vAlign w:val="center"/>
          </w:tcPr>
          <w:p w14:paraId="30739B4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23583E9">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A9B46A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7045E702">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6FCD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56AE5D8D">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 6</w:t>
            </w:r>
          </w:p>
        </w:tc>
        <w:tc>
          <w:tcPr>
            <w:tcW w:w="1547" w:type="dxa"/>
            <w:noWrap w:val="0"/>
            <w:vAlign w:val="center"/>
          </w:tcPr>
          <w:p w14:paraId="6E9D7B5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27273C9">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6A5012B">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10B22DF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3B9A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7F11246">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 ~ 9</w:t>
            </w:r>
          </w:p>
        </w:tc>
        <w:tc>
          <w:tcPr>
            <w:tcW w:w="1547" w:type="dxa"/>
            <w:noWrap w:val="0"/>
            <w:vAlign w:val="center"/>
          </w:tcPr>
          <w:p w14:paraId="6D6DAE8B">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42686F9">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A37BB9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190E73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4C1DE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66A2CC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 ~ 12</w:t>
            </w:r>
          </w:p>
        </w:tc>
        <w:tc>
          <w:tcPr>
            <w:tcW w:w="1547" w:type="dxa"/>
            <w:noWrap w:val="0"/>
            <w:vAlign w:val="center"/>
          </w:tcPr>
          <w:p w14:paraId="2EFC47A0">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1BD25E6">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5FE05E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1633EC3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3AFB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709408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 ~ 15</w:t>
            </w:r>
          </w:p>
        </w:tc>
        <w:tc>
          <w:tcPr>
            <w:tcW w:w="1547" w:type="dxa"/>
            <w:noWrap w:val="0"/>
            <w:vAlign w:val="center"/>
          </w:tcPr>
          <w:p w14:paraId="50E2F30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A867FCB">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0484D6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C121E1D">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2079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7B3839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547" w:type="dxa"/>
            <w:noWrap w:val="0"/>
            <w:vAlign w:val="center"/>
          </w:tcPr>
          <w:p w14:paraId="043B159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61DD94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DF4141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19D5C8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0D62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36FE7C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547" w:type="dxa"/>
            <w:noWrap w:val="0"/>
            <w:vAlign w:val="center"/>
          </w:tcPr>
          <w:p w14:paraId="49D093BC">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A3F7AA4">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F494CF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590156C2">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34D5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763E9D8">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7" w:type="dxa"/>
            <w:noWrap w:val="0"/>
            <w:vAlign w:val="center"/>
          </w:tcPr>
          <w:p w14:paraId="508F830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B0E6AFA">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05BE90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2078C82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12A5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5A6046E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缺陷责任期</w:t>
            </w:r>
          </w:p>
        </w:tc>
        <w:tc>
          <w:tcPr>
            <w:tcW w:w="1547" w:type="dxa"/>
            <w:noWrap w:val="0"/>
            <w:vAlign w:val="center"/>
          </w:tcPr>
          <w:p w14:paraId="3A853F3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060CEE8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EC728C5">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315144A3">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1E02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94F05B7">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      计</w:t>
            </w:r>
          </w:p>
        </w:tc>
        <w:tc>
          <w:tcPr>
            <w:tcW w:w="1547" w:type="dxa"/>
            <w:noWrap w:val="0"/>
            <w:vAlign w:val="center"/>
          </w:tcPr>
          <w:p w14:paraId="5806435E">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4545B836">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100.00</w:t>
            </w:r>
          </w:p>
        </w:tc>
        <w:tc>
          <w:tcPr>
            <w:tcW w:w="1548" w:type="dxa"/>
            <w:noWrap w:val="0"/>
            <w:vAlign w:val="center"/>
          </w:tcPr>
          <w:p w14:paraId="1BAEDCD1">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c>
          <w:tcPr>
            <w:tcW w:w="1548" w:type="dxa"/>
            <w:noWrap w:val="0"/>
            <w:vAlign w:val="center"/>
          </w:tcPr>
          <w:p w14:paraId="761CC93F">
            <w:pPr>
              <w:pageBreakBefore w:val="0"/>
              <w:kinsoku/>
              <w:wordWrap w:val="0"/>
              <w:bidi w:val="0"/>
              <w:snapToGrid w:val="0"/>
              <w:spacing w:before="60" w:beforeLines="25" w:after="60" w:afterLines="25" w:line="400" w:lineRule="atLeast"/>
              <w:jc w:val="center"/>
              <w:rPr>
                <w:rFonts w:hint="default" w:ascii="Times New Roman" w:hAnsi="Times New Roman" w:cs="Times New Roman"/>
                <w:color w:val="auto"/>
                <w:szCs w:val="21"/>
                <w:highlight w:val="none"/>
              </w:rPr>
            </w:pPr>
          </w:p>
        </w:tc>
      </w:tr>
      <w:tr w14:paraId="46D7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5A1EE5CF">
            <w:pPr>
              <w:pStyle w:val="27"/>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投标价：</w:t>
            </w:r>
          </w:p>
        </w:tc>
      </w:tr>
      <w:tr w14:paraId="2351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7206FEE7">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w:t>
            </w:r>
          </w:p>
          <w:p w14:paraId="4B8C6A6B">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5CC778FE">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1D1CD059">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1BFD0E30">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明</w:t>
            </w:r>
          </w:p>
        </w:tc>
        <w:tc>
          <w:tcPr>
            <w:tcW w:w="8216" w:type="dxa"/>
            <w:gridSpan w:val="5"/>
            <w:noWrap w:val="0"/>
            <w:vAlign w:val="center"/>
          </w:tcPr>
          <w:p w14:paraId="11190B4C">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409475BA">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p w14:paraId="4A506443">
            <w:pPr>
              <w:pageBreakBefore w:val="0"/>
              <w:kinsoku/>
              <w:wordWrap w:val="0"/>
              <w:bidi w:val="0"/>
              <w:snapToGrid w:val="0"/>
              <w:spacing w:line="400" w:lineRule="atLeast"/>
              <w:jc w:val="center"/>
              <w:rPr>
                <w:rFonts w:hint="default" w:ascii="Times New Roman" w:hAnsi="Times New Roman" w:cs="Times New Roman"/>
                <w:color w:val="auto"/>
                <w:szCs w:val="21"/>
                <w:highlight w:val="none"/>
              </w:rPr>
            </w:pPr>
          </w:p>
        </w:tc>
      </w:tr>
    </w:tbl>
    <w:p w14:paraId="01BA134E">
      <w:pPr>
        <w:pStyle w:val="81"/>
        <w:pageBreakBefore w:val="0"/>
        <w:kinsoku/>
        <w:wordWrap w:val="0"/>
        <w:bidi w:val="0"/>
        <w:snapToGrid w:val="0"/>
        <w:spacing w:before="0" w:after="0" w:line="400" w:lineRule="atLeast"/>
        <w:jc w:val="center"/>
        <w:rPr>
          <w:rFonts w:hint="default" w:ascii="Times New Roman" w:hAnsi="Times New Roman" w:cs="Times New Roman"/>
          <w:b w:val="0"/>
          <w:color w:val="auto"/>
          <w:highlight w:val="none"/>
        </w:rPr>
      </w:pPr>
    </w:p>
    <w:p w14:paraId="62D94483">
      <w:pPr>
        <w:pageBreakBefore w:val="0"/>
        <w:kinsoku/>
        <w:wordWrap w:val="0"/>
        <w:bidi w:val="0"/>
        <w:snapToGrid w:val="0"/>
        <w:spacing w:line="340" w:lineRule="atLeast"/>
        <w:ind w:left="894" w:leftChars="100" w:hanging="684" w:hangingChars="32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注：1.投标人可按工程进度估算并填写本表。</w:t>
      </w:r>
    </w:p>
    <w:p w14:paraId="69862944">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color w:val="auto"/>
          <w:szCs w:val="21"/>
          <w:highlight w:val="none"/>
        </w:rPr>
      </w:pPr>
      <w:r>
        <w:rPr>
          <w:rFonts w:hint="default" w:ascii="Times New Roman" w:hAnsi="Times New Roman" w:cs="Times New Roman"/>
          <w:color w:val="auto"/>
          <w:szCs w:val="21"/>
          <w:highlight w:val="none"/>
        </w:rPr>
        <w:t>2.用款额按所报单价和总额价估算，不包括价格调整和暂列金额、暂估价，但应考虑开工预付款的扣回以及签发付款证书后到实际支付的时间间隔。</w:t>
      </w:r>
    </w:p>
    <w:p w14:paraId="74ED0CFC">
      <w:pPr>
        <w:pageBreakBefore w:val="0"/>
        <w:kinsoku/>
        <w:wordWrap w:val="0"/>
        <w:bidi w:val="0"/>
        <w:spacing w:line="400" w:lineRule="atLeast"/>
        <w:ind w:firstLine="480" w:firstLineChars="200"/>
        <w:rPr>
          <w:rFonts w:hint="default" w:ascii="Times New Roman" w:hAnsi="Times New Roman" w:cs="Times New Roman"/>
          <w:color w:val="auto"/>
          <w:sz w:val="24"/>
          <w:highlight w:val="none"/>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6C55215-92C0-4FFA-A8F5-1EB1EE272112}"/>
  </w:font>
  <w:font w:name="黑体">
    <w:panose1 w:val="02010609060101010101"/>
    <w:charset w:val="86"/>
    <w:family w:val="auto"/>
    <w:pitch w:val="default"/>
    <w:sig w:usb0="800002BF" w:usb1="38CF7CFA" w:usb2="00000016" w:usb3="00000000" w:csb0="00040001" w:csb1="00000000"/>
    <w:embedRegular r:id="rId2" w:fontKey="{5CD43260-57B2-4F6C-B5FB-011A75846A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77107169-35D5-4FE6-B594-0E63FE88AB2F}"/>
  </w:font>
  <w:font w:name="Calibri">
    <w:panose1 w:val="020F0502020204030204"/>
    <w:charset w:val="00"/>
    <w:family w:val="swiss"/>
    <w:pitch w:val="default"/>
    <w:sig w:usb0="E10002FF" w:usb1="4000ACFF" w:usb2="00000009" w:usb3="00000000" w:csb0="2000019F" w:csb1="00000000"/>
    <w:embedRegular r:id="rId4" w:fontKey="{DDF1CB22-25E9-45FE-A28F-B2E101D204B4}"/>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4890851E-DE86-4496-B3EB-3845153F1BDE}"/>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6" w:fontKey="{11BBD3D7-2BEB-4A87-A66B-DA92EE4A6A5B}"/>
  </w:font>
  <w:font w:name="MS Gothic">
    <w:panose1 w:val="020B0609070205080204"/>
    <w:charset w:val="80"/>
    <w:family w:val="modern"/>
    <w:pitch w:val="default"/>
    <w:sig w:usb0="E00002FF" w:usb1="6AC7FDFB" w:usb2="00000012" w:usb3="00000000" w:csb0="4002009F" w:csb1="DFD70000"/>
    <w:embedRegular r:id="rId7" w:fontKey="{35837AD5-2936-4B8C-887E-DCB93768CE15}"/>
  </w:font>
  <w:font w:name="宋体-18030">
    <w:altName w:val="宋体"/>
    <w:panose1 w:val="00000000000000000000"/>
    <w:charset w:val="86"/>
    <w:family w:val="modern"/>
    <w:pitch w:val="default"/>
    <w:sig w:usb0="00000000" w:usb1="00000000" w:usb2="000A005E" w:usb3="00000000" w:csb0="00040001" w:csb1="00000000"/>
    <w:embedRegular r:id="rId8" w:fontKey="{2BACAE9F-7FE2-4D12-9C42-6D2A07CDF774}"/>
  </w:font>
  <w:font w:name="隶书">
    <w:panose1 w:val="02010509060101010101"/>
    <w:charset w:val="86"/>
    <w:family w:val="modern"/>
    <w:pitch w:val="default"/>
    <w:sig w:usb0="00000001" w:usb1="080E0000" w:usb2="00000000" w:usb3="00000000" w:csb0="00040000" w:csb1="00000000"/>
    <w:embedRegular r:id="rId9" w:fontKey="{59EF5D6D-96DF-4721-9C0C-CB51E54D7213}"/>
  </w:font>
  <w:font w:name="华文隶书">
    <w:panose1 w:val="02010800040101010101"/>
    <w:charset w:val="86"/>
    <w:family w:val="auto"/>
    <w:pitch w:val="default"/>
    <w:sig w:usb0="00000001" w:usb1="080F0000" w:usb2="00000000" w:usb3="00000000" w:csb0="00040000" w:csb1="00000000"/>
    <w:embedRegular r:id="rId10" w:fontKey="{F9244521-713B-4922-8DD8-B6B526B72500}"/>
  </w:font>
  <w:font w:name="宋体 ，Arial">
    <w:altName w:val="宋体"/>
    <w:panose1 w:val="00000000000000000000"/>
    <w:charset w:val="86"/>
    <w:family w:val="roman"/>
    <w:pitch w:val="default"/>
    <w:sig w:usb0="00000000" w:usb1="00000000" w:usb2="00000010" w:usb3="00000000" w:csb0="00040000" w:csb1="00000000"/>
    <w:embedRegular r:id="rId11" w:fontKey="{36CB52C4-674E-4636-9B3D-8C69B025E069}"/>
  </w:font>
  <w:font w:name="Roman">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embedRegular r:id="rId12" w:fontKey="{46198CF4-B107-4A5A-B694-4F64D9ABA9B2}"/>
  </w:font>
  <w:font w:name="Tahoma">
    <w:panose1 w:val="020B0604030504040204"/>
    <w:charset w:val="00"/>
    <w:family w:val="auto"/>
    <w:pitch w:val="default"/>
    <w:sig w:usb0="E1002EFF" w:usb1="C000605B" w:usb2="00000029" w:usb3="00000000" w:csb0="200101FF" w:csb1="20280000"/>
  </w:font>
  <w:font w:name="WPSEMBED5">
    <w:panose1 w:val="05020102010507070707"/>
    <w:charset w:val="00"/>
    <w:family w:val="auto"/>
    <w:pitch w:val="default"/>
    <w:sig w:usb0="00000000" w:usb1="00000000" w:usb2="00000000" w:usb3="00000000" w:csb0="80000000" w:csb1="00000000"/>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509060101010101"/>
    <w:charset w:val="86"/>
    <w:family w:val="auto"/>
    <w:pitch w:val="default"/>
    <w:sig w:usb0="00000001" w:usb1="080E0000" w:usb2="00000000" w:usb3="00000000" w:csb0="00040000" w:csb1="00000000"/>
  </w:font>
  <w:font w:name="WPSEMBED4">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FBF9">
    <w:pPr>
      <w:pStyle w:val="27"/>
      <w:spacing w:line="240" w:lineRule="exact"/>
      <w:ind w:right="360" w:firstLine="360"/>
      <w:rPr>
        <w:rFonts w:hint="eastAsia" w:eastAsia="黑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09338">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15ED6">
                          <w:pPr>
                            <w:pStyle w:val="2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C15ED6">
                    <w:pPr>
                      <w:pStyle w:val="2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CBA98">
    <w:pPr>
      <w:pStyle w:val="27"/>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E9468">
                          <w:pPr>
                            <w:pStyle w:val="2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E4E9468">
                    <w:pPr>
                      <w:pStyle w:val="2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118D">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4BD28">
                          <w:pPr>
                            <w:pStyle w:val="2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64BD28">
                    <w:pPr>
                      <w:pStyle w:val="2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07AD">
    <w:pPr>
      <w:pStyle w:val="27"/>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B4DAB">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AB4DAB">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6318">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F07D2">
                          <w:pPr>
                            <w:pStyle w:val="2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FF07D2">
                    <w:pPr>
                      <w:pStyle w:val="2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8F6A">
    <w:pPr>
      <w:pStyle w:val="2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D8067">
                          <w:pPr>
                            <w:pStyle w:val="27"/>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9BD8067">
                    <w:pPr>
                      <w:pStyle w:val="27"/>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9672">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D8D01">
                          <w:pPr>
                            <w:pStyle w:val="27"/>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9D8D01">
                    <w:pPr>
                      <w:pStyle w:val="2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9212">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36A48">
                          <w:pPr>
                            <w:pStyle w:val="27"/>
                          </w:pPr>
                          <w:r>
                            <w:fldChar w:fldCharType="begin"/>
                          </w:r>
                          <w:r>
                            <w:instrText xml:space="preserve"> PAGE  \* MERGEFORMAT </w:instrText>
                          </w:r>
                          <w:r>
                            <w:fldChar w:fldCharType="separate"/>
                          </w:r>
                          <w:r>
                            <w:t>196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E36A48">
                    <w:pPr>
                      <w:pStyle w:val="27"/>
                    </w:pPr>
                    <w:r>
                      <w:fldChar w:fldCharType="begin"/>
                    </w:r>
                    <w:r>
                      <w:instrText xml:space="preserve"> PAGE  \* MERGEFORMAT </w:instrText>
                    </w:r>
                    <w:r>
                      <w:fldChar w:fldCharType="separate"/>
                    </w:r>
                    <w:r>
                      <w:t>196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B78D">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AC9C8">
                          <w:pPr>
                            <w:pStyle w:val="27"/>
                          </w:pPr>
                          <w:r>
                            <w:fldChar w:fldCharType="begin"/>
                          </w:r>
                          <w:r>
                            <w:instrText xml:space="preserve"> PAGE  \* MERGEFORMAT </w:instrText>
                          </w:r>
                          <w:r>
                            <w:fldChar w:fldCharType="separate"/>
                          </w:r>
                          <w:r>
                            <w:t>229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45AC9C8">
                    <w:pPr>
                      <w:pStyle w:val="27"/>
                    </w:pPr>
                    <w:r>
                      <w:fldChar w:fldCharType="begin"/>
                    </w:r>
                    <w:r>
                      <w:instrText xml:space="preserve"> PAGE  \* MERGEFORMAT </w:instrText>
                    </w:r>
                    <w:r>
                      <w:fldChar w:fldCharType="separate"/>
                    </w:r>
                    <w:r>
                      <w:t>229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1572">
    <w:pPr>
      <w:pStyle w:val="27"/>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267A2">
                          <w:pPr>
                            <w:pStyle w:val="27"/>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13267A2">
                    <w:pPr>
                      <w:pStyle w:val="27"/>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90BB">
    <w:pPr>
      <w:pStyle w:val="27"/>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75E2">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72D60">
                          <w:pPr>
                            <w:pStyle w:val="27"/>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572D60">
                    <w:pPr>
                      <w:pStyle w:val="27"/>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B96A">
    <w:pPr>
      <w:pStyle w:val="27"/>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78E79">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D078E79">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FB24">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C9E0E">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3C9E0E">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AA99">
    <w:pPr>
      <w:pStyle w:val="2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51484">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B851484">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1736">
    <w:pPr>
      <w:pStyle w:val="27"/>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F459C">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4F459C">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716B">
    <w:pPr>
      <w:pStyle w:val="2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04D18">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7D04D18">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C96B">
    <w:pPr>
      <w:pStyle w:val="27"/>
      <w:rPr>
        <w:rStyle w:val="4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1E243">
                          <w:pPr>
                            <w:pStyle w:val="2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B1E243">
                    <w:pPr>
                      <w:pStyle w:val="27"/>
                    </w:pPr>
                    <w:r>
                      <w:fldChar w:fldCharType="begin"/>
                    </w:r>
                    <w:r>
                      <w:instrText xml:space="preserve"> PAGE  \* MERGEFORMAT </w:instrText>
                    </w:r>
                    <w:r>
                      <w:fldChar w:fldCharType="separate"/>
                    </w:r>
                    <w:r>
                      <w:t>8</w:t>
                    </w:r>
                    <w:r>
                      <w:fldChar w:fldCharType="end"/>
                    </w:r>
                  </w:p>
                </w:txbxContent>
              </v:textbox>
            </v:shape>
          </w:pict>
        </mc:Fallback>
      </mc:AlternateContent>
    </w:r>
  </w:p>
  <w:p w14:paraId="0C974E7F">
    <w:pPr>
      <w:pStyle w:val="27"/>
      <w:spacing w:line="240" w:lineRule="exact"/>
      <w:ind w:right="360" w:firstLine="360"/>
      <w:jc w:val="center"/>
      <w:rPr>
        <w:rFonts w:hint="eastAsia" w:eastAsia="黑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A72B">
    <w:pPr>
      <w:pStyle w:val="27"/>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9538E">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BD9538E">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4">
    <w:p>
      <w:r>
        <w:separator/>
      </w:r>
    </w:p>
  </w:footnote>
  <w:footnote w:type="continuationSeparator" w:id="115">
    <w:p>
      <w:r>
        <w:continuationSeparator/>
      </w:r>
    </w:p>
  </w:footnote>
  <w:footnote w:id="0">
    <w:p w14:paraId="4E7EA012">
      <w:pPr>
        <w:pStyle w:val="31"/>
        <w:spacing w:line="280" w:lineRule="atLeast"/>
        <w:ind w:left="180" w:hanging="180" w:hangingChars="100"/>
        <w:rPr>
          <w:rFonts w:hint="eastAsia"/>
          <w:szCs w:val="18"/>
        </w:rPr>
      </w:pPr>
      <w:r>
        <w:rPr>
          <w:rStyle w:val="48"/>
          <w:szCs w:val="18"/>
        </w:rPr>
        <w:footnoteRef/>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49BB5295">
      <w:pPr>
        <w:pStyle w:val="31"/>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1">
    <w:p w14:paraId="19C8DCE5">
      <w:pPr>
        <w:pStyle w:val="31"/>
        <w:spacing w:line="280" w:lineRule="atLeast"/>
        <w:ind w:left="180" w:hanging="180" w:hangingChars="100"/>
        <w:rPr>
          <w:szCs w:val="18"/>
        </w:rPr>
      </w:pPr>
      <w:r>
        <w:rPr>
          <w:rStyle w:val="48"/>
          <w:szCs w:val="18"/>
        </w:rPr>
        <w:footnoteRef/>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2">
    <w:p w14:paraId="528E6346">
      <w:pPr>
        <w:pStyle w:val="31"/>
        <w:spacing w:line="280" w:lineRule="atLeast"/>
        <w:ind w:left="180" w:hanging="180" w:hangingChars="100"/>
        <w:rPr>
          <w:rFonts w:hint="eastAsia"/>
          <w:szCs w:val="18"/>
        </w:rPr>
      </w:pPr>
      <w:r>
        <w:rPr>
          <w:rStyle w:val="48"/>
          <w:szCs w:val="18"/>
        </w:rPr>
        <w:footnoteRef/>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3">
    <w:p w14:paraId="2E0AB82E">
      <w:pPr>
        <w:pStyle w:val="31"/>
        <w:spacing w:line="320" w:lineRule="atLeast"/>
        <w:ind w:left="180" w:hanging="210" w:hangingChars="100"/>
        <w:rPr>
          <w:rFonts w:hint="eastAsia"/>
          <w:szCs w:val="18"/>
        </w:rPr>
      </w:pPr>
      <w:r>
        <w:rPr>
          <w:rStyle w:val="48"/>
          <w:kern w:val="2"/>
          <w:sz w:val="21"/>
          <w:szCs w:val="18"/>
        </w:rPr>
        <w:footnoteRef/>
      </w:r>
      <w:r>
        <w:rPr>
          <w:rFonts w:hint="eastAsia"/>
          <w:szCs w:val="18"/>
        </w:rPr>
        <w:t>存在多个同一类型专业工程和同等资格条件要求标段的，应当采用随机分配投标标段方式。</w:t>
      </w:r>
    </w:p>
  </w:footnote>
  <w:footnote w:id="4">
    <w:p w14:paraId="38012840">
      <w:pPr>
        <w:pStyle w:val="31"/>
        <w:spacing w:line="320" w:lineRule="atLeast"/>
        <w:ind w:left="180" w:hanging="180" w:hangingChars="100"/>
        <w:rPr>
          <w:rFonts w:hint="eastAsia"/>
          <w:szCs w:val="18"/>
        </w:rPr>
      </w:pPr>
      <w:r>
        <w:rPr>
          <w:rStyle w:val="48"/>
          <w:szCs w:val="18"/>
        </w:rPr>
        <w:footnoteRef/>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5">
    <w:p w14:paraId="03848B5D">
      <w:pPr>
        <w:pStyle w:val="31"/>
        <w:snapToGrid/>
        <w:spacing w:line="320" w:lineRule="atLeast"/>
        <w:ind w:left="180" w:hanging="180" w:hangingChars="100"/>
        <w:rPr>
          <w:rFonts w:hint="eastAsia" w:eastAsia="宋体"/>
          <w:szCs w:val="18"/>
          <w:lang w:val="en-US" w:eastAsia="zh-CN"/>
        </w:rPr>
      </w:pPr>
      <w:r>
        <w:rPr>
          <w:rStyle w:val="48"/>
          <w:rFonts w:hint="eastAsia"/>
          <w:szCs w:val="18"/>
        </w:rPr>
        <w:footnoteRef/>
      </w:r>
      <w:r>
        <w:rPr>
          <w:rFonts w:hint="eastAsia"/>
          <w:szCs w:val="18"/>
          <w:lang w:val="en-US" w:eastAsia="zh-CN"/>
        </w:rPr>
        <w:t>根据《国务院办公厅关于创新完善体制机制推动招标投标市场规范健康发展的意见》（国办发〔2024〕21号）规定，招标人应结合项目特点和需求，明确定标规则。</w:t>
      </w:r>
    </w:p>
  </w:footnote>
  <w:footnote w:id="6">
    <w:p w14:paraId="16715B85">
      <w:pPr>
        <w:pStyle w:val="31"/>
        <w:spacing w:line="320" w:lineRule="atLeast"/>
        <w:ind w:left="180" w:right="-229" w:rightChars="-109" w:hanging="180" w:hangingChars="100"/>
        <w:rPr>
          <w:szCs w:val="18"/>
        </w:rPr>
      </w:pPr>
      <w:r>
        <w:rPr>
          <w:rStyle w:val="48"/>
          <w:szCs w:val="18"/>
        </w:rPr>
        <w:footnoteRef/>
      </w:r>
      <w:r>
        <w:rPr>
          <w:rFonts w:hint="eastAsia"/>
        </w:rPr>
        <w:t>招标人不得强制限定履约保证金必须采用现金或支票方式缴纳，</w:t>
      </w:r>
      <w:r>
        <w:t>不得拒绝银行保函形式的</w:t>
      </w:r>
      <w:r>
        <w:rPr>
          <w:rFonts w:hint="eastAsia"/>
        </w:rPr>
        <w:t>履约保证金。</w:t>
      </w:r>
    </w:p>
  </w:footnote>
  <w:footnote w:id="7">
    <w:p w14:paraId="0E393B44">
      <w:pPr>
        <w:pStyle w:val="31"/>
        <w:spacing w:line="320" w:lineRule="atLeast"/>
        <w:ind w:left="180" w:right="-229" w:rightChars="-109" w:hanging="210" w:hangingChars="100"/>
        <w:rPr>
          <w:szCs w:val="18"/>
        </w:rPr>
      </w:pPr>
      <w:r>
        <w:rPr>
          <w:rStyle w:val="48"/>
          <w:kern w:val="2"/>
          <w:sz w:val="21"/>
          <w:szCs w:val="18"/>
        </w:rPr>
        <w:footnoteRef/>
      </w:r>
      <w:r>
        <w:rPr>
          <w:rFonts w:hint="eastAsia"/>
        </w:rPr>
        <w:t>招标人应当按照国家有关规定，在招标文件中明确履约保证金收取比例，对于</w:t>
      </w:r>
      <w:r>
        <w:rPr>
          <w:rFonts w:hint="eastAsia"/>
          <w:lang w:eastAsia="zh-CN"/>
        </w:rPr>
        <w:t>最近年度</w:t>
      </w:r>
      <w:r>
        <w:rPr>
          <w:rFonts w:hint="eastAsia"/>
        </w:rPr>
        <w:t>信用等级为AA的中标人，可给予减少履约保证金。</w:t>
      </w:r>
    </w:p>
  </w:footnote>
  <w:footnote w:id="8">
    <w:p w14:paraId="31F71302">
      <w:pPr>
        <w:pStyle w:val="31"/>
        <w:snapToGrid w:val="0"/>
        <w:rPr>
          <w:rFonts w:hint="eastAsia" w:eastAsia="宋体"/>
          <w:lang w:eastAsia="zh-CN"/>
        </w:rPr>
      </w:pPr>
      <w:r>
        <w:rPr>
          <w:rStyle w:val="48"/>
        </w:rPr>
        <w:footnoteRef/>
      </w:r>
      <w:r>
        <w:rPr>
          <w:rFonts w:hint="eastAsia"/>
          <w:lang w:val="en-US" w:eastAsia="zh-CN"/>
        </w:rPr>
        <w:t>仅适用于采用</w:t>
      </w:r>
      <w:r>
        <w:rPr>
          <w:rFonts w:hint="eastAsia"/>
        </w:rPr>
        <w:t>技术评分最低标价法、技术评分合理低价法和综合评分法</w:t>
      </w:r>
      <w:r>
        <w:rPr>
          <w:rFonts w:hint="eastAsia"/>
          <w:lang w:val="en-US" w:eastAsia="zh-CN"/>
        </w:rPr>
        <w:t>的项目</w:t>
      </w:r>
      <w:r>
        <w:rPr>
          <w:rFonts w:hint="eastAsia"/>
          <w:lang w:eastAsia="zh-CN"/>
        </w:rPr>
        <w:t>。</w:t>
      </w:r>
    </w:p>
  </w:footnote>
  <w:footnote w:id="9">
    <w:p w14:paraId="4E2204A8">
      <w:pPr>
        <w:pStyle w:val="2"/>
        <w:keepNext w:val="0"/>
        <w:keepLines w:val="0"/>
        <w:widowControl/>
        <w:pBdr>
          <w:top w:val="none" w:color="auto" w:sz="0" w:space="0"/>
          <w:left w:val="none" w:color="auto" w:sz="0" w:space="0"/>
          <w:bottom w:val="none" w:color="auto" w:sz="0" w:space="0"/>
          <w:right w:val="none" w:color="auto" w:sz="0" w:space="0"/>
        </w:pBdr>
        <w:shd w:val="clear" w:fill="FFFFFF"/>
        <w:adjustRightInd w:val="0"/>
        <w:snapToGrid w:val="0"/>
        <w:spacing w:before="141" w:after="141" w:line="7" w:lineRule="atLeast"/>
        <w:ind w:left="0" w:hanging="168" w:hangingChars="80"/>
        <w:jc w:val="left"/>
        <w:textAlignment w:val="baseline"/>
        <w:rPr>
          <w:rFonts w:hint="eastAsia"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bCs w:val="0"/>
          <w:kern w:val="0"/>
          <w:sz w:val="18"/>
          <w:szCs w:val="20"/>
          <w:lang w:val="en-US" w:eastAsia="zh-CN" w:bidi="ar-SA"/>
        </w:rPr>
        <w:t>以工</w:t>
      </w:r>
      <w:r>
        <w:rPr>
          <w:rFonts w:hint="eastAsia" w:ascii="Times New Roman" w:hAnsi="Times New Roman" w:eastAsia="宋体" w:cs="Times New Roman"/>
          <w:kern w:val="0"/>
          <w:sz w:val="18"/>
          <w:szCs w:val="20"/>
          <w:lang w:val="en-US" w:eastAsia="zh-CN" w:bidi="ar-SA"/>
        </w:rPr>
        <w:t>代赈相关要求应符合《</w:t>
      </w:r>
      <w:r>
        <w:rPr>
          <w:rFonts w:hint="eastAsia" w:ascii="Times New Roman" w:hAnsi="Times New Roman" w:eastAsia="宋体" w:cs="Times New Roman"/>
          <w:b w:val="0"/>
          <w:bCs w:val="0"/>
          <w:i w:val="0"/>
          <w:iCs w:val="0"/>
          <w:caps w:val="0"/>
          <w:color w:val="2D66A5"/>
          <w:spacing w:val="0"/>
          <w:kern w:val="0"/>
          <w:sz w:val="18"/>
          <w:szCs w:val="20"/>
          <w:shd w:val="clear" w:fill="FFFFFF"/>
        </w:rPr>
        <w:t>交通运输部办公厅关于做好交通运输基础设施建设和管护领域推广以工代赈工作的通知</w:t>
      </w:r>
      <w:r>
        <w:rPr>
          <w:rFonts w:hint="eastAsia" w:ascii="Times New Roman" w:hAnsi="Times New Roman" w:eastAsia="宋体" w:cs="Times New Roman"/>
          <w:kern w:val="0"/>
          <w:sz w:val="18"/>
          <w:szCs w:val="20"/>
          <w:lang w:val="en-US" w:eastAsia="zh-CN" w:bidi="ar-SA"/>
        </w:rPr>
        <w:t>》</w:t>
      </w:r>
      <w:r>
        <w:rPr>
          <w:rFonts w:hint="eastAsia" w:eastAsia="宋体" w:cs="Times New Roman"/>
          <w:bCs w:val="0"/>
          <w:kern w:val="0"/>
          <w:sz w:val="18"/>
          <w:szCs w:val="20"/>
          <w:lang w:val="en-US" w:eastAsia="zh-CN" w:bidi="ar-SA"/>
        </w:rPr>
        <w:t>（交办公路〔2022〕35号）规定</w:t>
      </w:r>
      <w:r>
        <w:rPr>
          <w:rFonts w:hint="eastAsia" w:ascii="Times New Roman" w:hAnsi="Times New Roman" w:eastAsia="宋体" w:cs="Times New Roman"/>
          <w:kern w:val="0"/>
          <w:sz w:val="18"/>
          <w:szCs w:val="20"/>
          <w:lang w:val="en-US" w:eastAsia="zh-CN" w:bidi="ar-SA"/>
        </w:rPr>
        <w:t>。</w:t>
      </w:r>
    </w:p>
  </w:footnote>
  <w:footnote w:id="10">
    <w:p w14:paraId="470B11AB">
      <w:pPr>
        <w:pStyle w:val="31"/>
        <w:ind w:left="210" w:hanging="210"/>
        <w:rPr>
          <w:rFonts w:hint="eastAsia"/>
          <w:szCs w:val="18"/>
        </w:rPr>
      </w:pPr>
      <w:r>
        <w:rPr>
          <w:rStyle w:val="48"/>
          <w:szCs w:val="18"/>
        </w:rPr>
        <w:footnoteRef/>
      </w:r>
      <w:r>
        <w:rPr>
          <w:rFonts w:hint="eastAsia"/>
          <w:szCs w:val="18"/>
        </w:rPr>
        <w:t>具体资质要求由招标人在满足国家相关法律法规前提下，根据招标项目具体特点和实际情况确定。</w:t>
      </w:r>
    </w:p>
  </w:footnote>
  <w:footnote w:id="11">
    <w:p w14:paraId="16DFA409">
      <w:pPr>
        <w:pStyle w:val="31"/>
        <w:snapToGrid w:val="0"/>
        <w:ind w:firstLine="0"/>
      </w:pPr>
      <w:r>
        <w:rPr>
          <w:rStyle w:val="48"/>
          <w:kern w:val="2"/>
          <w:sz w:val="21"/>
          <w:szCs w:val="24"/>
        </w:rPr>
        <w:footnoteRef/>
      </w:r>
      <w:r>
        <w:rPr>
          <w:rFonts w:hint="eastAsia"/>
          <w:lang w:val="en-US" w:eastAsia="zh-CN"/>
        </w:rPr>
        <w:t>企业资质等级</w:t>
      </w:r>
      <w:r>
        <w:rPr>
          <w:rFonts w:hint="eastAsia"/>
        </w:rPr>
        <w:t>应当严格按照从业资质管理相关规定，提出与招标项目相适应的资质最低条件，不得提高资质等级要求。</w:t>
      </w:r>
    </w:p>
  </w:footnote>
  <w:footnote w:id="12">
    <w:p w14:paraId="22A50FA7">
      <w:pPr>
        <w:pStyle w:val="31"/>
        <w:spacing w:line="240" w:lineRule="auto"/>
        <w:ind w:left="180" w:hanging="180" w:hangingChars="100"/>
        <w:rPr>
          <w:rFonts w:hint="eastAsia"/>
          <w:szCs w:val="18"/>
        </w:rPr>
      </w:pPr>
      <w:r>
        <w:rPr>
          <w:rStyle w:val="48"/>
          <w:szCs w:val="18"/>
        </w:rPr>
        <w:footnoteRef/>
      </w:r>
      <w:r>
        <w:rPr>
          <w:rFonts w:hint="eastAsia"/>
          <w:szCs w:val="18"/>
        </w:rPr>
        <w:t>具体财务要求由招标人在满足国家相关法律法规前提下，根据招标项目具体特点和实际情况确定。</w:t>
      </w:r>
    </w:p>
  </w:footnote>
  <w:footnote w:id="13">
    <w:p w14:paraId="44B7512A">
      <w:pPr>
        <w:pStyle w:val="31"/>
        <w:spacing w:line="300" w:lineRule="atLeast"/>
        <w:ind w:left="180" w:hanging="180" w:hangingChars="100"/>
        <w:rPr>
          <w:rFonts w:hint="eastAsia"/>
          <w:szCs w:val="18"/>
        </w:rPr>
      </w:pPr>
      <w:r>
        <w:rPr>
          <w:rStyle w:val="48"/>
          <w:szCs w:val="18"/>
        </w:rPr>
        <w:footnoteRef/>
      </w:r>
      <w:r>
        <w:rPr>
          <w:rFonts w:hint="eastAsia"/>
          <w:szCs w:val="18"/>
        </w:rPr>
        <w:t>具体业绩要求由招标人在满足国家相关法律法规前提下，根据招标项目具体特点和实际情况确定，但不得设置过高的业绩资格条件。</w:t>
      </w:r>
    </w:p>
  </w:footnote>
  <w:footnote w:id="14">
    <w:p w14:paraId="65FA4A97">
      <w:pPr>
        <w:pStyle w:val="31"/>
        <w:snapToGrid w:val="0"/>
        <w:ind w:firstLine="0"/>
        <w:rPr>
          <w:rFonts w:hint="default"/>
          <w:highlight w:val="yellow"/>
          <w:lang w:val="en-US" w:eastAsia="zh-CN"/>
        </w:rPr>
      </w:pPr>
      <w:r>
        <w:rPr>
          <w:rStyle w:val="48"/>
          <w:kern w:val="2"/>
          <w:sz w:val="21"/>
          <w:szCs w:val="24"/>
        </w:rPr>
        <w:footnoteRef/>
      </w:r>
      <w:r>
        <w:rPr>
          <w:rFonts w:hint="eastAsia"/>
          <w:lang w:val="en-US" w:eastAsia="zh-CN"/>
        </w:rPr>
        <w:t>业绩量化指标不得超过项目标的规模。</w:t>
      </w:r>
    </w:p>
  </w:footnote>
  <w:footnote w:id="15">
    <w:p w14:paraId="5D7E8F18">
      <w:pPr>
        <w:pStyle w:val="31"/>
        <w:ind w:left="210" w:hanging="210"/>
        <w:rPr>
          <w:rFonts w:hint="eastAsia"/>
          <w:szCs w:val="18"/>
        </w:rPr>
      </w:pPr>
      <w:r>
        <w:rPr>
          <w:rStyle w:val="48"/>
          <w:szCs w:val="18"/>
        </w:rPr>
        <w:footnoteRef/>
      </w:r>
      <w:r>
        <w:rPr>
          <w:rFonts w:hint="eastAsia"/>
        </w:rPr>
        <w:t>具体信誉要求由招标人在满足国家相关法律法规前提下，根据招标项目具体特点和实际情况确定</w:t>
      </w:r>
      <w:r>
        <w:rPr>
          <w:lang w:eastAsia="zh-CN"/>
        </w:rPr>
        <w:t>。</w:t>
      </w:r>
    </w:p>
  </w:footnote>
  <w:footnote w:id="16">
    <w:p w14:paraId="123FEA7C">
      <w:pPr>
        <w:pStyle w:val="31"/>
        <w:spacing w:line="360" w:lineRule="atLeast"/>
        <w:ind w:left="180" w:hanging="180" w:hangingChars="100"/>
        <w:rPr>
          <w:rFonts w:hint="eastAsia"/>
          <w:szCs w:val="18"/>
        </w:rPr>
      </w:pPr>
      <w:r>
        <w:rPr>
          <w:rStyle w:val="48"/>
          <w:szCs w:val="18"/>
        </w:rPr>
        <w:footnoteRef/>
      </w:r>
      <w:r>
        <w:rPr>
          <w:rFonts w:hint="eastAsia"/>
          <w:szCs w:val="18"/>
        </w:rPr>
        <w:t>对项目经理和项目总工的具体资格要求由招标人在满足国家相关法律法规前提下，根据招标项目具体特点和实际情况确定，但不得设置过高的资格条件。</w:t>
      </w:r>
    </w:p>
  </w:footnote>
  <w:footnote w:id="17">
    <w:p w14:paraId="504F231F">
      <w:pPr>
        <w:pStyle w:val="31"/>
        <w:snapToGrid w:val="0"/>
        <w:ind w:firstLine="0"/>
      </w:pPr>
      <w:r>
        <w:rPr>
          <w:rStyle w:val="48"/>
        </w:rPr>
        <w:footnoteRef/>
      </w:r>
      <w:r>
        <w:rPr>
          <w:rFonts w:hint="eastAsia"/>
        </w:rPr>
        <w:t>项目经理应当具有注册建造师证书，其专业和等级按照相关规定根据项目实际设置，招标人不得再另行设置相应等级技术职称要求</w:t>
      </w:r>
      <w:r>
        <w:rPr>
          <w:rFonts w:hint="eastAsia"/>
          <w:lang w:eastAsia="zh-CN"/>
        </w:rPr>
        <w:t>；</w:t>
      </w:r>
      <w:r>
        <w:rPr>
          <w:rFonts w:hint="eastAsia"/>
        </w:rPr>
        <w:t>项目经理应当具有相应安全生产考核合格证书。项目总工程师一般应当设置技术职称要求。主要人员业绩量化指标不得超过项目标的规模。</w:t>
      </w:r>
    </w:p>
  </w:footnote>
  <w:footnote w:id="18">
    <w:p w14:paraId="2DE2915F">
      <w:pPr>
        <w:pStyle w:val="31"/>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9">
    <w:p w14:paraId="06907887">
      <w:pPr>
        <w:pStyle w:val="31"/>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20">
    <w:p w14:paraId="3BC179B9">
      <w:pPr>
        <w:spacing w:line="320" w:lineRule="atLeast"/>
        <w:ind w:left="180" w:hanging="180" w:hangingChars="100"/>
        <w:rPr>
          <w:rFonts w:ascii="Times New Roman" w:hAnsi="Times New Roman" w:eastAsia="宋体" w:cs="Times New Roman"/>
          <w:szCs w:val="18"/>
        </w:rPr>
      </w:pPr>
      <w:r>
        <w:rPr>
          <w:rStyle w:val="48"/>
          <w:rFonts w:ascii="Times New Roman" w:hAnsi="Times New Roman" w:eastAsia="宋体" w:cs="Times New Roman"/>
          <w:bCs/>
          <w:kern w:val="0"/>
          <w:sz w:val="18"/>
          <w:szCs w:val="20"/>
        </w:rPr>
        <w:footnoteRef/>
      </w:r>
      <w:r>
        <w:rPr>
          <w:rFonts w:hint="eastAsia" w:ascii="Times New Roman" w:hAnsi="Times New Roman" w:eastAsia="宋体" w:cs="Times New Roman"/>
          <w:kern w:val="0"/>
          <w:sz w:val="18"/>
          <w:szCs w:val="18"/>
        </w:rPr>
        <w:t>本</w:t>
      </w:r>
      <w:r>
        <w:rPr>
          <w:rFonts w:hint="eastAsia" w:cs="Times New Roman"/>
          <w:kern w:val="0"/>
          <w:sz w:val="18"/>
          <w:szCs w:val="18"/>
          <w:lang w:val="en-US" w:eastAsia="zh-CN"/>
        </w:rPr>
        <w:t>项</w:t>
      </w:r>
      <w:r>
        <w:rPr>
          <w:rFonts w:hint="eastAsia" w:ascii="Times New Roman" w:hAnsi="Times New Roman" w:eastAsia="宋体" w:cs="Times New Roman"/>
          <w:kern w:val="0"/>
          <w:sz w:val="18"/>
          <w:szCs w:val="18"/>
        </w:rPr>
        <w:t>规定仅适用于根据《关于发布公路工程从业企业资质名录的通知》（厅公路字〔</w:t>
      </w:r>
      <w:r>
        <w:rPr>
          <w:rFonts w:ascii="Times New Roman" w:hAnsi="Times New Roman" w:eastAsia="宋体" w:cs="Times New Roman"/>
          <w:kern w:val="0"/>
          <w:sz w:val="18"/>
          <w:szCs w:val="18"/>
        </w:rPr>
        <w:t>2011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114</w:t>
      </w:r>
      <w:r>
        <w:rPr>
          <w:rFonts w:hint="eastAsia" w:ascii="Times New Roman" w:hAnsi="Times New Roman" w:eastAsia="宋体" w:cs="Times New Roman"/>
          <w:kern w:val="0"/>
          <w:sz w:val="18"/>
          <w:szCs w:val="18"/>
        </w:rPr>
        <w:t>号）要求，招标人应通过名录对投标人资质条件进行审核的公路施工企业；如前款文件中规定的资质已由省级相关部门负责审核、审批，则不做要求。</w:t>
      </w:r>
    </w:p>
  </w:footnote>
  <w:footnote w:id="21">
    <w:p w14:paraId="3B8EAA4D">
      <w:pPr>
        <w:spacing w:line="320" w:lineRule="atLeast"/>
        <w:ind w:left="180" w:hanging="180" w:hangingChars="100"/>
        <w:rPr>
          <w:rFonts w:ascii="Times New Roman" w:hAnsi="Times New Roman" w:eastAsia="宋体" w:cs="Times New Roman"/>
          <w:szCs w:val="18"/>
        </w:rPr>
      </w:pPr>
      <w:r>
        <w:rPr>
          <w:rStyle w:val="48"/>
          <w:rFonts w:ascii="Times New Roman" w:hAnsi="Times New Roman" w:eastAsia="宋体" w:cs="Times New Roman"/>
          <w:bCs/>
          <w:kern w:val="0"/>
          <w:sz w:val="18"/>
          <w:szCs w:val="20"/>
        </w:rPr>
        <w:footnoteRef/>
      </w:r>
      <w:r>
        <w:rPr>
          <w:rFonts w:hint="eastAsia" w:ascii="Times New Roman" w:hAnsi="Times New Roman" w:eastAsia="宋体" w:cs="Times New Roman"/>
          <w:kern w:val="0"/>
          <w:sz w:val="18"/>
          <w:szCs w:val="18"/>
        </w:rPr>
        <w:t>本</w:t>
      </w:r>
      <w:r>
        <w:rPr>
          <w:rFonts w:hint="eastAsia" w:cs="Times New Roman"/>
          <w:kern w:val="0"/>
          <w:sz w:val="18"/>
          <w:szCs w:val="18"/>
          <w:lang w:val="en-US" w:eastAsia="zh-CN"/>
        </w:rPr>
        <w:t>项</w:t>
      </w:r>
      <w:r>
        <w:rPr>
          <w:rFonts w:hint="eastAsia" w:ascii="Times New Roman" w:hAnsi="Times New Roman" w:eastAsia="宋体" w:cs="Times New Roman"/>
          <w:kern w:val="0"/>
          <w:sz w:val="18"/>
          <w:szCs w:val="18"/>
        </w:rPr>
        <w:t>规定仅适用于根据《关于发布公路工程从业企业资质名录的通知》（厅公路字〔</w:t>
      </w:r>
      <w:r>
        <w:rPr>
          <w:rFonts w:ascii="Times New Roman" w:hAnsi="Times New Roman" w:eastAsia="宋体" w:cs="Times New Roman"/>
          <w:kern w:val="0"/>
          <w:sz w:val="18"/>
          <w:szCs w:val="18"/>
        </w:rPr>
        <w:t>2011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114</w:t>
      </w:r>
      <w:r>
        <w:rPr>
          <w:rFonts w:hint="eastAsia" w:ascii="Times New Roman" w:hAnsi="Times New Roman" w:eastAsia="宋体" w:cs="Times New Roman"/>
          <w:kern w:val="0"/>
          <w:sz w:val="18"/>
          <w:szCs w:val="18"/>
        </w:rPr>
        <w:t>号）要求，招标人应通过名录对投标人资质条件进行审核</w:t>
      </w:r>
      <w:r>
        <w:rPr>
          <w:rFonts w:hint="eastAsia" w:ascii="Times New Roman" w:hAnsi="Times New Roman" w:eastAsia="宋体" w:cs="Times New Roman"/>
          <w:kern w:val="0"/>
          <w:sz w:val="18"/>
          <w:szCs w:val="18"/>
          <w:highlight w:val="none"/>
        </w:rPr>
        <w:t>的公路施工企</w:t>
      </w:r>
      <w:r>
        <w:rPr>
          <w:rFonts w:hint="eastAsia" w:ascii="Times New Roman" w:hAnsi="Times New Roman" w:eastAsia="宋体" w:cs="Times New Roman"/>
          <w:kern w:val="0"/>
          <w:sz w:val="18"/>
          <w:szCs w:val="18"/>
        </w:rPr>
        <w:t>业</w:t>
      </w:r>
      <w:r>
        <w:rPr>
          <w:rFonts w:hint="eastAsia" w:cs="Times New Roman"/>
          <w:kern w:val="0"/>
          <w:sz w:val="18"/>
          <w:szCs w:val="18"/>
          <w:lang w:eastAsia="zh-CN"/>
        </w:rPr>
        <w:t>；</w:t>
      </w:r>
      <w:r>
        <w:rPr>
          <w:rFonts w:hint="eastAsia" w:cs="Times New Roman"/>
          <w:kern w:val="0"/>
          <w:sz w:val="18"/>
          <w:szCs w:val="18"/>
          <w:lang w:val="en-US" w:eastAsia="zh-CN"/>
        </w:rPr>
        <w:t>如前款文件中规定的资质已由省级相关部门负责审核、审批，则投标人无需提供相应资质的网页截图</w:t>
      </w:r>
      <w:r>
        <w:rPr>
          <w:rFonts w:hint="eastAsia" w:ascii="Times New Roman" w:hAnsi="Times New Roman" w:eastAsia="宋体" w:cs="Times New Roman"/>
          <w:kern w:val="0"/>
          <w:sz w:val="18"/>
          <w:szCs w:val="18"/>
        </w:rPr>
        <w:t>。</w:t>
      </w:r>
    </w:p>
  </w:footnote>
  <w:footnote w:id="22">
    <w:p w14:paraId="697AAEE1">
      <w:pPr>
        <w:pStyle w:val="31"/>
        <w:snapToGrid w:val="0"/>
        <w:rPr>
          <w:rFonts w:hint="default" w:eastAsia="宋体"/>
          <w:lang w:val="en-US" w:eastAsia="zh-CN"/>
        </w:rPr>
      </w:pPr>
      <w:r>
        <w:rPr>
          <w:rStyle w:val="48"/>
        </w:rPr>
        <w:footnoteRef/>
      </w:r>
      <w:r>
        <w:rPr>
          <w:rFonts w:hint="eastAsia"/>
          <w:lang w:val="en-US" w:eastAsia="zh-CN"/>
        </w:rPr>
        <w:t>G值详见评标办法。</w:t>
      </w:r>
    </w:p>
  </w:footnote>
  <w:footnote w:id="23">
    <w:p w14:paraId="306CDECF">
      <w:pPr>
        <w:pStyle w:val="31"/>
        <w:tabs>
          <w:tab w:val="left" w:pos="3780"/>
        </w:tabs>
        <w:spacing w:line="320" w:lineRule="atLeast"/>
        <w:ind w:left="180" w:hanging="180" w:hangingChars="100"/>
        <w:rPr>
          <w:rFonts w:hint="eastAsia"/>
          <w:szCs w:val="18"/>
        </w:rPr>
      </w:pPr>
      <w:r>
        <w:rPr>
          <w:rStyle w:val="48"/>
          <w:szCs w:val="18"/>
        </w:rPr>
        <w:footnoteRef/>
      </w:r>
      <w:r>
        <w:rPr>
          <w:rFonts w:hint="eastAsia"/>
          <w:szCs w:val="18"/>
        </w:rPr>
        <w:t>招标人可根据</w:t>
      </w:r>
      <w:r>
        <w:rPr>
          <w:rFonts w:hint="eastAsia"/>
          <w:szCs w:val="18"/>
          <w:lang w:eastAsia="zh-CN"/>
        </w:rPr>
        <w:t>实际</w:t>
      </w:r>
      <w:r>
        <w:rPr>
          <w:rFonts w:hint="eastAsia"/>
          <w:szCs w:val="18"/>
        </w:rPr>
        <w:t>需要进行修改。</w:t>
      </w:r>
    </w:p>
  </w:footnote>
  <w:footnote w:id="24">
    <w:p w14:paraId="5F2380CC">
      <w:pPr>
        <w:pStyle w:val="31"/>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投标人仅须在投标文件的澄清或说明上加盖CA数字证书中的单位章，或由法定代表人或其委托代理人的个人电子印章或电子签名</w:t>
      </w:r>
      <w:r>
        <w:rPr>
          <w:rFonts w:hint="eastAsia" w:hAnsi="宋体"/>
          <w:szCs w:val="18"/>
        </w:rPr>
        <w:t>。</w:t>
      </w:r>
    </w:p>
  </w:footnote>
  <w:footnote w:id="25">
    <w:p w14:paraId="15DCF42D">
      <w:pPr>
        <w:pStyle w:val="31"/>
        <w:spacing w:line="320" w:lineRule="atLeast"/>
        <w:ind w:left="180" w:hanging="180" w:hangingChars="100"/>
        <w:jc w:val="both"/>
        <w:rPr>
          <w:rFonts w:hint="eastAsia"/>
          <w:szCs w:val="18"/>
        </w:rPr>
      </w:pPr>
      <w:r>
        <w:rPr>
          <w:rStyle w:val="48"/>
          <w:szCs w:val="18"/>
        </w:rPr>
        <w:footnoteRef/>
      </w:r>
      <w:r>
        <w:rPr>
          <w:rFonts w:hint="eastAsia"/>
          <w:szCs w:val="18"/>
        </w:rPr>
        <w:t>“合理低价法”是综合评估法的评分因素中评标价得分为100分、其他评分因素分值为0分的特例。“合理低价法”中，第一个信封（商务及技术文件）的评审应采用合格制。</w:t>
      </w:r>
    </w:p>
  </w:footnote>
  <w:footnote w:id="26">
    <w:p w14:paraId="6891B6E4">
      <w:pPr>
        <w:pStyle w:val="31"/>
        <w:spacing w:line="320" w:lineRule="atLeast"/>
        <w:ind w:left="180" w:hanging="180" w:hangingChars="100"/>
        <w:jc w:val="both"/>
        <w:rPr>
          <w:rFonts w:hint="eastAsia"/>
          <w:szCs w:val="18"/>
        </w:rPr>
      </w:pPr>
      <w:r>
        <w:rPr>
          <w:rStyle w:val="48"/>
          <w:szCs w:val="18"/>
        </w:rPr>
        <w:footnoteRef/>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7">
    <w:p w14:paraId="2978CE7D">
      <w:pPr>
        <w:pStyle w:val="31"/>
        <w:spacing w:line="320" w:lineRule="atLeast"/>
        <w:ind w:left="180" w:hanging="180" w:hangingChars="100"/>
        <w:rPr>
          <w:rFonts w:hint="eastAsia"/>
          <w:szCs w:val="18"/>
        </w:rPr>
      </w:pPr>
      <w:r>
        <w:rPr>
          <w:rStyle w:val="48"/>
          <w:szCs w:val="18"/>
        </w:rPr>
        <w:footnoteRef/>
      </w:r>
      <w:r>
        <w:rPr>
          <w:rFonts w:hint="eastAsia" w:ascii="宋体" w:hAnsi="宋体"/>
          <w:szCs w:val="18"/>
        </w:rPr>
        <w:t>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8">
    <w:p w14:paraId="467E3D0F">
      <w:pPr>
        <w:pStyle w:val="31"/>
        <w:spacing w:line="320" w:lineRule="atLeast"/>
        <w:ind w:left="180" w:hanging="180" w:hangingChars="100"/>
        <w:rPr>
          <w:rFonts w:hint="eastAsia"/>
        </w:rPr>
      </w:pPr>
      <w:r>
        <w:rPr>
          <w:rStyle w:val="48"/>
        </w:rPr>
        <w:footnoteRef/>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9">
    <w:p w14:paraId="2464E6E6">
      <w:pPr>
        <w:pStyle w:val="31"/>
        <w:spacing w:line="320" w:lineRule="atLeast"/>
        <w:ind w:left="180" w:hanging="180" w:hangingChars="100"/>
        <w:rPr>
          <w:rStyle w:val="48"/>
          <w:szCs w:val="18"/>
        </w:rPr>
      </w:pPr>
      <w:r>
        <w:rPr>
          <w:rStyle w:val="48"/>
          <w:szCs w:val="18"/>
        </w:rPr>
        <w:footnoteRef/>
      </w:r>
      <w:r>
        <w:rPr>
          <w:rFonts w:hint="eastAsia"/>
          <w:szCs w:val="18"/>
        </w:rPr>
        <w:t>如</w:t>
      </w:r>
      <w:r>
        <w:rPr>
          <w:rStyle w:val="48"/>
          <w:szCs w:val="18"/>
          <w:vertAlign w:val="baseline"/>
        </w:rPr>
        <w:t>本项目招标</w:t>
      </w:r>
      <w:r>
        <w:rPr>
          <w:rStyle w:val="48"/>
          <w:rFonts w:hint="eastAsia"/>
          <w:szCs w:val="18"/>
          <w:vertAlign w:val="baseline"/>
          <w:lang w:eastAsia="zh-CN"/>
        </w:rPr>
        <w:t>由</w:t>
      </w:r>
      <w:r>
        <w:rPr>
          <w:rFonts w:hint="eastAsia"/>
          <w:szCs w:val="18"/>
        </w:rPr>
        <w:t>投标人按照招标人提供的</w:t>
      </w:r>
      <w:r>
        <w:rPr>
          <w:szCs w:val="18"/>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30">
    <w:p w14:paraId="18DFE744">
      <w:pPr>
        <w:pStyle w:val="31"/>
        <w:snapToGrid w:val="0"/>
      </w:pPr>
      <w:r>
        <w:rPr>
          <w:rStyle w:val="48"/>
        </w:rPr>
        <w:footnoteRef/>
      </w:r>
      <w:r>
        <w:rPr>
          <w:rFonts w:hint="eastAsia"/>
          <w:lang w:val="en-US" w:eastAsia="zh-CN"/>
        </w:rPr>
        <w:t>本合同仅</w:t>
      </w:r>
      <w:r>
        <w:rPr>
          <w:rFonts w:hint="eastAsia"/>
        </w:rPr>
        <w:t>适用</w:t>
      </w:r>
      <w:r>
        <w:rPr>
          <w:rFonts w:hint="eastAsia"/>
          <w:lang w:val="en-US" w:eastAsia="zh-CN"/>
        </w:rPr>
        <w:t>于</w:t>
      </w:r>
      <w:r>
        <w:rPr>
          <w:rFonts w:hint="eastAsia"/>
        </w:rPr>
        <w:t>建设项目，养护工程项目</w:t>
      </w:r>
      <w:r>
        <w:rPr>
          <w:rFonts w:hint="eastAsia"/>
          <w:lang w:eastAsia="zh-CN"/>
        </w:rPr>
        <w:t>的</w:t>
      </w:r>
      <w:r>
        <w:rPr>
          <w:rFonts w:hint="eastAsia"/>
          <w:lang w:val="en-US" w:eastAsia="zh-CN"/>
        </w:rPr>
        <w:t>合同可</w:t>
      </w:r>
      <w:r>
        <w:rPr>
          <w:rFonts w:hint="eastAsia"/>
        </w:rPr>
        <w:t>参照</w:t>
      </w:r>
      <w:r>
        <w:rPr>
          <w:rFonts w:hint="eastAsia"/>
          <w:lang w:val="en-US" w:eastAsia="zh-CN"/>
        </w:rPr>
        <w:t>执行。</w:t>
      </w:r>
    </w:p>
  </w:footnote>
  <w:footnote w:id="31">
    <w:p w14:paraId="0A9B8031">
      <w:pPr>
        <w:pStyle w:val="31"/>
        <w:rPr>
          <w:rFonts w:hint="eastAsia"/>
          <w:lang w:eastAsia="zh-CN"/>
        </w:rPr>
      </w:pPr>
      <w:r>
        <w:rPr>
          <w:rStyle w:val="48"/>
        </w:rPr>
        <w:footnoteRef/>
      </w:r>
      <w:r>
        <w:rPr>
          <w:rFonts w:hint="eastAsia"/>
          <w:lang w:eastAsia="zh-CN"/>
        </w:rPr>
        <w:t>本部分不加修改地引用了国家九部委《标准施工招标文件》（2007年版）相关内容。</w:t>
      </w:r>
    </w:p>
  </w:footnote>
  <w:footnote w:id="32">
    <w:p w14:paraId="47560969">
      <w:pPr>
        <w:pStyle w:val="31"/>
        <w:spacing w:line="320" w:lineRule="atLeast"/>
        <w:ind w:left="180" w:hanging="180" w:hangingChars="100"/>
        <w:rPr>
          <w:rFonts w:hint="eastAsia"/>
          <w:lang w:eastAsia="zh-CN"/>
        </w:rPr>
      </w:pPr>
      <w:r>
        <w:rPr>
          <w:rStyle w:val="48"/>
        </w:rPr>
        <w:footnoteRef/>
      </w:r>
      <w:r>
        <w:t>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33">
    <w:p w14:paraId="59B30A6B">
      <w:pPr>
        <w:pStyle w:val="31"/>
        <w:spacing w:line="300" w:lineRule="atLeast"/>
        <w:ind w:left="210" w:hanging="210"/>
        <w:rPr>
          <w:rFonts w:hint="eastAsia"/>
          <w:szCs w:val="18"/>
        </w:rPr>
      </w:pPr>
      <w:r>
        <w:rPr>
          <w:rStyle w:val="48"/>
          <w:szCs w:val="18"/>
        </w:rPr>
        <w:footnoteRef/>
      </w:r>
      <w:r>
        <w:rPr>
          <w:rFonts w:hint="eastAsia" w:hAnsi="Roman"/>
          <w:szCs w:val="18"/>
        </w:rPr>
        <w:t>缺陷责任期一般为自实际交工日期起计算</w:t>
      </w:r>
      <w:r>
        <w:rPr>
          <w:rFonts w:hint="eastAsia" w:hAnsi="Roman"/>
          <w:szCs w:val="18"/>
          <w:lang w:eastAsia="zh-CN"/>
        </w:rPr>
        <w:t>1</w:t>
      </w:r>
      <w:r>
        <w:rPr>
          <w:rFonts w:hint="eastAsia" w:hAnsi="Roman"/>
          <w:szCs w:val="18"/>
        </w:rPr>
        <w:t>年</w:t>
      </w:r>
      <w:r>
        <w:rPr>
          <w:rFonts w:hint="eastAsia" w:hAnsi="Roman"/>
          <w:szCs w:val="18"/>
          <w:lang w:eastAsia="zh-CN"/>
        </w:rPr>
        <w:t>，</w:t>
      </w:r>
      <w:r>
        <w:rPr>
          <w:rFonts w:hint="eastAsia" w:hAnsi="Roman"/>
          <w:szCs w:val="18"/>
        </w:rPr>
        <w:t>最长不超过</w:t>
      </w:r>
      <w:r>
        <w:rPr>
          <w:rFonts w:hint="eastAsia" w:hAnsi="Roman"/>
          <w:szCs w:val="18"/>
          <w:lang w:eastAsia="zh-CN"/>
        </w:rPr>
        <w:t>2年</w:t>
      </w:r>
      <w:r>
        <w:rPr>
          <w:rFonts w:hint="eastAsia" w:hAnsi="Roman"/>
          <w:szCs w:val="18"/>
        </w:rPr>
        <w:t>。</w:t>
      </w:r>
    </w:p>
  </w:footnote>
  <w:footnote w:id="34">
    <w:p w14:paraId="3D01E3A6">
      <w:pPr>
        <w:pStyle w:val="31"/>
        <w:spacing w:line="300" w:lineRule="atLeast"/>
        <w:ind w:left="210" w:hanging="210"/>
        <w:rPr>
          <w:rFonts w:hint="eastAsia"/>
          <w:szCs w:val="18"/>
        </w:rPr>
      </w:pPr>
      <w:r>
        <w:rPr>
          <w:rStyle w:val="48"/>
          <w:szCs w:val="18"/>
        </w:rPr>
        <w:footnoteRef/>
      </w:r>
      <w:r>
        <w:rPr>
          <w:rFonts w:hAnsi="Roman"/>
          <w:szCs w:val="18"/>
        </w:rPr>
        <w:t>逾期交工违约金限额</w:t>
      </w:r>
      <w:r>
        <w:rPr>
          <w:rFonts w:hint="eastAsia" w:hAnsi="Roman"/>
          <w:szCs w:val="18"/>
        </w:rPr>
        <w:t>一般应为10</w:t>
      </w:r>
      <w:r>
        <w:rPr>
          <w:rFonts w:hAnsi="Roman"/>
          <w:szCs w:val="18"/>
        </w:rPr>
        <w:t>%签约合同价</w:t>
      </w:r>
      <w:r>
        <w:rPr>
          <w:rFonts w:hint="eastAsia" w:hAnsi="Roman"/>
          <w:szCs w:val="18"/>
        </w:rPr>
        <w:t>。</w:t>
      </w:r>
    </w:p>
  </w:footnote>
  <w:footnote w:id="35">
    <w:p w14:paraId="11882BEF">
      <w:pPr>
        <w:pStyle w:val="31"/>
        <w:spacing w:line="280" w:lineRule="atLeast"/>
        <w:ind w:left="210" w:hanging="210"/>
        <w:rPr>
          <w:rFonts w:hint="eastAsia"/>
          <w:szCs w:val="18"/>
        </w:rPr>
      </w:pPr>
      <w:r>
        <w:rPr>
          <w:rStyle w:val="48"/>
          <w:szCs w:val="18"/>
        </w:rPr>
        <w:footnoteRef/>
      </w:r>
      <w:r>
        <w:rPr>
          <w:rFonts w:hint="eastAsia" w:hAnsi="Roman"/>
          <w:szCs w:val="18"/>
        </w:rPr>
        <w:t>对于工程规模不大、工期较短的工程（例如工期不超过12个月的），可以不进行调价。</w:t>
      </w:r>
    </w:p>
  </w:footnote>
  <w:footnote w:id="36">
    <w:p w14:paraId="31455935">
      <w:pPr>
        <w:pStyle w:val="31"/>
        <w:spacing w:line="280" w:lineRule="atLeast"/>
        <w:ind w:left="210" w:hanging="210"/>
        <w:rPr>
          <w:rFonts w:hint="eastAsia"/>
          <w:szCs w:val="18"/>
        </w:rPr>
      </w:pPr>
      <w:r>
        <w:rPr>
          <w:rStyle w:val="48"/>
          <w:szCs w:val="18"/>
        </w:rPr>
        <w:footnoteRef/>
      </w:r>
      <w:r>
        <w:rPr>
          <w:rFonts w:hint="eastAsia" w:hAnsi="Roman"/>
          <w:szCs w:val="18"/>
        </w:rPr>
        <w:t>开工预付款金额一般应为10％签约合同价。</w:t>
      </w:r>
    </w:p>
  </w:footnote>
  <w:footnote w:id="37">
    <w:p w14:paraId="47E88392">
      <w:pPr>
        <w:pStyle w:val="31"/>
        <w:spacing w:line="280" w:lineRule="atLeast"/>
        <w:ind w:left="210" w:hanging="210"/>
        <w:rPr>
          <w:rFonts w:hint="eastAsia"/>
          <w:szCs w:val="18"/>
        </w:rPr>
      </w:pPr>
      <w:r>
        <w:rPr>
          <w:rStyle w:val="48"/>
          <w:szCs w:val="18"/>
        </w:rPr>
        <w:footnoteRef/>
      </w:r>
      <w:r>
        <w:rPr>
          <w:rFonts w:hint="eastAsia" w:hAnsi="Roman"/>
          <w:szCs w:val="18"/>
        </w:rPr>
        <w:t>指主要材料，一般应为70%～75%，最低不少于60%。</w:t>
      </w:r>
    </w:p>
  </w:footnote>
  <w:footnote w:id="38">
    <w:p w14:paraId="22E1FC5A">
      <w:pPr>
        <w:pStyle w:val="31"/>
        <w:spacing w:line="280" w:lineRule="atLeast"/>
        <w:ind w:left="210" w:hanging="210"/>
        <w:rPr>
          <w:rFonts w:hint="eastAsia"/>
          <w:szCs w:val="18"/>
        </w:rPr>
      </w:pPr>
      <w:r>
        <w:rPr>
          <w:rStyle w:val="48"/>
          <w:szCs w:val="18"/>
        </w:rPr>
        <w:footnoteRef/>
      </w:r>
      <w:r>
        <w:rPr>
          <w:rFonts w:hint="eastAsia" w:hAnsi="Roman"/>
          <w:szCs w:val="18"/>
        </w:rPr>
        <w:t xml:space="preserve">  国际上一般按月平均支付额的0.3</w:t>
      </w:r>
      <w:r>
        <w:rPr>
          <w:rFonts w:hint="eastAsia" w:hAnsi="Roman"/>
          <w:szCs w:val="18"/>
        </w:rPr>
        <w:sym w:font="Symbol" w:char="F07E"/>
      </w:r>
      <w:r>
        <w:rPr>
          <w:rFonts w:hint="eastAsia" w:hAnsi="Roman"/>
          <w:szCs w:val="18"/>
        </w:rPr>
        <w:t>0.5倍计算，我国可按0.2</w:t>
      </w:r>
      <w:r>
        <w:rPr>
          <w:rFonts w:hint="eastAsia" w:hAnsi="Roman"/>
          <w:szCs w:val="18"/>
        </w:rPr>
        <w:sym w:font="Symbol" w:char="F07E"/>
      </w:r>
      <w:r>
        <w:rPr>
          <w:rFonts w:hAnsi="Roman"/>
          <w:szCs w:val="18"/>
        </w:rPr>
        <w:t>0.3倍</w:t>
      </w:r>
      <w:r>
        <w:rPr>
          <w:rFonts w:hint="eastAsia" w:hAnsi="Roman"/>
          <w:szCs w:val="18"/>
        </w:rPr>
        <w:t>计</w:t>
      </w:r>
      <w:r>
        <w:rPr>
          <w:rFonts w:hint="eastAsia" w:hAnsi="Roman"/>
          <w:szCs w:val="18"/>
          <w:lang w:eastAsia="zh-CN"/>
        </w:rPr>
        <w:t>，</w:t>
      </w:r>
      <w:r>
        <w:rPr>
          <w:rFonts w:hint="eastAsia" w:hAnsi="Roman"/>
          <w:szCs w:val="18"/>
        </w:rPr>
        <w:t>以利承包人资金周转。</w:t>
      </w:r>
    </w:p>
  </w:footnote>
  <w:footnote w:id="39">
    <w:p w14:paraId="57B9479C">
      <w:pPr>
        <w:pStyle w:val="31"/>
        <w:spacing w:line="280" w:lineRule="atLeast"/>
        <w:ind w:left="210" w:hanging="210"/>
        <w:rPr>
          <w:rFonts w:hint="eastAsia"/>
          <w:szCs w:val="18"/>
        </w:rPr>
      </w:pPr>
      <w:r>
        <w:rPr>
          <w:rStyle w:val="48"/>
          <w:szCs w:val="18"/>
        </w:rPr>
        <w:footnoteRef/>
      </w:r>
      <w:r>
        <w:rPr>
          <w:rFonts w:hint="eastAsia" w:hAnsi="Roman"/>
          <w:szCs w:val="18"/>
        </w:rPr>
        <w:t xml:space="preserve">  相当于中国人民银行短期贷款利率加手续费。招标人不能自行取消本项内容或降低利率。</w:t>
      </w:r>
    </w:p>
  </w:footnote>
  <w:footnote w:id="40">
    <w:p w14:paraId="49BAD4BA">
      <w:pPr>
        <w:pStyle w:val="31"/>
        <w:snapToGrid w:val="0"/>
        <w:ind w:firstLine="0"/>
      </w:pPr>
      <w:r>
        <w:rPr>
          <w:rStyle w:val="48"/>
        </w:rPr>
        <w:footnoteRef/>
      </w:r>
      <w:r>
        <w:rPr>
          <w:rFonts w:hint="eastAsia"/>
        </w:rPr>
        <w:t>招标人可结合</w:t>
      </w:r>
      <w:r>
        <w:rPr>
          <w:rFonts w:hint="eastAsia"/>
          <w:lang w:val="en-US" w:eastAsia="zh-CN"/>
        </w:rPr>
        <w:t>辽宁</w:t>
      </w:r>
      <w:r>
        <w:rPr>
          <w:rFonts w:hint="eastAsia"/>
        </w:rPr>
        <w:t>省公路建设领域管理政策文件</w:t>
      </w:r>
      <w:r>
        <w:rPr>
          <w:rFonts w:hint="eastAsia"/>
          <w:lang w:eastAsia="zh-CN"/>
        </w:rPr>
        <w:t>、招标项目具体特点和实际需要</w:t>
      </w:r>
      <w:r>
        <w:rPr>
          <w:rFonts w:hint="eastAsia"/>
        </w:rPr>
        <w:t>对项目专用合同条款进行补充、细化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41">
    <w:p w14:paraId="7AA3231E">
      <w:pPr>
        <w:pStyle w:val="31"/>
        <w:spacing w:line="300" w:lineRule="atLeast"/>
        <w:ind w:left="360" w:hanging="360" w:hangingChars="200"/>
        <w:jc w:val="both"/>
        <w:rPr>
          <w:szCs w:val="18"/>
        </w:rPr>
      </w:pPr>
      <w:r>
        <w:rPr>
          <w:rStyle w:val="48"/>
          <w:rFonts w:ascii="宋体" w:hAnsi="宋体"/>
          <w:szCs w:val="18"/>
        </w:rPr>
        <w:footnoteRef/>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68D58D99">
      <w:pPr>
        <w:pStyle w:val="31"/>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42">
    <w:p w14:paraId="7F449AE8">
      <w:pPr>
        <w:pStyle w:val="31"/>
        <w:spacing w:line="300" w:lineRule="atLeast"/>
        <w:ind w:left="360" w:hanging="360" w:hangingChars="200"/>
        <w:rPr>
          <w:szCs w:val="18"/>
        </w:rPr>
      </w:pPr>
      <w:r>
        <w:rPr>
          <w:rStyle w:val="48"/>
          <w:szCs w:val="18"/>
        </w:rPr>
        <w:footnoteRef/>
      </w:r>
      <w:r>
        <w:rPr>
          <w:szCs w:val="18"/>
        </w:rPr>
        <w:t>a.</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093AA926">
      <w:pPr>
        <w:pStyle w:val="31"/>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621D0745">
      <w:pPr>
        <w:pStyle w:val="31"/>
        <w:ind w:left="210" w:hanging="210"/>
        <w:rPr>
          <w:rFonts w:hint="eastAsia"/>
          <w:sz w:val="21"/>
          <w:szCs w:val="21"/>
        </w:rPr>
      </w:pPr>
    </w:p>
  </w:footnote>
  <w:footnote w:id="43">
    <w:p w14:paraId="7F3CA187">
      <w:pPr>
        <w:pStyle w:val="31"/>
        <w:tabs>
          <w:tab w:val="left" w:pos="3780"/>
        </w:tabs>
        <w:spacing w:line="340" w:lineRule="atLeast"/>
        <w:ind w:left="210" w:hanging="210"/>
        <w:rPr>
          <w:rFonts w:hint="eastAsia"/>
        </w:rPr>
      </w:pPr>
      <w:r>
        <w:rPr>
          <w:rStyle w:val="48"/>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44">
    <w:p w14:paraId="4A7CFD37">
      <w:pPr>
        <w:pStyle w:val="31"/>
        <w:snapToGrid w:val="0"/>
      </w:pPr>
      <w:r>
        <w:rPr>
          <w:rStyle w:val="48"/>
          <w:kern w:val="2"/>
          <w:sz w:val="21"/>
          <w:szCs w:val="24"/>
        </w:rPr>
        <w:footnoteRef/>
      </w:r>
      <w:r>
        <w:rPr>
          <w:rFonts w:hint="eastAsia"/>
          <w:lang w:val="en-US" w:eastAsia="zh-CN"/>
        </w:rPr>
        <w:t>本工程量清单仅</w:t>
      </w:r>
      <w:r>
        <w:rPr>
          <w:rFonts w:hint="eastAsia"/>
        </w:rPr>
        <w:t>适用</w:t>
      </w:r>
      <w:r>
        <w:rPr>
          <w:rFonts w:hint="eastAsia"/>
          <w:lang w:val="en-US" w:eastAsia="zh-CN"/>
        </w:rPr>
        <w:t>于</w:t>
      </w:r>
      <w:r>
        <w:rPr>
          <w:rFonts w:hint="eastAsia"/>
        </w:rPr>
        <w:t>建设项目，养护工程项目</w:t>
      </w:r>
      <w:r>
        <w:rPr>
          <w:rFonts w:hint="eastAsia"/>
          <w:lang w:eastAsia="zh-CN"/>
        </w:rPr>
        <w:t>的</w:t>
      </w:r>
      <w:r>
        <w:rPr>
          <w:rFonts w:hint="eastAsia"/>
          <w:lang w:val="en-US" w:eastAsia="zh-CN"/>
        </w:rPr>
        <w:t>工程量清单应</w:t>
      </w:r>
      <w:r>
        <w:rPr>
          <w:rFonts w:hint="eastAsia"/>
        </w:rPr>
        <w:t>参照</w:t>
      </w:r>
      <w:r>
        <w:rPr>
          <w:rFonts w:hint="eastAsia"/>
          <w:lang w:val="en-US" w:eastAsia="zh-CN"/>
        </w:rPr>
        <w:t>执行</w:t>
      </w:r>
    </w:p>
  </w:footnote>
  <w:footnote w:id="45">
    <w:p w14:paraId="6633A2D5">
      <w:pPr>
        <w:widowControl w:val="0"/>
        <w:adjustRightInd w:val="0"/>
        <w:snapToGrid w:val="0"/>
        <w:spacing w:line="240" w:lineRule="auto"/>
        <w:ind w:left="126" w:hanging="147" w:hangingChars="70"/>
        <w:jc w:val="both"/>
        <w:textAlignment w:val="baseline"/>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详见《公路工程标准施工招标文件》（2018年版第</w:t>
      </w:r>
      <w:r>
        <w:rPr>
          <w:rFonts w:hint="eastAsia" w:cs="Times New Roman"/>
          <w:kern w:val="0"/>
          <w:sz w:val="18"/>
          <w:szCs w:val="20"/>
          <w:lang w:val="en-US" w:eastAsia="zh-CN" w:bidi="ar-SA"/>
        </w:rPr>
        <w:t>二</w:t>
      </w:r>
      <w:r>
        <w:rPr>
          <w:rFonts w:hint="eastAsia" w:ascii="Times New Roman" w:hAnsi="Times New Roman" w:eastAsia="宋体" w:cs="Times New Roman"/>
          <w:kern w:val="0"/>
          <w:sz w:val="18"/>
          <w:szCs w:val="20"/>
          <w:lang w:val="en-US" w:eastAsia="zh-CN" w:bidi="ar-SA"/>
        </w:rPr>
        <w:t>册），</w:t>
      </w:r>
      <w:r>
        <w:rPr>
          <w:rFonts w:ascii="Times New Roman" w:hAnsi="Times New Roman" w:eastAsia="宋体" w:cs="Times New Roman"/>
          <w:kern w:val="0"/>
          <w:sz w:val="18"/>
          <w:szCs w:val="20"/>
          <w:lang w:val="en-US" w:eastAsia="zh-CN" w:bidi="ar-SA"/>
        </w:rPr>
        <w:t>招标人或</w:t>
      </w:r>
      <w:r>
        <w:rPr>
          <w:rFonts w:hint="eastAsia" w:ascii="Times New Roman" w:hAnsi="Times New Roman" w:eastAsia="宋体" w:cs="Times New Roman"/>
          <w:kern w:val="0"/>
          <w:sz w:val="18"/>
          <w:szCs w:val="20"/>
          <w:lang w:val="en-US" w:eastAsia="zh-CN" w:bidi="ar-SA"/>
        </w:rPr>
        <w:t>招标人</w:t>
      </w:r>
      <w:r>
        <w:rPr>
          <w:rFonts w:ascii="Times New Roman" w:hAnsi="Times New Roman" w:eastAsia="宋体" w:cs="Times New Roman"/>
          <w:kern w:val="0"/>
          <w:sz w:val="18"/>
          <w:szCs w:val="20"/>
          <w:lang w:val="en-US" w:eastAsia="zh-CN" w:bidi="ar-SA"/>
        </w:rPr>
        <w:t>委托的</w:t>
      </w:r>
      <w:r>
        <w:rPr>
          <w:rFonts w:hint="eastAsia" w:ascii="Times New Roman" w:hAnsi="Times New Roman" w:eastAsia="宋体" w:cs="Times New Roman"/>
          <w:kern w:val="0"/>
          <w:sz w:val="18"/>
          <w:szCs w:val="20"/>
          <w:lang w:val="en-US" w:eastAsia="zh-CN" w:bidi="ar-SA"/>
        </w:rPr>
        <w:t>咨询</w:t>
      </w:r>
      <w:r>
        <w:rPr>
          <w:rFonts w:ascii="Times New Roman" w:hAnsi="Times New Roman" w:eastAsia="宋体" w:cs="Times New Roman"/>
          <w:kern w:val="0"/>
          <w:sz w:val="18"/>
          <w:szCs w:val="20"/>
          <w:lang w:val="en-US" w:eastAsia="zh-CN" w:bidi="ar-SA"/>
        </w:rPr>
        <w:t>单位</w:t>
      </w:r>
      <w:r>
        <w:rPr>
          <w:rFonts w:hint="eastAsia" w:ascii="Times New Roman" w:hAnsi="Times New Roman" w:eastAsia="宋体" w:cs="Times New Roman"/>
          <w:kern w:val="0"/>
          <w:sz w:val="18"/>
          <w:szCs w:val="20"/>
          <w:lang w:val="en-US" w:eastAsia="zh-CN" w:bidi="ar-SA"/>
        </w:rPr>
        <w:t>可</w:t>
      </w:r>
      <w:r>
        <w:rPr>
          <w:rFonts w:ascii="Times New Roman" w:hAnsi="Times New Roman" w:eastAsia="宋体" w:cs="Times New Roman"/>
          <w:kern w:val="0"/>
          <w:sz w:val="18"/>
          <w:szCs w:val="20"/>
          <w:lang w:val="en-US" w:eastAsia="zh-CN" w:bidi="ar-SA"/>
        </w:rPr>
        <w:t>依据招标图纸文件，按照交通运输部《公路工程标准施工招标文件》“第七章技术规范”、“第八章工程量清单计量规则”中相关规定，根据项目特点和实际情况进行编制，向投标人免费提供下载。</w:t>
      </w:r>
    </w:p>
  </w:footnote>
  <w:footnote w:id="46">
    <w:p w14:paraId="10BF0FCB">
      <w:pPr>
        <w:widowControl w:val="0"/>
        <w:adjustRightInd w:val="0"/>
        <w:snapToGrid w:val="0"/>
        <w:spacing w:line="240" w:lineRule="auto"/>
        <w:ind w:left="126" w:hanging="147" w:hangingChars="70"/>
        <w:jc w:val="both"/>
        <w:textAlignment w:val="baseline"/>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详见《公路工程标准施工招标文件》（2018年版第三册），</w:t>
      </w:r>
      <w:r>
        <w:rPr>
          <w:rFonts w:ascii="Times New Roman" w:hAnsi="Times New Roman" w:eastAsia="宋体" w:cs="Times New Roman"/>
          <w:kern w:val="0"/>
          <w:sz w:val="18"/>
          <w:szCs w:val="20"/>
          <w:lang w:val="en-US" w:eastAsia="zh-CN" w:bidi="ar-SA"/>
        </w:rPr>
        <w:t>招标人或</w:t>
      </w:r>
      <w:r>
        <w:rPr>
          <w:rFonts w:hint="eastAsia" w:ascii="Times New Roman" w:hAnsi="Times New Roman" w:eastAsia="宋体" w:cs="Times New Roman"/>
          <w:kern w:val="0"/>
          <w:sz w:val="18"/>
          <w:szCs w:val="20"/>
          <w:lang w:val="en-US" w:eastAsia="zh-CN" w:bidi="ar-SA"/>
        </w:rPr>
        <w:t>招标人</w:t>
      </w:r>
      <w:r>
        <w:rPr>
          <w:rFonts w:ascii="Times New Roman" w:hAnsi="Times New Roman" w:eastAsia="宋体" w:cs="Times New Roman"/>
          <w:kern w:val="0"/>
          <w:sz w:val="18"/>
          <w:szCs w:val="20"/>
          <w:lang w:val="en-US" w:eastAsia="zh-CN" w:bidi="ar-SA"/>
        </w:rPr>
        <w:t>委托的</w:t>
      </w:r>
      <w:r>
        <w:rPr>
          <w:rFonts w:hint="eastAsia" w:ascii="Times New Roman" w:hAnsi="Times New Roman" w:eastAsia="宋体" w:cs="Times New Roman"/>
          <w:kern w:val="0"/>
          <w:sz w:val="18"/>
          <w:szCs w:val="20"/>
          <w:lang w:val="en-US" w:eastAsia="zh-CN" w:bidi="ar-SA"/>
        </w:rPr>
        <w:t>咨询</w:t>
      </w:r>
      <w:r>
        <w:rPr>
          <w:rFonts w:ascii="Times New Roman" w:hAnsi="Times New Roman" w:eastAsia="宋体" w:cs="Times New Roman"/>
          <w:kern w:val="0"/>
          <w:sz w:val="18"/>
          <w:szCs w:val="20"/>
          <w:lang w:val="en-US" w:eastAsia="zh-CN" w:bidi="ar-SA"/>
        </w:rPr>
        <w:t>单位</w:t>
      </w:r>
      <w:r>
        <w:rPr>
          <w:rFonts w:hint="eastAsia" w:ascii="Times New Roman" w:hAnsi="Times New Roman" w:eastAsia="宋体" w:cs="Times New Roman"/>
          <w:kern w:val="0"/>
          <w:sz w:val="18"/>
          <w:szCs w:val="20"/>
          <w:lang w:val="en-US" w:eastAsia="zh-CN" w:bidi="ar-SA"/>
        </w:rPr>
        <w:t>可</w:t>
      </w:r>
      <w:r>
        <w:rPr>
          <w:rFonts w:ascii="Times New Roman" w:hAnsi="Times New Roman" w:eastAsia="宋体" w:cs="Times New Roman"/>
          <w:kern w:val="0"/>
          <w:sz w:val="18"/>
          <w:szCs w:val="20"/>
          <w:lang w:val="en-US" w:eastAsia="zh-CN" w:bidi="ar-SA"/>
        </w:rPr>
        <w:t>依据招标图纸文件，按照交通运输部《公路工程标准施工招标文件》“第七章技术规范”、“第八章工程量清单计量规则”中相关规定，根据项目特点和实际情况进行编制，向投标人免费提供下载。</w:t>
      </w:r>
    </w:p>
  </w:footnote>
  <w:footnote w:id="47">
    <w:p w14:paraId="5D52AF59">
      <w:pPr>
        <w:pStyle w:val="31"/>
        <w:ind w:left="210" w:hanging="210"/>
        <w:rPr>
          <w:rFonts w:hint="eastAsia"/>
          <w:szCs w:val="18"/>
        </w:rPr>
      </w:pPr>
      <w:r>
        <w:rPr>
          <w:rStyle w:val="48"/>
          <w:szCs w:val="18"/>
        </w:rPr>
        <w:footnoteRef/>
      </w:r>
      <w:r>
        <w:rPr>
          <w:rFonts w:hint="eastAsia"/>
          <w:szCs w:val="18"/>
        </w:rPr>
        <w:t>招标人可结合招标项目具体特点和实际需要，对本章内容进行补充、细化。</w:t>
      </w:r>
    </w:p>
  </w:footnote>
  <w:footnote w:id="48">
    <w:p w14:paraId="10A26383">
      <w:pPr>
        <w:pStyle w:val="31"/>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49">
    <w:p w14:paraId="5DF9C02F">
      <w:pPr>
        <w:pStyle w:val="31"/>
        <w:spacing w:line="300" w:lineRule="atLeast"/>
        <w:ind w:left="180" w:hanging="210" w:hangingChars="100"/>
        <w:rPr>
          <w:szCs w:val="18"/>
        </w:rPr>
      </w:pPr>
      <w:r>
        <w:rPr>
          <w:rStyle w:val="48"/>
          <w:kern w:val="2"/>
          <w:sz w:val="21"/>
          <w:szCs w:val="18"/>
        </w:rPr>
        <w:footnoteRef/>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50">
    <w:p w14:paraId="26A90EE9">
      <w:pPr>
        <w:pStyle w:val="31"/>
        <w:snapToGrid w:val="0"/>
        <w:ind w:firstLine="0"/>
        <w:rPr>
          <w:rFonts w:hint="default" w:eastAsia="宋体"/>
          <w:lang w:val="en-US" w:eastAsia="zh-CN"/>
        </w:rPr>
      </w:pPr>
      <w:r>
        <w:rPr>
          <w:rStyle w:val="48"/>
        </w:rPr>
        <w:footnoteRef/>
      </w:r>
      <w:r>
        <w:t xml:space="preserve"> </w:t>
      </w:r>
      <w:r>
        <w:rPr>
          <w:rFonts w:hint="eastAsia"/>
          <w:lang w:val="en-US" w:eastAsia="zh-CN"/>
        </w:rPr>
        <w:t>牵头人承担施工的份额不得低于联合体其他成员。</w:t>
      </w:r>
    </w:p>
  </w:footnote>
  <w:footnote w:id="51">
    <w:p w14:paraId="75988817">
      <w:pPr>
        <w:pStyle w:val="31"/>
        <w:spacing w:line="300" w:lineRule="atLeast"/>
        <w:ind w:left="180" w:hanging="180" w:hangingChars="100"/>
        <w:rPr>
          <w:rFonts w:hint="eastAsia" w:ascii="宋体-18030" w:hAnsi="宋体-18030" w:eastAsia="宋体-18030" w:cs="宋体-18030"/>
          <w:szCs w:val="18"/>
        </w:rPr>
      </w:pPr>
      <w:r>
        <w:rPr>
          <w:rStyle w:val="48"/>
          <w:rFonts w:ascii="宋体-18030" w:hAnsi="宋体-18030" w:eastAsia="宋体-18030" w:cs="宋体-18030"/>
          <w:szCs w:val="18"/>
        </w:rPr>
        <w:footnoteRef/>
      </w:r>
      <w:r>
        <w:rPr>
          <w:rFonts w:hint="eastAsia"/>
          <w:szCs w:val="18"/>
        </w:rPr>
        <w:t>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52">
    <w:p w14:paraId="7B05DDBF">
      <w:pPr>
        <w:pStyle w:val="31"/>
        <w:ind w:firstLine="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仅适用于特别复杂的特大桥梁和特长隧道项目主体工程以及其他有特殊要求的工程。</w:t>
      </w:r>
    </w:p>
  </w:footnote>
  <w:footnote w:id="53">
    <w:p w14:paraId="0EB27F2C">
      <w:pPr>
        <w:pStyle w:val="31"/>
        <w:ind w:firstLine="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仅适用于特别复杂的特大桥梁和特长隧道项目主体工程以及其他有特殊要求的工程。</w:t>
      </w:r>
    </w:p>
  </w:footnote>
  <w:footnote w:id="54">
    <w:p w14:paraId="584722E4">
      <w:pPr>
        <w:pStyle w:val="31"/>
        <w:ind w:firstLine="0"/>
        <w:jc w:val="both"/>
        <w:rPr>
          <w:rFonts w:hint="eastAsia" w:ascii="宋体" w:hAnsi="宋体"/>
          <w:sz w:val="21"/>
          <w:szCs w:val="21"/>
        </w:rPr>
      </w:pPr>
      <w:r>
        <w:rPr>
          <w:rStyle w:val="48"/>
          <w:rFonts w:ascii="宋体" w:hAnsi="宋体"/>
        </w:rPr>
        <w:footnoteRef/>
      </w:r>
      <w:r>
        <w:rPr>
          <w:rFonts w:hint="eastAsia" w:ascii="宋体" w:hAnsi="宋体"/>
          <w:szCs w:val="18"/>
        </w:rPr>
        <w:t>本表仅适用于特别复杂的特大桥梁和特长隧道项目主体工程以及其他有特殊要求的工程。</w:t>
      </w:r>
    </w:p>
  </w:footnote>
  <w:footnote w:id="55">
    <w:p w14:paraId="1D02DD29">
      <w:pPr>
        <w:pStyle w:val="31"/>
        <w:ind w:firstLine="0"/>
        <w:jc w:val="both"/>
        <w:rPr>
          <w:rFonts w:hint="eastAsia" w:ascii="宋体" w:hAnsi="宋体"/>
          <w:szCs w:val="18"/>
        </w:rPr>
      </w:pPr>
      <w:r>
        <w:rPr>
          <w:rStyle w:val="48"/>
          <w:rFonts w:ascii="宋体" w:hAnsi="宋体"/>
          <w:szCs w:val="18"/>
        </w:rPr>
        <w:footnoteRef/>
      </w:r>
      <w:r>
        <w:rPr>
          <w:rFonts w:hint="eastAsia" w:ascii="宋体" w:hAnsi="宋体"/>
          <w:szCs w:val="18"/>
        </w:rPr>
        <w:t>本表</w:t>
      </w:r>
      <w:r>
        <w:rPr>
          <w:rFonts w:hint="eastAsia"/>
          <w:szCs w:val="18"/>
        </w:rPr>
        <w:t>仅适用于特别复杂的特大桥梁和特长隧道项目主体工程以及其他有特殊要求的工程。</w:t>
      </w:r>
    </w:p>
  </w:footnote>
  <w:footnote w:id="56">
    <w:p w14:paraId="164982FA">
      <w:pPr>
        <w:widowControl w:val="0"/>
        <w:adjustRightInd w:val="0"/>
        <w:snapToGrid w:val="0"/>
        <w:spacing w:line="420" w:lineRule="atLeast"/>
        <w:ind w:firstLine="454"/>
        <w:jc w:val="left"/>
        <w:textAlignment w:val="baseline"/>
        <w:rPr>
          <w:rFonts w:hint="default"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若本次招标接受联合体投标，以联合体形式参与投标的投标人，联合体各成员应分别填写信息。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3D8A">
    <w:pPr>
      <w:pStyle w:val="28"/>
      <w:pBdr>
        <w:bottom w:val="none" w:color="auto" w:sz="0" w:space="0"/>
      </w:pBdr>
      <w:tabs>
        <w:tab w:val="left" w:pos="464"/>
        <w:tab w:val="center" w:pos="4397"/>
        <w:tab w:val="right" w:pos="8675"/>
        <w:tab w:val="clear" w:pos="8306"/>
      </w:tabs>
      <w:jc w:val="left"/>
      <w:rPr>
        <w:u w:val="single"/>
      </w:rPr>
    </w:pPr>
    <w:r>
      <w:rPr>
        <w:rFonts w:hint="eastAsia" w:eastAsia="黑体" w:cs="Times New Roman"/>
        <w:sz w:val="20"/>
        <w:szCs w:val="21"/>
        <w:u w:val="single"/>
        <w:lang w:eastAsia="zh-CN"/>
      </w:rPr>
      <w:t>辽宁省公路工程标准施工电子招标文件（2025年版）</w:t>
    </w:r>
    <w:r>
      <w:rPr>
        <w:rFonts w:hint="eastAsia" w:eastAsia="黑体" w:cs="Times New Roman"/>
        <w:sz w:val="20"/>
        <w:szCs w:val="21"/>
        <w:u w:val="single"/>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72F1">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28B51BF8">
    <w:pPr>
      <w:pStyle w:val="28"/>
    </w:pPr>
  </w:p>
  <w:p w14:paraId="4C11D0E5">
    <w:pPr>
      <w:pStyle w:val="28"/>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A5F0">
    <w:pPr>
      <w:pStyle w:val="28"/>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A163">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76672"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76672;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R9XGUQ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lWPF3ZAAAADAEAAA8AAAAAAAAA&#10;AQAgAAAAIgAAAGRycy9kb3ducmV2LnhtbFBLAQIUABQAAAAIAIdO4kD0fVxlEAIAAHsEAAAOAAAA&#10;AAAAAAEAIAAAACgBAABkcnMvZTJvRG9jLnhtbFBLBQYAAAAABgAGAFkBAACqBQ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6F34">
    <w:pPr>
      <w:pStyle w:val="28"/>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6ADA">
    <w:pPr>
      <w:pStyle w:val="28"/>
      <w:pBdr>
        <w:bottom w:val="single" w:color="auto" w:sz="4" w:space="0"/>
      </w:pBdr>
      <w:jc w:val="left"/>
      <w:rPr>
        <w:szCs w:val="17"/>
      </w:rPr>
    </w:pPr>
    <w:r>
      <w:rPr>
        <w:rFonts w:hint="eastAsia" w:eastAsia="黑体" w:cs="Times New Roman"/>
        <w:sz w:val="20"/>
        <w:szCs w:val="21"/>
        <w:lang w:eastAsia="zh-CN"/>
      </w:rPr>
      <w:t>辽宁省公路工程标准施工电子招标文件（2025年版）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30F5">
    <w:pPr>
      <w:pStyle w:val="28"/>
      <w:pBdr>
        <w:bottom w:val="single" w:color="auto" w:sz="4" w:space="0"/>
      </w:pBdr>
      <w:jc w:val="left"/>
      <w:rPr>
        <w:szCs w:val="17"/>
      </w:rPr>
    </w:pPr>
    <w:r>
      <w:rPr>
        <w:rFonts w:hint="eastAsia" w:eastAsia="黑体" w:cs="Times New Roman"/>
        <w:sz w:val="20"/>
        <w:szCs w:val="21"/>
        <w:lang w:eastAsia="zh-CN"/>
      </w:rPr>
      <w:t>辽宁省公路工程标准施工电子招标文件（2025年版）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5153">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7BDF4D8F">
    <w:pPr>
      <w:pStyle w:val="28"/>
      <w:rPr>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8BA2">
    <w:pPr>
      <w:pStyle w:val="28"/>
      <w:wordWrap w:val="0"/>
      <w:jc w:val="right"/>
      <w:rPr>
        <w:sz w:val="17"/>
        <w:szCs w:val="17"/>
      </w:rPr>
    </w:pPr>
    <w:r>
      <w:rPr>
        <w:sz w:val="19"/>
        <w:szCs w:val="19"/>
      </w:rPr>
      <mc:AlternateContent>
        <mc:Choice Requires="wps">
          <w:drawing>
            <wp:anchor distT="0" distB="0" distL="114300" distR="114300" simplePos="0" relativeHeight="251672576"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72576;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A680">
    <w:pPr>
      <w:pStyle w:val="28"/>
      <w:pBdr>
        <w:bottom w:val="single" w:color="auto" w:sz="4" w:space="0"/>
      </w:pBdr>
      <w:wordWrap/>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C647">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48ABCB19">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4EF9">
    <w:pPr>
      <w:pStyle w:val="28"/>
      <w:wordWrap w:val="0"/>
      <w:ind w:right="315"/>
      <w:jc w:val="right"/>
      <w:rPr>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BFE2">
    <w:pPr>
      <w:pStyle w:val="28"/>
      <w:pBdr>
        <w:bottom w:val="single" w:color="auto" w:sz="4" w:space="0"/>
      </w:pBdr>
      <w:jc w:val="left"/>
      <w:rPr>
        <w:rFonts w:hint="eastAsia" w:ascii="Times New Roman" w:hAnsi="Times New Roman" w:eastAsia="黑体" w:cs="Times New Roman"/>
        <w:sz w:val="20"/>
        <w:szCs w:val="21"/>
        <w:lang w:eastAsia="zh-CN"/>
      </w:rPr>
    </w:pPr>
    <w:r>
      <w:rPr>
        <w:rFonts w:hint="eastAsia" w:eastAsia="黑体" w:cs="Times New Roman"/>
        <w:sz w:val="20"/>
        <w:szCs w:val="21"/>
        <w:lang w:eastAsia="zh-CN"/>
      </w:rPr>
      <w:t>辽宁省公路工程标准施工电子招标文件（2025年版）</w:t>
    </w:r>
  </w:p>
  <w:p w14:paraId="5B99211C">
    <w:pPr>
      <w:pStyle w:val="28"/>
    </w:pPr>
  </w:p>
  <w:p w14:paraId="0BE5D19F">
    <w:pPr>
      <w:pStyle w:val="28"/>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5EC2">
    <w:pPr>
      <w:pBdr>
        <w:bottom w:val="single" w:color="auto" w:sz="4" w:space="1"/>
      </w:pBdr>
      <w:topLinePunct/>
      <w:spacing w:line="240" w:lineRule="atLeast"/>
      <w:ind w:right="190"/>
      <w:jc w:val="left"/>
      <w:rPr>
        <w:rFonts w:hint="eastAsia" w:eastAsia="黑体"/>
        <w:sz w:val="17"/>
        <w:szCs w:val="17"/>
        <w:lang w:val="en-US" w:eastAsia="zh-CN"/>
      </w:rPr>
    </w:pPr>
    <w:r>
      <w:rPr>
        <w:rStyle w:val="53"/>
        <w:rFonts w:hint="eastAsia" w:eastAsia="黑体"/>
        <w:b w:val="0"/>
        <w:bCs w:val="0"/>
        <w:kern w:val="10"/>
        <w:sz w:val="22"/>
        <w:szCs w:val="22"/>
        <w:lang w:eastAsia="zh-CN"/>
      </w:rPr>
      <w:t>辽宁省公路工程标准施工电子招标文件（2025年版）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4EA9">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6D45BB87">
    <w:pPr>
      <w:pStyle w:val="28"/>
    </w:pPr>
  </w:p>
  <w:p w14:paraId="4F940A40">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13E4">
    <w:pPr>
      <w:pStyle w:val="28"/>
      <w:pBdr>
        <w:bottom w:val="single" w:color="auto" w:sz="4" w:space="0"/>
      </w:pBdr>
      <w:topLinePunct/>
      <w:spacing w:line="240" w:lineRule="atLeast"/>
      <w:ind w:right="0"/>
      <w:jc w:val="left"/>
      <w:rPr>
        <w:sz w:val="17"/>
        <w:szCs w:val="17"/>
      </w:rPr>
    </w:pPr>
    <w:r>
      <w:rPr>
        <w:rFonts w:hint="eastAsia" w:eastAsia="黑体" w:cs="Times New Roman"/>
        <w:sz w:val="20"/>
        <w:szCs w:val="21"/>
        <w:lang w:eastAsia="zh-CN"/>
      </w:rPr>
      <w:t>辽宁省公路工程标准施工电子招标文件（2025年版）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FBA3">
    <w:pPr>
      <w:pStyle w:val="28"/>
      <w:rPr>
        <w:rFonts w:hint="eastAsia" w:eastAsia="宋体"/>
        <w:lang w:eastAsia="zh-CN"/>
      </w:rPr>
    </w:pPr>
    <w:r>
      <w:rPr>
        <w:rFonts w:hint="eastAsia" w:eastAsia="黑体" w:cs="Times New Roman"/>
        <w:sz w:val="20"/>
        <w:szCs w:val="21"/>
        <w:lang w:eastAsia="zh-CN"/>
      </w:rPr>
      <w:t>辽宁省公路工程标准施工电子招标文件（2025年版）</w:t>
    </w:r>
  </w:p>
  <w:p w14:paraId="3C958F20">
    <w:pPr>
      <w:pStyle w:val="2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12C2">
    <w:pPr>
      <w:pStyle w:val="28"/>
      <w:jc w:val="left"/>
      <w:rPr>
        <w:rFonts w:hint="eastAsia" w:eastAsia="宋体"/>
        <w:u w:val="single"/>
        <w:lang w:eastAsia="zh-CN"/>
      </w:rPr>
    </w:pPr>
    <w:r>
      <w:rPr>
        <w:rFonts w:hint="eastAsia" w:eastAsia="黑体" w:cs="Times New Roman"/>
        <w:sz w:val="20"/>
        <w:szCs w:val="21"/>
        <w:u w:val="single"/>
        <w:lang w:eastAsia="zh-CN"/>
      </w:rPr>
      <w:t>辽宁省公路工程标准施工电子招标文件（2025年版）</w:t>
    </w:r>
  </w:p>
  <w:p w14:paraId="63835BE4">
    <w:pPr>
      <w:pStyle w:val="28"/>
      <w:rPr>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114"/>
    <w:footnote w:id="11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ZTQ4Y2Y2NGEzY2MxZDQyNGU0OThlOWNkMmVjZTM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19"/>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5FE"/>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CBB"/>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14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CF0D89"/>
    <w:rsid w:val="01DB6127"/>
    <w:rsid w:val="020D657A"/>
    <w:rsid w:val="0223236F"/>
    <w:rsid w:val="022624E7"/>
    <w:rsid w:val="02287C7B"/>
    <w:rsid w:val="02952C5E"/>
    <w:rsid w:val="02BC242F"/>
    <w:rsid w:val="02E465FD"/>
    <w:rsid w:val="02FB5F01"/>
    <w:rsid w:val="03215A7A"/>
    <w:rsid w:val="03AF33C1"/>
    <w:rsid w:val="03C57955"/>
    <w:rsid w:val="03CA0201"/>
    <w:rsid w:val="03FD520D"/>
    <w:rsid w:val="04250D9C"/>
    <w:rsid w:val="04324399"/>
    <w:rsid w:val="046E5030"/>
    <w:rsid w:val="047C774D"/>
    <w:rsid w:val="04974EF8"/>
    <w:rsid w:val="049B596F"/>
    <w:rsid w:val="04CC1D57"/>
    <w:rsid w:val="04E83035"/>
    <w:rsid w:val="05105453"/>
    <w:rsid w:val="053A2227"/>
    <w:rsid w:val="05436A73"/>
    <w:rsid w:val="056F47F6"/>
    <w:rsid w:val="059A5C98"/>
    <w:rsid w:val="05E41A1D"/>
    <w:rsid w:val="05FE5DE3"/>
    <w:rsid w:val="06243ECF"/>
    <w:rsid w:val="065B4DA2"/>
    <w:rsid w:val="06636FB2"/>
    <w:rsid w:val="06A64F55"/>
    <w:rsid w:val="06B55198"/>
    <w:rsid w:val="06C66471"/>
    <w:rsid w:val="07041C7C"/>
    <w:rsid w:val="07222102"/>
    <w:rsid w:val="073B6441"/>
    <w:rsid w:val="07D97889"/>
    <w:rsid w:val="07E30E61"/>
    <w:rsid w:val="07F461D2"/>
    <w:rsid w:val="080B666F"/>
    <w:rsid w:val="083B16CD"/>
    <w:rsid w:val="089B2A84"/>
    <w:rsid w:val="08AB319A"/>
    <w:rsid w:val="092142EF"/>
    <w:rsid w:val="09525099"/>
    <w:rsid w:val="09774987"/>
    <w:rsid w:val="09B8437B"/>
    <w:rsid w:val="0A00361B"/>
    <w:rsid w:val="0A1C5118"/>
    <w:rsid w:val="0A294445"/>
    <w:rsid w:val="0A456833"/>
    <w:rsid w:val="0A785EBE"/>
    <w:rsid w:val="0AA753AB"/>
    <w:rsid w:val="0AC54D37"/>
    <w:rsid w:val="0ACB4F8A"/>
    <w:rsid w:val="0B544A8F"/>
    <w:rsid w:val="0B5A4560"/>
    <w:rsid w:val="0B952081"/>
    <w:rsid w:val="0B960351"/>
    <w:rsid w:val="0B9E1294"/>
    <w:rsid w:val="0BBD0871"/>
    <w:rsid w:val="0BDD7D11"/>
    <w:rsid w:val="0C746EAB"/>
    <w:rsid w:val="0CB8497B"/>
    <w:rsid w:val="0CF555B7"/>
    <w:rsid w:val="0CF57E91"/>
    <w:rsid w:val="0D06116E"/>
    <w:rsid w:val="0D305579"/>
    <w:rsid w:val="0D4C1C87"/>
    <w:rsid w:val="0D5867A2"/>
    <w:rsid w:val="0D5B47C8"/>
    <w:rsid w:val="0DA252ED"/>
    <w:rsid w:val="0DB25FD8"/>
    <w:rsid w:val="0E7A1107"/>
    <w:rsid w:val="0ECD60CB"/>
    <w:rsid w:val="0ED57398"/>
    <w:rsid w:val="0ED87C76"/>
    <w:rsid w:val="0EE53CAA"/>
    <w:rsid w:val="0F342827"/>
    <w:rsid w:val="0F4B48EC"/>
    <w:rsid w:val="0F630EB1"/>
    <w:rsid w:val="0F6A1754"/>
    <w:rsid w:val="0F6B6962"/>
    <w:rsid w:val="0FA7589A"/>
    <w:rsid w:val="0FBE2456"/>
    <w:rsid w:val="0FBF030D"/>
    <w:rsid w:val="0FCF7A0F"/>
    <w:rsid w:val="0FD3668F"/>
    <w:rsid w:val="0FE443F8"/>
    <w:rsid w:val="0FE53F92"/>
    <w:rsid w:val="0FED5C57"/>
    <w:rsid w:val="10075607"/>
    <w:rsid w:val="101501AD"/>
    <w:rsid w:val="106F0518"/>
    <w:rsid w:val="10807302"/>
    <w:rsid w:val="1083627A"/>
    <w:rsid w:val="10872825"/>
    <w:rsid w:val="108B13C2"/>
    <w:rsid w:val="10A92DD3"/>
    <w:rsid w:val="113349F9"/>
    <w:rsid w:val="116515C8"/>
    <w:rsid w:val="1175349A"/>
    <w:rsid w:val="11EE5EEA"/>
    <w:rsid w:val="12284C92"/>
    <w:rsid w:val="124A3F3F"/>
    <w:rsid w:val="129E4D82"/>
    <w:rsid w:val="12AC31BF"/>
    <w:rsid w:val="12D84F2E"/>
    <w:rsid w:val="12D940DE"/>
    <w:rsid w:val="12E14C45"/>
    <w:rsid w:val="12F6691D"/>
    <w:rsid w:val="1303121D"/>
    <w:rsid w:val="13555C66"/>
    <w:rsid w:val="1379754E"/>
    <w:rsid w:val="137E6702"/>
    <w:rsid w:val="13855EF2"/>
    <w:rsid w:val="139A42D3"/>
    <w:rsid w:val="139B3968"/>
    <w:rsid w:val="13AA0314"/>
    <w:rsid w:val="13BF31B2"/>
    <w:rsid w:val="13BF47FD"/>
    <w:rsid w:val="13D12EE6"/>
    <w:rsid w:val="13F758F1"/>
    <w:rsid w:val="13FA2E27"/>
    <w:rsid w:val="14382F65"/>
    <w:rsid w:val="14732CC4"/>
    <w:rsid w:val="14787805"/>
    <w:rsid w:val="1486741F"/>
    <w:rsid w:val="14A012B1"/>
    <w:rsid w:val="14E13D7A"/>
    <w:rsid w:val="14E60FC5"/>
    <w:rsid w:val="14F94DE7"/>
    <w:rsid w:val="15320708"/>
    <w:rsid w:val="15320AA9"/>
    <w:rsid w:val="154B447A"/>
    <w:rsid w:val="15D46D50"/>
    <w:rsid w:val="15F34711"/>
    <w:rsid w:val="16077093"/>
    <w:rsid w:val="160F7CF5"/>
    <w:rsid w:val="162166CB"/>
    <w:rsid w:val="16375ECF"/>
    <w:rsid w:val="16B40898"/>
    <w:rsid w:val="16C968FB"/>
    <w:rsid w:val="16DA6555"/>
    <w:rsid w:val="16E80C72"/>
    <w:rsid w:val="1705493D"/>
    <w:rsid w:val="1736653A"/>
    <w:rsid w:val="174C7453"/>
    <w:rsid w:val="177A699D"/>
    <w:rsid w:val="17B46CFB"/>
    <w:rsid w:val="17D8243D"/>
    <w:rsid w:val="18367024"/>
    <w:rsid w:val="18381BC6"/>
    <w:rsid w:val="185C640E"/>
    <w:rsid w:val="185F0EA1"/>
    <w:rsid w:val="18624A54"/>
    <w:rsid w:val="186938B7"/>
    <w:rsid w:val="18851D55"/>
    <w:rsid w:val="18C13618"/>
    <w:rsid w:val="18F460C2"/>
    <w:rsid w:val="19051B6A"/>
    <w:rsid w:val="19150E7F"/>
    <w:rsid w:val="19206410"/>
    <w:rsid w:val="193E287A"/>
    <w:rsid w:val="195720DF"/>
    <w:rsid w:val="19622356"/>
    <w:rsid w:val="19717EBA"/>
    <w:rsid w:val="19802244"/>
    <w:rsid w:val="198028E2"/>
    <w:rsid w:val="19930475"/>
    <w:rsid w:val="19A12CBE"/>
    <w:rsid w:val="19E1230A"/>
    <w:rsid w:val="1A1B2209"/>
    <w:rsid w:val="1A2F6BB8"/>
    <w:rsid w:val="1A352354"/>
    <w:rsid w:val="1A47372A"/>
    <w:rsid w:val="1A6E7C27"/>
    <w:rsid w:val="1A7D03A7"/>
    <w:rsid w:val="1A877ED4"/>
    <w:rsid w:val="1A8E44BC"/>
    <w:rsid w:val="1B3452EB"/>
    <w:rsid w:val="1B8013F7"/>
    <w:rsid w:val="1B8E049C"/>
    <w:rsid w:val="1B9B0E19"/>
    <w:rsid w:val="1BB13295"/>
    <w:rsid w:val="1BB9498B"/>
    <w:rsid w:val="1BCC1DC6"/>
    <w:rsid w:val="1BDC4942"/>
    <w:rsid w:val="1BF80445"/>
    <w:rsid w:val="1BF92425"/>
    <w:rsid w:val="1C2E32EC"/>
    <w:rsid w:val="1C8F12C8"/>
    <w:rsid w:val="1C9A707C"/>
    <w:rsid w:val="1CF55E97"/>
    <w:rsid w:val="1CF63BC0"/>
    <w:rsid w:val="1D72244E"/>
    <w:rsid w:val="1D8A5E16"/>
    <w:rsid w:val="1D9F3C04"/>
    <w:rsid w:val="1DB91B5D"/>
    <w:rsid w:val="1DFC3698"/>
    <w:rsid w:val="1E0647C5"/>
    <w:rsid w:val="1E3608F3"/>
    <w:rsid w:val="1EBF46A7"/>
    <w:rsid w:val="1EDF2369"/>
    <w:rsid w:val="1F200154"/>
    <w:rsid w:val="1F417171"/>
    <w:rsid w:val="1F4B4494"/>
    <w:rsid w:val="1F582468"/>
    <w:rsid w:val="1F8C2A73"/>
    <w:rsid w:val="1F8C3809"/>
    <w:rsid w:val="1F8D6BFE"/>
    <w:rsid w:val="1FCD2AA2"/>
    <w:rsid w:val="200B7C2C"/>
    <w:rsid w:val="204C4276"/>
    <w:rsid w:val="20567506"/>
    <w:rsid w:val="205A2A93"/>
    <w:rsid w:val="20914128"/>
    <w:rsid w:val="213B5E42"/>
    <w:rsid w:val="2191285E"/>
    <w:rsid w:val="21EF7359"/>
    <w:rsid w:val="21F0363B"/>
    <w:rsid w:val="21F94D1F"/>
    <w:rsid w:val="22206454"/>
    <w:rsid w:val="22241AE3"/>
    <w:rsid w:val="22360C22"/>
    <w:rsid w:val="22397D58"/>
    <w:rsid w:val="223E448F"/>
    <w:rsid w:val="225B3EBB"/>
    <w:rsid w:val="22832D4C"/>
    <w:rsid w:val="22920A1B"/>
    <w:rsid w:val="22DB0789"/>
    <w:rsid w:val="22E57F8D"/>
    <w:rsid w:val="22E9330E"/>
    <w:rsid w:val="2307194D"/>
    <w:rsid w:val="231F117D"/>
    <w:rsid w:val="234500A6"/>
    <w:rsid w:val="23640EA6"/>
    <w:rsid w:val="237F37C8"/>
    <w:rsid w:val="238547DE"/>
    <w:rsid w:val="23CA2319"/>
    <w:rsid w:val="23EA1A62"/>
    <w:rsid w:val="23F24EDE"/>
    <w:rsid w:val="24352EBB"/>
    <w:rsid w:val="2456729E"/>
    <w:rsid w:val="247C0254"/>
    <w:rsid w:val="24E85830"/>
    <w:rsid w:val="2500391B"/>
    <w:rsid w:val="25043B62"/>
    <w:rsid w:val="25295B12"/>
    <w:rsid w:val="252A328F"/>
    <w:rsid w:val="25425D52"/>
    <w:rsid w:val="25503253"/>
    <w:rsid w:val="25787F96"/>
    <w:rsid w:val="25BE6E30"/>
    <w:rsid w:val="25CF3ED6"/>
    <w:rsid w:val="25D725DE"/>
    <w:rsid w:val="25DA20CE"/>
    <w:rsid w:val="261F3F85"/>
    <w:rsid w:val="262F60F7"/>
    <w:rsid w:val="26341C2C"/>
    <w:rsid w:val="263961BD"/>
    <w:rsid w:val="2666008D"/>
    <w:rsid w:val="26A52B1C"/>
    <w:rsid w:val="26E21CEE"/>
    <w:rsid w:val="272938E6"/>
    <w:rsid w:val="273713E4"/>
    <w:rsid w:val="274769D1"/>
    <w:rsid w:val="27BD3A55"/>
    <w:rsid w:val="27E47572"/>
    <w:rsid w:val="28056DA0"/>
    <w:rsid w:val="282E0A77"/>
    <w:rsid w:val="283261F1"/>
    <w:rsid w:val="287C121A"/>
    <w:rsid w:val="28987C75"/>
    <w:rsid w:val="28D00AD7"/>
    <w:rsid w:val="2908745E"/>
    <w:rsid w:val="29485C35"/>
    <w:rsid w:val="294F0E2A"/>
    <w:rsid w:val="29D84B76"/>
    <w:rsid w:val="29F83574"/>
    <w:rsid w:val="2A0B5E22"/>
    <w:rsid w:val="2A1262DA"/>
    <w:rsid w:val="2A1C3B9F"/>
    <w:rsid w:val="2A367F13"/>
    <w:rsid w:val="2A4E7AC9"/>
    <w:rsid w:val="2A6571D9"/>
    <w:rsid w:val="2A7C19A5"/>
    <w:rsid w:val="2AA077A9"/>
    <w:rsid w:val="2AA1765E"/>
    <w:rsid w:val="2AF459E0"/>
    <w:rsid w:val="2B623335"/>
    <w:rsid w:val="2B6F71A6"/>
    <w:rsid w:val="2B9F589A"/>
    <w:rsid w:val="2BBE286E"/>
    <w:rsid w:val="2BFD78DC"/>
    <w:rsid w:val="2C752714"/>
    <w:rsid w:val="2C7B1E59"/>
    <w:rsid w:val="2C7F52AD"/>
    <w:rsid w:val="2CE4003B"/>
    <w:rsid w:val="2D142369"/>
    <w:rsid w:val="2D5B7F98"/>
    <w:rsid w:val="2D8868B3"/>
    <w:rsid w:val="2D957CF5"/>
    <w:rsid w:val="2DDD37EA"/>
    <w:rsid w:val="2DEF2F2B"/>
    <w:rsid w:val="2DF13843"/>
    <w:rsid w:val="2E0B6942"/>
    <w:rsid w:val="2E13617D"/>
    <w:rsid w:val="2E586286"/>
    <w:rsid w:val="2EF0181A"/>
    <w:rsid w:val="2EFE144D"/>
    <w:rsid w:val="2F0106CB"/>
    <w:rsid w:val="2F1D3524"/>
    <w:rsid w:val="2F3A1EFF"/>
    <w:rsid w:val="2FD72080"/>
    <w:rsid w:val="2FEA2E83"/>
    <w:rsid w:val="300B5864"/>
    <w:rsid w:val="300D151A"/>
    <w:rsid w:val="301E35DD"/>
    <w:rsid w:val="306E7FE2"/>
    <w:rsid w:val="30AA4E20"/>
    <w:rsid w:val="30B5232B"/>
    <w:rsid w:val="30F5600E"/>
    <w:rsid w:val="314F1BC2"/>
    <w:rsid w:val="31655DF0"/>
    <w:rsid w:val="31666628"/>
    <w:rsid w:val="316D218A"/>
    <w:rsid w:val="316D3DD0"/>
    <w:rsid w:val="3172765E"/>
    <w:rsid w:val="31E30425"/>
    <w:rsid w:val="32031062"/>
    <w:rsid w:val="32563F2B"/>
    <w:rsid w:val="33254432"/>
    <w:rsid w:val="335A2AA0"/>
    <w:rsid w:val="33613FFE"/>
    <w:rsid w:val="336143E6"/>
    <w:rsid w:val="3364747B"/>
    <w:rsid w:val="337445BC"/>
    <w:rsid w:val="34346E4D"/>
    <w:rsid w:val="34692E8B"/>
    <w:rsid w:val="347A0E47"/>
    <w:rsid w:val="34886BFB"/>
    <w:rsid w:val="348C6C89"/>
    <w:rsid w:val="34957CEA"/>
    <w:rsid w:val="34EF4842"/>
    <w:rsid w:val="34F66FC6"/>
    <w:rsid w:val="352670DE"/>
    <w:rsid w:val="3537548D"/>
    <w:rsid w:val="35414F6E"/>
    <w:rsid w:val="354B6D7F"/>
    <w:rsid w:val="3576279B"/>
    <w:rsid w:val="357A2DF7"/>
    <w:rsid w:val="359327CA"/>
    <w:rsid w:val="35A41BC7"/>
    <w:rsid w:val="35C70A00"/>
    <w:rsid w:val="35E37C57"/>
    <w:rsid w:val="36320DCE"/>
    <w:rsid w:val="36940077"/>
    <w:rsid w:val="36993E75"/>
    <w:rsid w:val="36D3445E"/>
    <w:rsid w:val="37075C97"/>
    <w:rsid w:val="374B13F0"/>
    <w:rsid w:val="374B61CE"/>
    <w:rsid w:val="3756191A"/>
    <w:rsid w:val="37671737"/>
    <w:rsid w:val="37B704C1"/>
    <w:rsid w:val="37D75647"/>
    <w:rsid w:val="37DB681C"/>
    <w:rsid w:val="381310BB"/>
    <w:rsid w:val="38141101"/>
    <w:rsid w:val="38262F51"/>
    <w:rsid w:val="384C15E7"/>
    <w:rsid w:val="3862042D"/>
    <w:rsid w:val="38904AB2"/>
    <w:rsid w:val="38A071A7"/>
    <w:rsid w:val="38A772D5"/>
    <w:rsid w:val="38C01602"/>
    <w:rsid w:val="39197C9B"/>
    <w:rsid w:val="39243B3D"/>
    <w:rsid w:val="396B3311"/>
    <w:rsid w:val="3975553A"/>
    <w:rsid w:val="39A14223"/>
    <w:rsid w:val="39A828A4"/>
    <w:rsid w:val="39E24842"/>
    <w:rsid w:val="39E7368D"/>
    <w:rsid w:val="3A0E1EEE"/>
    <w:rsid w:val="3A346490"/>
    <w:rsid w:val="3A8B1791"/>
    <w:rsid w:val="3AC56C4A"/>
    <w:rsid w:val="3AD0485E"/>
    <w:rsid w:val="3AE73B09"/>
    <w:rsid w:val="3B011BDC"/>
    <w:rsid w:val="3B217D32"/>
    <w:rsid w:val="3B6B584A"/>
    <w:rsid w:val="3BC574B5"/>
    <w:rsid w:val="3BFA7031"/>
    <w:rsid w:val="3C6D55F2"/>
    <w:rsid w:val="3CC2593E"/>
    <w:rsid w:val="3D1433A2"/>
    <w:rsid w:val="3D29758D"/>
    <w:rsid w:val="3D93125D"/>
    <w:rsid w:val="3D9C2ADA"/>
    <w:rsid w:val="3DB8289D"/>
    <w:rsid w:val="3DC93E69"/>
    <w:rsid w:val="3E2724E7"/>
    <w:rsid w:val="3E27676D"/>
    <w:rsid w:val="3E795988"/>
    <w:rsid w:val="3E907376"/>
    <w:rsid w:val="3ECB4852"/>
    <w:rsid w:val="3EDE3CCE"/>
    <w:rsid w:val="3F177A97"/>
    <w:rsid w:val="3F213F04"/>
    <w:rsid w:val="3F421D64"/>
    <w:rsid w:val="3F926071"/>
    <w:rsid w:val="3F951D52"/>
    <w:rsid w:val="3FC901E2"/>
    <w:rsid w:val="40363F4D"/>
    <w:rsid w:val="40477F08"/>
    <w:rsid w:val="404E3B83"/>
    <w:rsid w:val="40AF00F4"/>
    <w:rsid w:val="40C1415E"/>
    <w:rsid w:val="40C41559"/>
    <w:rsid w:val="40FF32E7"/>
    <w:rsid w:val="410D3D4D"/>
    <w:rsid w:val="41112B20"/>
    <w:rsid w:val="41377EA7"/>
    <w:rsid w:val="413F78B7"/>
    <w:rsid w:val="415914C1"/>
    <w:rsid w:val="41766CF7"/>
    <w:rsid w:val="418677AA"/>
    <w:rsid w:val="41B25855"/>
    <w:rsid w:val="41BC374E"/>
    <w:rsid w:val="41C90103"/>
    <w:rsid w:val="427D0B61"/>
    <w:rsid w:val="429B3FD5"/>
    <w:rsid w:val="42C822A4"/>
    <w:rsid w:val="434846C3"/>
    <w:rsid w:val="434B078A"/>
    <w:rsid w:val="438870AF"/>
    <w:rsid w:val="43A126F0"/>
    <w:rsid w:val="43BA2B9E"/>
    <w:rsid w:val="43E80323"/>
    <w:rsid w:val="43EA6644"/>
    <w:rsid w:val="43FA5FE2"/>
    <w:rsid w:val="44322D4A"/>
    <w:rsid w:val="444A6219"/>
    <w:rsid w:val="447B4FBA"/>
    <w:rsid w:val="44A26055"/>
    <w:rsid w:val="44F77F05"/>
    <w:rsid w:val="458B6612"/>
    <w:rsid w:val="45D03A9B"/>
    <w:rsid w:val="45D8555E"/>
    <w:rsid w:val="45F770E7"/>
    <w:rsid w:val="46197037"/>
    <w:rsid w:val="463351B6"/>
    <w:rsid w:val="469D4D26"/>
    <w:rsid w:val="46AB6703"/>
    <w:rsid w:val="46BC589A"/>
    <w:rsid w:val="4736312B"/>
    <w:rsid w:val="475E0317"/>
    <w:rsid w:val="476602F6"/>
    <w:rsid w:val="478F0B12"/>
    <w:rsid w:val="4791079B"/>
    <w:rsid w:val="479B3792"/>
    <w:rsid w:val="47A02B50"/>
    <w:rsid w:val="47A869D1"/>
    <w:rsid w:val="47AC1243"/>
    <w:rsid w:val="47C02B27"/>
    <w:rsid w:val="47C031D6"/>
    <w:rsid w:val="47FF5F01"/>
    <w:rsid w:val="481B23A3"/>
    <w:rsid w:val="484648C5"/>
    <w:rsid w:val="485B2011"/>
    <w:rsid w:val="488533E1"/>
    <w:rsid w:val="48966751"/>
    <w:rsid w:val="489F24E0"/>
    <w:rsid w:val="48A63ABC"/>
    <w:rsid w:val="48A94357"/>
    <w:rsid w:val="48AC1C02"/>
    <w:rsid w:val="48B872A7"/>
    <w:rsid w:val="4948005A"/>
    <w:rsid w:val="498E6BA8"/>
    <w:rsid w:val="49AE1FB3"/>
    <w:rsid w:val="49D74501"/>
    <w:rsid w:val="4A3634C7"/>
    <w:rsid w:val="4A3B4A5C"/>
    <w:rsid w:val="4AAB53E3"/>
    <w:rsid w:val="4AD44DC9"/>
    <w:rsid w:val="4AEC75EE"/>
    <w:rsid w:val="4AEF36A5"/>
    <w:rsid w:val="4AF306B5"/>
    <w:rsid w:val="4B0522CA"/>
    <w:rsid w:val="4B447D1C"/>
    <w:rsid w:val="4B5C0D0B"/>
    <w:rsid w:val="4C7C718B"/>
    <w:rsid w:val="4C8B5BC6"/>
    <w:rsid w:val="4CDD3E90"/>
    <w:rsid w:val="4D081D6E"/>
    <w:rsid w:val="4D153050"/>
    <w:rsid w:val="4D3B0DF4"/>
    <w:rsid w:val="4D4C3002"/>
    <w:rsid w:val="4D5214EF"/>
    <w:rsid w:val="4D79052A"/>
    <w:rsid w:val="4D7E0E31"/>
    <w:rsid w:val="4D987FF5"/>
    <w:rsid w:val="4DD82969"/>
    <w:rsid w:val="4E025A20"/>
    <w:rsid w:val="4E355844"/>
    <w:rsid w:val="4E4C43BA"/>
    <w:rsid w:val="4E7B0D91"/>
    <w:rsid w:val="4E997359"/>
    <w:rsid w:val="4ED92F65"/>
    <w:rsid w:val="4EDD4E60"/>
    <w:rsid w:val="4EFB2D25"/>
    <w:rsid w:val="4F0D3938"/>
    <w:rsid w:val="4F3E57BE"/>
    <w:rsid w:val="4F46001C"/>
    <w:rsid w:val="4F766E4A"/>
    <w:rsid w:val="4F7D13F7"/>
    <w:rsid w:val="4FFF6735"/>
    <w:rsid w:val="50224539"/>
    <w:rsid w:val="503B7ECA"/>
    <w:rsid w:val="50544178"/>
    <w:rsid w:val="50562373"/>
    <w:rsid w:val="50A0169A"/>
    <w:rsid w:val="50AE7376"/>
    <w:rsid w:val="50D15CF8"/>
    <w:rsid w:val="51113F85"/>
    <w:rsid w:val="512962D7"/>
    <w:rsid w:val="51501312"/>
    <w:rsid w:val="518D4B89"/>
    <w:rsid w:val="519059F2"/>
    <w:rsid w:val="51A72DA3"/>
    <w:rsid w:val="51D6733E"/>
    <w:rsid w:val="51D718C7"/>
    <w:rsid w:val="51EC265D"/>
    <w:rsid w:val="51F06CF2"/>
    <w:rsid w:val="51FB0B52"/>
    <w:rsid w:val="52C06024"/>
    <w:rsid w:val="52CF44B9"/>
    <w:rsid w:val="52E863D3"/>
    <w:rsid w:val="532A2A4A"/>
    <w:rsid w:val="533407C0"/>
    <w:rsid w:val="535D7D17"/>
    <w:rsid w:val="536426E8"/>
    <w:rsid w:val="53C71634"/>
    <w:rsid w:val="53DF24DA"/>
    <w:rsid w:val="54414F42"/>
    <w:rsid w:val="547D2C1A"/>
    <w:rsid w:val="54D83366"/>
    <w:rsid w:val="54DE6C35"/>
    <w:rsid w:val="54F324F8"/>
    <w:rsid w:val="55381ED8"/>
    <w:rsid w:val="553B4B8E"/>
    <w:rsid w:val="5543788A"/>
    <w:rsid w:val="554F18E1"/>
    <w:rsid w:val="557650C0"/>
    <w:rsid w:val="55BE4C30"/>
    <w:rsid w:val="55D32512"/>
    <w:rsid w:val="563E7AA9"/>
    <w:rsid w:val="568850AA"/>
    <w:rsid w:val="56C25B6C"/>
    <w:rsid w:val="56F22E81"/>
    <w:rsid w:val="570D735E"/>
    <w:rsid w:val="57140367"/>
    <w:rsid w:val="57154464"/>
    <w:rsid w:val="57313F33"/>
    <w:rsid w:val="5748072D"/>
    <w:rsid w:val="575D6106"/>
    <w:rsid w:val="5795532F"/>
    <w:rsid w:val="57A35F14"/>
    <w:rsid w:val="57B9772B"/>
    <w:rsid w:val="57E01E89"/>
    <w:rsid w:val="57FB5891"/>
    <w:rsid w:val="5805272B"/>
    <w:rsid w:val="5814296E"/>
    <w:rsid w:val="581A153C"/>
    <w:rsid w:val="58207C04"/>
    <w:rsid w:val="582912B6"/>
    <w:rsid w:val="585A4F2F"/>
    <w:rsid w:val="585D65C1"/>
    <w:rsid w:val="58B303D9"/>
    <w:rsid w:val="58F70628"/>
    <w:rsid w:val="595765E7"/>
    <w:rsid w:val="597638E0"/>
    <w:rsid w:val="59A05FAE"/>
    <w:rsid w:val="59A349B6"/>
    <w:rsid w:val="59CB2704"/>
    <w:rsid w:val="59E1204C"/>
    <w:rsid w:val="5A0A04CC"/>
    <w:rsid w:val="5A56162A"/>
    <w:rsid w:val="5ACE32A8"/>
    <w:rsid w:val="5B1F079D"/>
    <w:rsid w:val="5B526733"/>
    <w:rsid w:val="5B562F03"/>
    <w:rsid w:val="5B5F03A4"/>
    <w:rsid w:val="5B8A1310"/>
    <w:rsid w:val="5B8D3163"/>
    <w:rsid w:val="5BF1122A"/>
    <w:rsid w:val="5C063D09"/>
    <w:rsid w:val="5C080114"/>
    <w:rsid w:val="5C12295F"/>
    <w:rsid w:val="5C127F2F"/>
    <w:rsid w:val="5C283EC9"/>
    <w:rsid w:val="5C32705D"/>
    <w:rsid w:val="5C437174"/>
    <w:rsid w:val="5CA2305B"/>
    <w:rsid w:val="5CE72BA5"/>
    <w:rsid w:val="5D0E7222"/>
    <w:rsid w:val="5D51434E"/>
    <w:rsid w:val="5D716BFF"/>
    <w:rsid w:val="5DAE4430"/>
    <w:rsid w:val="5DB71AE2"/>
    <w:rsid w:val="5DBF46C1"/>
    <w:rsid w:val="5DC23EA0"/>
    <w:rsid w:val="5DC866D4"/>
    <w:rsid w:val="5E50108F"/>
    <w:rsid w:val="5EA12E97"/>
    <w:rsid w:val="5ECC5D50"/>
    <w:rsid w:val="5EDB4749"/>
    <w:rsid w:val="5F2416FD"/>
    <w:rsid w:val="5F29531B"/>
    <w:rsid w:val="5F2D2C93"/>
    <w:rsid w:val="5F5A335C"/>
    <w:rsid w:val="5F750196"/>
    <w:rsid w:val="5F9728E0"/>
    <w:rsid w:val="5F9F09A1"/>
    <w:rsid w:val="5FBE1B3D"/>
    <w:rsid w:val="5FC03B07"/>
    <w:rsid w:val="5FD737D1"/>
    <w:rsid w:val="600A7372"/>
    <w:rsid w:val="603077A1"/>
    <w:rsid w:val="60384C08"/>
    <w:rsid w:val="603D5158"/>
    <w:rsid w:val="604A3DA3"/>
    <w:rsid w:val="60673F83"/>
    <w:rsid w:val="606968D4"/>
    <w:rsid w:val="60940AF0"/>
    <w:rsid w:val="60A11A1B"/>
    <w:rsid w:val="60A26FD1"/>
    <w:rsid w:val="60AE3960"/>
    <w:rsid w:val="60DA6DED"/>
    <w:rsid w:val="612158E8"/>
    <w:rsid w:val="612B7408"/>
    <w:rsid w:val="6148180F"/>
    <w:rsid w:val="617B7D81"/>
    <w:rsid w:val="61A90EE7"/>
    <w:rsid w:val="61B70402"/>
    <w:rsid w:val="61FB55A6"/>
    <w:rsid w:val="62524AEA"/>
    <w:rsid w:val="62610F56"/>
    <w:rsid w:val="6275524C"/>
    <w:rsid w:val="628462D0"/>
    <w:rsid w:val="62B60044"/>
    <w:rsid w:val="62EE44E7"/>
    <w:rsid w:val="62F6602C"/>
    <w:rsid w:val="630B0D25"/>
    <w:rsid w:val="633B5253"/>
    <w:rsid w:val="637E5499"/>
    <w:rsid w:val="639D576F"/>
    <w:rsid w:val="63EC3E4B"/>
    <w:rsid w:val="642C28A1"/>
    <w:rsid w:val="644D16E1"/>
    <w:rsid w:val="64680C55"/>
    <w:rsid w:val="648D6455"/>
    <w:rsid w:val="655C29BA"/>
    <w:rsid w:val="65742EC7"/>
    <w:rsid w:val="6580369E"/>
    <w:rsid w:val="65931376"/>
    <w:rsid w:val="65D24D07"/>
    <w:rsid w:val="660E7CE2"/>
    <w:rsid w:val="666D68AF"/>
    <w:rsid w:val="66B141AA"/>
    <w:rsid w:val="66C8504F"/>
    <w:rsid w:val="66CC3556"/>
    <w:rsid w:val="66E638C0"/>
    <w:rsid w:val="66E95763"/>
    <w:rsid w:val="6725610F"/>
    <w:rsid w:val="6759645C"/>
    <w:rsid w:val="676C20F3"/>
    <w:rsid w:val="676C45F3"/>
    <w:rsid w:val="67801DCE"/>
    <w:rsid w:val="67F53618"/>
    <w:rsid w:val="6804655B"/>
    <w:rsid w:val="6820733F"/>
    <w:rsid w:val="68210EBB"/>
    <w:rsid w:val="687C556E"/>
    <w:rsid w:val="688C4126"/>
    <w:rsid w:val="68A851D6"/>
    <w:rsid w:val="68F42334"/>
    <w:rsid w:val="68F465CF"/>
    <w:rsid w:val="691B590A"/>
    <w:rsid w:val="69423AFE"/>
    <w:rsid w:val="694D30F2"/>
    <w:rsid w:val="69572F2E"/>
    <w:rsid w:val="69631A3C"/>
    <w:rsid w:val="697F4AA5"/>
    <w:rsid w:val="699B5379"/>
    <w:rsid w:val="69B549C5"/>
    <w:rsid w:val="69DF102E"/>
    <w:rsid w:val="69F13A07"/>
    <w:rsid w:val="69F45E5D"/>
    <w:rsid w:val="6A44239D"/>
    <w:rsid w:val="6A4721BE"/>
    <w:rsid w:val="6A75300F"/>
    <w:rsid w:val="6AA735D6"/>
    <w:rsid w:val="6AD93563"/>
    <w:rsid w:val="6ADD7165"/>
    <w:rsid w:val="6B2D5DC9"/>
    <w:rsid w:val="6B39476E"/>
    <w:rsid w:val="6B3E69F2"/>
    <w:rsid w:val="6B6E6329"/>
    <w:rsid w:val="6BB34520"/>
    <w:rsid w:val="6BF665EC"/>
    <w:rsid w:val="6BFD6405"/>
    <w:rsid w:val="6C1A459F"/>
    <w:rsid w:val="6C2350B1"/>
    <w:rsid w:val="6C2E1FA5"/>
    <w:rsid w:val="6C68086C"/>
    <w:rsid w:val="6C7D68DC"/>
    <w:rsid w:val="6C9672F5"/>
    <w:rsid w:val="6CAF1D3C"/>
    <w:rsid w:val="6CD40BF2"/>
    <w:rsid w:val="6CE030B0"/>
    <w:rsid w:val="6CF556F7"/>
    <w:rsid w:val="6D4A4A10"/>
    <w:rsid w:val="6D4B6130"/>
    <w:rsid w:val="6D6E4F1D"/>
    <w:rsid w:val="6D940869"/>
    <w:rsid w:val="6DA00AD4"/>
    <w:rsid w:val="6DB14A8F"/>
    <w:rsid w:val="6DB9605E"/>
    <w:rsid w:val="6E2200E3"/>
    <w:rsid w:val="6E6F7FAE"/>
    <w:rsid w:val="6EB0094B"/>
    <w:rsid w:val="6F16554D"/>
    <w:rsid w:val="6F1B4E65"/>
    <w:rsid w:val="6F2C2BA0"/>
    <w:rsid w:val="6F2E3093"/>
    <w:rsid w:val="6F4162E7"/>
    <w:rsid w:val="6F5953DE"/>
    <w:rsid w:val="6F8259ED"/>
    <w:rsid w:val="6FD459CC"/>
    <w:rsid w:val="7054775D"/>
    <w:rsid w:val="7056191E"/>
    <w:rsid w:val="705C02A6"/>
    <w:rsid w:val="70983CE4"/>
    <w:rsid w:val="70B22023"/>
    <w:rsid w:val="70D43718"/>
    <w:rsid w:val="70D91188"/>
    <w:rsid w:val="70DC4260"/>
    <w:rsid w:val="70E22E6B"/>
    <w:rsid w:val="70E44F58"/>
    <w:rsid w:val="71265794"/>
    <w:rsid w:val="714176D5"/>
    <w:rsid w:val="71645191"/>
    <w:rsid w:val="717007BD"/>
    <w:rsid w:val="719F6A56"/>
    <w:rsid w:val="71A1306D"/>
    <w:rsid w:val="71A843FB"/>
    <w:rsid w:val="71C304CB"/>
    <w:rsid w:val="71D21648"/>
    <w:rsid w:val="72013855"/>
    <w:rsid w:val="720D24B0"/>
    <w:rsid w:val="725C58D5"/>
    <w:rsid w:val="72802C82"/>
    <w:rsid w:val="72A110C3"/>
    <w:rsid w:val="72E451C2"/>
    <w:rsid w:val="72E804B1"/>
    <w:rsid w:val="73047407"/>
    <w:rsid w:val="73055543"/>
    <w:rsid w:val="735F4E81"/>
    <w:rsid w:val="738E367E"/>
    <w:rsid w:val="73DB1B03"/>
    <w:rsid w:val="73DB4206"/>
    <w:rsid w:val="73EF6311"/>
    <w:rsid w:val="73FE2B4F"/>
    <w:rsid w:val="742324DB"/>
    <w:rsid w:val="742A559B"/>
    <w:rsid w:val="747D44D4"/>
    <w:rsid w:val="747F1A52"/>
    <w:rsid w:val="74984A16"/>
    <w:rsid w:val="74C01A5C"/>
    <w:rsid w:val="74C57302"/>
    <w:rsid w:val="74D3178F"/>
    <w:rsid w:val="74F636CF"/>
    <w:rsid w:val="753905B0"/>
    <w:rsid w:val="75401397"/>
    <w:rsid w:val="75575F1C"/>
    <w:rsid w:val="75604BFB"/>
    <w:rsid w:val="757F4F2B"/>
    <w:rsid w:val="75F36C04"/>
    <w:rsid w:val="75F6664F"/>
    <w:rsid w:val="764E16EE"/>
    <w:rsid w:val="76830F93"/>
    <w:rsid w:val="76CA0970"/>
    <w:rsid w:val="76E934EC"/>
    <w:rsid w:val="7702635B"/>
    <w:rsid w:val="77694336"/>
    <w:rsid w:val="777A75D4"/>
    <w:rsid w:val="778D79A7"/>
    <w:rsid w:val="77A1279F"/>
    <w:rsid w:val="77A6318B"/>
    <w:rsid w:val="77B021B5"/>
    <w:rsid w:val="77BC4187"/>
    <w:rsid w:val="77D5581E"/>
    <w:rsid w:val="7829682B"/>
    <w:rsid w:val="78987324"/>
    <w:rsid w:val="78DB6E64"/>
    <w:rsid w:val="78FB178A"/>
    <w:rsid w:val="792720A9"/>
    <w:rsid w:val="79870D9A"/>
    <w:rsid w:val="79A67426"/>
    <w:rsid w:val="79AB2CDA"/>
    <w:rsid w:val="79C42A3C"/>
    <w:rsid w:val="79D34622"/>
    <w:rsid w:val="79EA2E23"/>
    <w:rsid w:val="7A195DA1"/>
    <w:rsid w:val="7A56161A"/>
    <w:rsid w:val="7A700510"/>
    <w:rsid w:val="7A9E639B"/>
    <w:rsid w:val="7AA240DD"/>
    <w:rsid w:val="7AAB7433"/>
    <w:rsid w:val="7AB03EDB"/>
    <w:rsid w:val="7B2D1921"/>
    <w:rsid w:val="7B3F44E4"/>
    <w:rsid w:val="7B687429"/>
    <w:rsid w:val="7B7517F2"/>
    <w:rsid w:val="7B7E4979"/>
    <w:rsid w:val="7BCB1412"/>
    <w:rsid w:val="7BEE05A2"/>
    <w:rsid w:val="7BF3017A"/>
    <w:rsid w:val="7C0132AF"/>
    <w:rsid w:val="7C0A6D20"/>
    <w:rsid w:val="7C2C6727"/>
    <w:rsid w:val="7C75792F"/>
    <w:rsid w:val="7CAB2FF1"/>
    <w:rsid w:val="7CD15B82"/>
    <w:rsid w:val="7CED7B6F"/>
    <w:rsid w:val="7D603DDC"/>
    <w:rsid w:val="7D757DAE"/>
    <w:rsid w:val="7D7F24B4"/>
    <w:rsid w:val="7D7F72F7"/>
    <w:rsid w:val="7D951EC0"/>
    <w:rsid w:val="7DC9372F"/>
    <w:rsid w:val="7DDC0746"/>
    <w:rsid w:val="7DF92132"/>
    <w:rsid w:val="7E497A3C"/>
    <w:rsid w:val="7E553215"/>
    <w:rsid w:val="7E7328E3"/>
    <w:rsid w:val="7E826EBB"/>
    <w:rsid w:val="7E827ED4"/>
    <w:rsid w:val="7ED5043F"/>
    <w:rsid w:val="7EE54599"/>
    <w:rsid w:val="7F2A28F3"/>
    <w:rsid w:val="7F66749C"/>
    <w:rsid w:val="7F90133D"/>
    <w:rsid w:val="7F9972B4"/>
    <w:rsid w:val="7FC37164"/>
    <w:rsid w:val="7FEC4D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59"/>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3"/>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57"/>
    <w:qFormat/>
    <w:uiPriority w:val="0"/>
    <w:rPr>
      <w:rFonts w:ascii="宋体"/>
      <w:sz w:val="18"/>
      <w:szCs w:val="18"/>
    </w:rPr>
  </w:style>
  <w:style w:type="paragraph" w:styleId="15">
    <w:name w:val="annotation text"/>
    <w:basedOn w:val="1"/>
    <w:link w:val="51"/>
    <w:qFormat/>
    <w:uiPriority w:val="0"/>
    <w:pPr>
      <w:jc w:val="left"/>
    </w:pPr>
  </w:style>
  <w:style w:type="paragraph" w:styleId="16">
    <w:name w:val="Body Text 3"/>
    <w:basedOn w:val="1"/>
    <w:link w:val="49"/>
    <w:qFormat/>
    <w:uiPriority w:val="0"/>
    <w:rPr>
      <w:rFonts w:ascii="宋体"/>
      <w:sz w:val="24"/>
      <w:szCs w:val="20"/>
    </w:rPr>
  </w:style>
  <w:style w:type="paragraph" w:styleId="17">
    <w:name w:val="Body Text"/>
    <w:basedOn w:val="1"/>
    <w:qFormat/>
    <w:uiPriority w:val="0"/>
    <w:pPr>
      <w:spacing w:after="120"/>
    </w:pPr>
  </w:style>
  <w:style w:type="paragraph" w:styleId="18">
    <w:name w:val="Body Text Indent"/>
    <w:basedOn w:val="1"/>
    <w:qFormat/>
    <w:uiPriority w:val="0"/>
    <w:pPr>
      <w:spacing w:after="120"/>
      <w:ind w:left="420" w:leftChars="200"/>
    </w:pPr>
  </w:style>
  <w:style w:type="paragraph" w:styleId="19">
    <w:name w:val="toc 5"/>
    <w:basedOn w:val="1"/>
    <w:next w:val="1"/>
    <w:unhideWhenUsed/>
    <w:qFormat/>
    <w:uiPriority w:val="39"/>
    <w:pPr>
      <w:ind w:left="1680" w:leftChars="800"/>
    </w:pPr>
    <w:rPr>
      <w:rFonts w:ascii="Calibri" w:hAnsi="Calibri" w:eastAsia="宋体" w:cs="Times New Roman"/>
      <w:szCs w:val="22"/>
    </w:rPr>
  </w:style>
  <w:style w:type="paragraph" w:styleId="20">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1">
    <w:name w:val="Plain Text"/>
    <w:basedOn w:val="1"/>
    <w:link w:val="56"/>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eastAsia="宋体" w:cs="Times New Roman"/>
      <w:szCs w:val="22"/>
    </w:rPr>
  </w:style>
  <w:style w:type="paragraph" w:styleId="23">
    <w:name w:val="Date"/>
    <w:basedOn w:val="1"/>
    <w:next w:val="1"/>
    <w:qFormat/>
    <w:uiPriority w:val="0"/>
    <w:rPr>
      <w:sz w:val="24"/>
      <w:szCs w:val="20"/>
    </w:rPr>
  </w:style>
  <w:style w:type="paragraph" w:styleId="24">
    <w:name w:val="Body Text Indent 2"/>
    <w:basedOn w:val="1"/>
    <w:qFormat/>
    <w:uiPriority w:val="0"/>
    <w:pPr>
      <w:spacing w:line="500" w:lineRule="exact"/>
      <w:ind w:firstLine="540" w:firstLineChars="200"/>
    </w:pPr>
    <w:rPr>
      <w:rFonts w:ascii="宋体" w:hAnsi="宋体"/>
      <w:sz w:val="27"/>
      <w:szCs w:val="27"/>
    </w:rPr>
  </w:style>
  <w:style w:type="paragraph" w:styleId="25">
    <w:name w:val="endnote text"/>
    <w:basedOn w:val="1"/>
    <w:semiHidden/>
    <w:qFormat/>
    <w:uiPriority w:val="0"/>
    <w:pPr>
      <w:snapToGrid w:val="0"/>
      <w:jc w:val="left"/>
    </w:pPr>
  </w:style>
  <w:style w:type="paragraph" w:styleId="26">
    <w:name w:val="Balloon Text"/>
    <w:basedOn w:val="1"/>
    <w:semiHidden/>
    <w:qFormat/>
    <w:uiPriority w:val="0"/>
    <w:rPr>
      <w:sz w:val="18"/>
      <w:szCs w:val="18"/>
    </w:rPr>
  </w:style>
  <w:style w:type="paragraph" w:styleId="27">
    <w:name w:val="footer"/>
    <w:basedOn w:val="1"/>
    <w:link w:val="52"/>
    <w:qFormat/>
    <w:uiPriority w:val="0"/>
    <w:pPr>
      <w:tabs>
        <w:tab w:val="center" w:pos="4153"/>
        <w:tab w:val="right" w:pos="8306"/>
      </w:tabs>
      <w:snapToGrid w:val="0"/>
      <w:jc w:val="left"/>
    </w:pPr>
    <w:rPr>
      <w:sz w:val="18"/>
      <w:szCs w:val="18"/>
    </w:rPr>
  </w:style>
  <w:style w:type="paragraph" w:styleId="28">
    <w:name w:val="header"/>
    <w:basedOn w:val="1"/>
    <w:link w:val="66"/>
    <w:qFormat/>
    <w:uiPriority w:val="0"/>
    <w:pPr>
      <w:tabs>
        <w:tab w:val="center" w:pos="4153"/>
        <w:tab w:val="right" w:pos="8306"/>
      </w:tabs>
      <w:snapToGrid w:val="0"/>
      <w:jc w:val="center"/>
    </w:pPr>
    <w:rPr>
      <w:sz w:val="18"/>
      <w:szCs w:val="18"/>
    </w:rPr>
  </w:style>
  <w:style w:type="paragraph" w:styleId="29">
    <w:name w:val="toc 1"/>
    <w:basedOn w:val="1"/>
    <w:next w:val="1"/>
    <w:qFormat/>
    <w:uiPriority w:val="39"/>
    <w:pPr>
      <w:tabs>
        <w:tab w:val="left" w:pos="425"/>
        <w:tab w:val="right" w:leader="dot" w:pos="8805"/>
      </w:tabs>
      <w:spacing w:line="440" w:lineRule="exact"/>
      <w:jc w:val="center"/>
    </w:pPr>
    <w:rPr>
      <w:color w:val="000000"/>
      <w:sz w:val="20"/>
      <w:szCs w:val="20"/>
    </w:rPr>
  </w:style>
  <w:style w:type="paragraph" w:styleId="30">
    <w:name w:val="toc 4"/>
    <w:basedOn w:val="1"/>
    <w:next w:val="1"/>
    <w:unhideWhenUsed/>
    <w:qFormat/>
    <w:uiPriority w:val="39"/>
    <w:pPr>
      <w:ind w:left="1260" w:leftChars="600"/>
    </w:pPr>
    <w:rPr>
      <w:rFonts w:ascii="Calibri" w:hAnsi="Calibri" w:eastAsia="宋体" w:cs="Times New Roman"/>
      <w:szCs w:val="22"/>
    </w:rPr>
  </w:style>
  <w:style w:type="paragraph" w:styleId="31">
    <w:name w:val="footnote text"/>
    <w:basedOn w:val="1"/>
    <w:link w:val="58"/>
    <w:qFormat/>
    <w:uiPriority w:val="0"/>
    <w:pPr>
      <w:adjustRightInd w:val="0"/>
      <w:snapToGrid w:val="0"/>
      <w:spacing w:line="420" w:lineRule="atLeast"/>
      <w:ind w:firstLine="454"/>
      <w:jc w:val="left"/>
      <w:textAlignment w:val="baseline"/>
    </w:pPr>
    <w:rPr>
      <w:kern w:val="0"/>
      <w:sz w:val="18"/>
      <w:szCs w:val="20"/>
    </w:rPr>
  </w:style>
  <w:style w:type="paragraph" w:styleId="32">
    <w:name w:val="toc 6"/>
    <w:basedOn w:val="1"/>
    <w:next w:val="1"/>
    <w:unhideWhenUsed/>
    <w:qFormat/>
    <w:uiPriority w:val="39"/>
    <w:pPr>
      <w:ind w:left="2100" w:leftChars="1000"/>
    </w:pPr>
    <w:rPr>
      <w:rFonts w:ascii="Calibri" w:hAnsi="Calibri" w:eastAsia="宋体" w:cs="Times New Roman"/>
      <w:szCs w:val="22"/>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eastAsia="宋体" w:cs="Times New Roman"/>
      <w:szCs w:val="22"/>
    </w:rPr>
  </w:style>
  <w:style w:type="paragraph" w:styleId="36">
    <w:name w:val="Body Text 2"/>
    <w:basedOn w:val="1"/>
    <w:qFormat/>
    <w:uiPriority w:val="0"/>
    <w:pPr>
      <w:spacing w:after="120" w:line="480" w:lineRule="auto"/>
    </w:pPr>
  </w:style>
  <w:style w:type="paragraph" w:styleId="37">
    <w:name w:val="index 1"/>
    <w:basedOn w:val="1"/>
    <w:next w:val="1"/>
    <w:semiHidden/>
    <w:qFormat/>
    <w:uiPriority w:val="0"/>
    <w:pPr>
      <w:spacing w:line="220" w:lineRule="exact"/>
      <w:jc w:val="center"/>
    </w:pPr>
    <w:rPr>
      <w:rFonts w:ascii="仿宋_GB2312" w:eastAsia="仿宋_GB2312"/>
      <w:szCs w:val="21"/>
    </w:rPr>
  </w:style>
  <w:style w:type="paragraph" w:styleId="38">
    <w:name w:val="Title"/>
    <w:basedOn w:val="1"/>
    <w:link w:val="5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50"/>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semiHidden/>
    <w:qFormat/>
    <w:uiPriority w:val="0"/>
    <w:rPr>
      <w:vertAlign w:val="superscript"/>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customStyle="1" w:styleId="49">
    <w:name w:val="正文文本 3 Char"/>
    <w:basedOn w:val="42"/>
    <w:link w:val="16"/>
    <w:qFormat/>
    <w:uiPriority w:val="0"/>
    <w:rPr>
      <w:rFonts w:ascii="宋体"/>
      <w:kern w:val="2"/>
      <w:sz w:val="24"/>
    </w:rPr>
  </w:style>
  <w:style w:type="character" w:customStyle="1" w:styleId="50">
    <w:name w:val="批注主题 Char"/>
    <w:link w:val="39"/>
    <w:qFormat/>
    <w:uiPriority w:val="0"/>
    <w:rPr>
      <w:b/>
      <w:bCs/>
      <w:kern w:val="2"/>
      <w:sz w:val="21"/>
      <w:szCs w:val="24"/>
    </w:rPr>
  </w:style>
  <w:style w:type="character" w:customStyle="1" w:styleId="51">
    <w:name w:val="批注文字 Char"/>
    <w:basedOn w:val="42"/>
    <w:link w:val="15"/>
    <w:qFormat/>
    <w:uiPriority w:val="0"/>
    <w:rPr>
      <w:kern w:val="2"/>
      <w:sz w:val="21"/>
      <w:szCs w:val="24"/>
    </w:rPr>
  </w:style>
  <w:style w:type="character" w:customStyle="1" w:styleId="52">
    <w:name w:val="页脚 Char"/>
    <w:link w:val="27"/>
    <w:qFormat/>
    <w:uiPriority w:val="0"/>
    <w:rPr>
      <w:rFonts w:eastAsia="宋体"/>
      <w:kern w:val="2"/>
      <w:sz w:val="18"/>
      <w:szCs w:val="18"/>
      <w:lang w:val="en-US" w:eastAsia="zh-CN" w:bidi="ar-SA"/>
    </w:rPr>
  </w:style>
  <w:style w:type="character" w:customStyle="1" w:styleId="53">
    <w:name w:val="font161"/>
    <w:qFormat/>
    <w:uiPriority w:val="0"/>
    <w:rPr>
      <w:b/>
      <w:bCs/>
      <w:sz w:val="32"/>
      <w:szCs w:val="32"/>
    </w:rPr>
  </w:style>
  <w:style w:type="character" w:customStyle="1" w:styleId="54">
    <w:name w:val="标题 Char"/>
    <w:link w:val="38"/>
    <w:qFormat/>
    <w:uiPriority w:val="0"/>
    <w:rPr>
      <w:rFonts w:ascii="Arial" w:hAnsi="Arial" w:eastAsia="宋体"/>
      <w:b/>
      <w:sz w:val="32"/>
      <w:lang w:val="en-US" w:eastAsia="zh-CN" w:bidi="ar-SA"/>
    </w:rPr>
  </w:style>
  <w:style w:type="character" w:customStyle="1" w:styleId="55">
    <w:name w:val="数字"/>
    <w:qFormat/>
    <w:uiPriority w:val="0"/>
    <w:rPr>
      <w:rFonts w:eastAsia="黑体"/>
      <w:b/>
      <w:sz w:val="21"/>
    </w:rPr>
  </w:style>
  <w:style w:type="character" w:customStyle="1" w:styleId="56">
    <w:name w:val="纯文本 Char"/>
    <w:link w:val="21"/>
    <w:qFormat/>
    <w:uiPriority w:val="0"/>
    <w:rPr>
      <w:rFonts w:ascii="宋体" w:hAnsi="Courier New" w:eastAsia="宋体"/>
      <w:kern w:val="2"/>
      <w:sz w:val="21"/>
      <w:lang w:val="en-US" w:eastAsia="zh-CN" w:bidi="ar-SA"/>
    </w:rPr>
  </w:style>
  <w:style w:type="character" w:customStyle="1" w:styleId="57">
    <w:name w:val="文档结构图 Char"/>
    <w:link w:val="14"/>
    <w:qFormat/>
    <w:uiPriority w:val="0"/>
    <w:rPr>
      <w:rFonts w:ascii="宋体"/>
      <w:kern w:val="2"/>
      <w:sz w:val="18"/>
      <w:szCs w:val="18"/>
    </w:rPr>
  </w:style>
  <w:style w:type="character" w:customStyle="1" w:styleId="58">
    <w:name w:val="脚注文本 Char"/>
    <w:link w:val="31"/>
    <w:qFormat/>
    <w:uiPriority w:val="0"/>
    <w:rPr>
      <w:sz w:val="18"/>
    </w:rPr>
  </w:style>
  <w:style w:type="character" w:customStyle="1" w:styleId="59">
    <w:name w:val="标题 2 Char"/>
    <w:link w:val="3"/>
    <w:qFormat/>
    <w:uiPriority w:val="0"/>
    <w:rPr>
      <w:rFonts w:ascii="宋体" w:hAnsi="宋体" w:eastAsia="黑体"/>
      <w:bCs/>
      <w:i/>
      <w:iCs/>
      <w:kern w:val="2"/>
      <w:sz w:val="24"/>
    </w:rPr>
  </w:style>
  <w:style w:type="character" w:customStyle="1" w:styleId="60">
    <w:name w:val="H001 Char"/>
    <w:link w:val="61"/>
    <w:qFormat/>
    <w:uiPriority w:val="0"/>
    <w:rPr>
      <w:rFonts w:eastAsia="黑体"/>
      <w:bCs/>
      <w:kern w:val="44"/>
      <w:sz w:val="24"/>
      <w:szCs w:val="44"/>
    </w:rPr>
  </w:style>
  <w:style w:type="paragraph" w:customStyle="1" w:styleId="61">
    <w:name w:val="H001"/>
    <w:basedOn w:val="2"/>
    <w:link w:val="60"/>
    <w:qFormat/>
    <w:uiPriority w:val="0"/>
    <w:pPr>
      <w:spacing w:before="240" w:after="240" w:line="240" w:lineRule="exact"/>
    </w:pPr>
    <w:rPr>
      <w:rFonts w:eastAsia="黑体"/>
      <w:sz w:val="24"/>
    </w:rPr>
  </w:style>
  <w:style w:type="character" w:customStyle="1" w:styleId="62">
    <w:name w:val="脚注文本 字符1"/>
    <w:semiHidden/>
    <w:qFormat/>
    <w:locked/>
    <w:uiPriority w:val="0"/>
    <w:rPr>
      <w:kern w:val="2"/>
      <w:sz w:val="18"/>
      <w:szCs w:val="18"/>
    </w:rPr>
  </w:style>
  <w:style w:type="character" w:customStyle="1" w:styleId="63">
    <w:name w:val="标题 3 Char"/>
    <w:link w:val="5"/>
    <w:qFormat/>
    <w:uiPriority w:val="0"/>
    <w:rPr>
      <w:b/>
      <w:sz w:val="32"/>
    </w:rPr>
  </w:style>
  <w:style w:type="character" w:customStyle="1" w:styleId="64">
    <w:name w:val="标题 1 Char"/>
    <w:link w:val="2"/>
    <w:qFormat/>
    <w:uiPriority w:val="0"/>
    <w:rPr>
      <w:rFonts w:eastAsia="黑体"/>
      <w:bCs/>
      <w:kern w:val="44"/>
      <w:sz w:val="24"/>
      <w:szCs w:val="44"/>
    </w:rPr>
  </w:style>
  <w:style w:type="character" w:customStyle="1" w:styleId="65">
    <w:name w:val="未处理的提及"/>
    <w:unhideWhenUsed/>
    <w:qFormat/>
    <w:uiPriority w:val="99"/>
    <w:rPr>
      <w:color w:val="808080"/>
      <w:shd w:val="clear" w:color="auto" w:fill="E6E6E6"/>
    </w:rPr>
  </w:style>
  <w:style w:type="character" w:customStyle="1" w:styleId="66">
    <w:name w:val="页眉 Char"/>
    <w:basedOn w:val="42"/>
    <w:link w:val="28"/>
    <w:qFormat/>
    <w:uiPriority w:val="0"/>
    <w:rPr>
      <w:kern w:val="2"/>
      <w:sz w:val="18"/>
      <w:szCs w:val="18"/>
    </w:rPr>
  </w:style>
  <w:style w:type="paragraph" w:customStyle="1" w:styleId="67">
    <w:name w:val="2"/>
    <w:basedOn w:val="1"/>
    <w:qFormat/>
    <w:uiPriority w:val="0"/>
    <w:pPr>
      <w:adjustRightInd w:val="0"/>
      <w:spacing w:line="420" w:lineRule="atLeast"/>
      <w:ind w:left="1134" w:hanging="227"/>
      <w:textAlignment w:val="baseline"/>
    </w:pPr>
    <w:rPr>
      <w:kern w:val="0"/>
      <w:szCs w:val="20"/>
    </w:rPr>
  </w:style>
  <w:style w:type="paragraph" w:customStyle="1" w:styleId="68">
    <w:name w:val="表格2"/>
    <w:basedOn w:val="1"/>
    <w:qFormat/>
    <w:uiPriority w:val="0"/>
    <w:pPr>
      <w:adjustRightInd w:val="0"/>
      <w:spacing w:line="420" w:lineRule="atLeast"/>
      <w:ind w:left="284" w:firstLine="454"/>
      <w:textAlignment w:val="baseline"/>
    </w:pPr>
    <w:rPr>
      <w:kern w:val="0"/>
      <w:szCs w:val="20"/>
    </w:rPr>
  </w:style>
  <w:style w:type="paragraph" w:customStyle="1" w:styleId="69">
    <w:name w:val="表格6"/>
    <w:basedOn w:val="70"/>
    <w:qFormat/>
    <w:uiPriority w:val="0"/>
    <w:pPr>
      <w:ind w:left="737" w:firstLine="0"/>
    </w:pPr>
  </w:style>
  <w:style w:type="paragraph" w:customStyle="1" w:styleId="70">
    <w:name w:val="表格5"/>
    <w:basedOn w:val="68"/>
    <w:qFormat/>
    <w:uiPriority w:val="0"/>
    <w:pPr>
      <w:ind w:left="1021" w:hanging="284"/>
    </w:pPr>
    <w:rPr>
      <w:rFonts w:ascii="宋体"/>
    </w:rPr>
  </w:style>
  <w:style w:type="paragraph" w:customStyle="1" w:styleId="71">
    <w:name w:val=" Char Char Char"/>
    <w:basedOn w:val="1"/>
    <w:qFormat/>
    <w:uiPriority w:val="0"/>
    <w:rPr>
      <w:szCs w:val="20"/>
    </w:rPr>
  </w:style>
  <w:style w:type="paragraph" w:customStyle="1" w:styleId="72">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3">
    <w:name w:val="表格3"/>
    <w:basedOn w:val="1"/>
    <w:qFormat/>
    <w:uiPriority w:val="0"/>
    <w:pPr>
      <w:adjustRightInd w:val="0"/>
      <w:spacing w:line="420" w:lineRule="atLeast"/>
      <w:textAlignment w:val="baseline"/>
    </w:pPr>
    <w:rPr>
      <w:rFonts w:eastAsia="楷体"/>
      <w:kern w:val="0"/>
      <w:szCs w:val="20"/>
    </w:rPr>
  </w:style>
  <w:style w:type="paragraph" w:customStyle="1" w:styleId="74">
    <w:name w:val="表中"/>
    <w:basedOn w:val="1"/>
    <w:qFormat/>
    <w:uiPriority w:val="0"/>
    <w:pPr>
      <w:adjustRightInd w:val="0"/>
      <w:spacing w:line="360" w:lineRule="atLeast"/>
      <w:jc w:val="center"/>
      <w:textAlignment w:val="baseline"/>
    </w:pPr>
    <w:rPr>
      <w:kern w:val="0"/>
      <w:szCs w:val="20"/>
    </w:rPr>
  </w:style>
  <w:style w:type="paragraph" w:customStyle="1" w:styleId="75">
    <w:name w:val="表格4"/>
    <w:basedOn w:val="1"/>
    <w:qFormat/>
    <w:uiPriority w:val="0"/>
    <w:pPr>
      <w:adjustRightInd w:val="0"/>
      <w:spacing w:line="420" w:lineRule="atLeast"/>
      <w:ind w:left="1021"/>
      <w:textAlignment w:val="baseline"/>
    </w:pPr>
    <w:rPr>
      <w:kern w:val="0"/>
      <w:szCs w:val="20"/>
    </w:rPr>
  </w:style>
  <w:style w:type="paragraph" w:customStyle="1" w:styleId="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7">
    <w:name w:val="1"/>
    <w:basedOn w:val="1"/>
    <w:next w:val="1"/>
    <w:qFormat/>
    <w:uiPriority w:val="0"/>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表格"/>
    <w:basedOn w:val="1"/>
    <w:qFormat/>
    <w:uiPriority w:val="0"/>
    <w:pPr>
      <w:jc w:val="center"/>
      <w:textAlignment w:val="center"/>
    </w:pPr>
    <w:rPr>
      <w:rFonts w:ascii="华文细黑" w:hAnsi="华文细黑"/>
      <w:kern w:val="0"/>
      <w:szCs w:val="20"/>
    </w:rPr>
  </w:style>
  <w:style w:type="paragraph" w:customStyle="1" w:styleId="80">
    <w:name w:val="表格方字"/>
    <w:basedOn w:val="1"/>
    <w:qFormat/>
    <w:uiPriority w:val="0"/>
    <w:pPr>
      <w:adjustRightInd w:val="0"/>
      <w:spacing w:before="60" w:after="60" w:line="420" w:lineRule="atLeast"/>
      <w:jc w:val="left"/>
      <w:textAlignment w:val="baseline"/>
    </w:pPr>
    <w:rPr>
      <w:kern w:val="0"/>
      <w:szCs w:val="20"/>
    </w:rPr>
  </w:style>
  <w:style w:type="paragraph" w:customStyle="1" w:styleId="81">
    <w:name w:val="表头"/>
    <w:basedOn w:val="80"/>
    <w:qFormat/>
    <w:uiPriority w:val="0"/>
    <w:rPr>
      <w:rFonts w:ascii="黑体" w:eastAsia="黑体"/>
      <w:b/>
    </w:rPr>
  </w:style>
  <w:style w:type="paragraph" w:customStyle="1" w:styleId="82">
    <w:name w:val="表格1"/>
    <w:basedOn w:val="1"/>
    <w:qFormat/>
    <w:uiPriority w:val="0"/>
    <w:pPr>
      <w:adjustRightInd w:val="0"/>
      <w:spacing w:line="420" w:lineRule="atLeast"/>
      <w:ind w:left="284"/>
      <w:textAlignment w:val="baseline"/>
    </w:pPr>
    <w:rPr>
      <w:kern w:val="0"/>
      <w:szCs w:val="20"/>
    </w:rPr>
  </w:style>
  <w:style w:type="paragraph" w:customStyle="1" w:styleId="83">
    <w:name w:val=" Char Char Char Char Char Char"/>
    <w:basedOn w:val="1"/>
    <w:qFormat/>
    <w:uiPriority w:val="0"/>
  </w:style>
  <w:style w:type="paragraph" w:customStyle="1" w:styleId="84">
    <w:name w:val=" Char"/>
    <w:basedOn w:val="1"/>
    <w:qFormat/>
    <w:uiPriority w:val="0"/>
  </w:style>
  <w:style w:type="paragraph" w:customStyle="1" w:styleId="85">
    <w:name w:val=" Char1"/>
    <w:basedOn w:val="1"/>
    <w:qFormat/>
    <w:uiPriority w:val="0"/>
  </w:style>
  <w:style w:type="paragraph" w:customStyle="1" w:styleId="86">
    <w:name w:val="Char"/>
    <w:basedOn w:val="1"/>
    <w:qFormat/>
    <w:uiPriority w:val="0"/>
  </w:style>
  <w:style w:type="paragraph" w:customStyle="1" w:styleId="87">
    <w:name w:val=" Char Char Char Char Char Char Char Char Char Char Char Char Char Char Char Char Char Char1 Char Char Char Char"/>
    <w:basedOn w:val="1"/>
    <w:qFormat/>
    <w:uiPriority w:val="0"/>
  </w:style>
  <w:style w:type="paragraph" w:customStyle="1" w:styleId="88">
    <w:name w:val="_Style 86"/>
    <w:semiHidden/>
    <w:qFormat/>
    <w:uiPriority w:val="99"/>
    <w:rPr>
      <w:rFonts w:ascii="Times New Roman" w:hAnsi="Times New Roman" w:eastAsia="宋体" w:cs="Times New Roman"/>
      <w:kern w:val="2"/>
      <w:sz w:val="21"/>
      <w:szCs w:val="24"/>
      <w:lang w:val="en-US" w:eastAsia="zh-CN" w:bidi="ar-SA"/>
    </w:rPr>
  </w:style>
  <w:style w:type="paragraph" w:customStyle="1" w:styleId="89">
    <w:name w:val="_Style 87"/>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Char Char Char"/>
    <w:basedOn w:val="1"/>
    <w:qFormat/>
    <w:uiPriority w:val="0"/>
    <w:rPr>
      <w:szCs w:val="20"/>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WPSOffice手动目录 3"/>
    <w:qFormat/>
    <w:uiPriority w:val="0"/>
    <w:pPr>
      <w:ind w:leftChars="400"/>
    </w:pPr>
    <w:rPr>
      <w:rFonts w:ascii="Times New Roman" w:hAnsi="Times New Roman" w:eastAsia="宋体" w:cs="Times New Roman"/>
      <w:sz w:val="20"/>
      <w:szCs w:val="20"/>
    </w:rPr>
  </w:style>
  <w:style w:type="paragraph" w:customStyle="1" w:styleId="93">
    <w:name w:val="WPSOffice手动目录 2"/>
    <w:qFormat/>
    <w:uiPriority w:val="0"/>
    <w:pPr>
      <w:ind w:leftChars="200"/>
    </w:pPr>
    <w:rPr>
      <w:rFonts w:ascii="Times New Roman" w:hAnsi="Times New Roman" w:eastAsia="宋体" w:cs="Times New Roman"/>
      <w:sz w:val="20"/>
      <w:szCs w:val="20"/>
    </w:rPr>
  </w:style>
  <w:style w:type="table" w:customStyle="1" w:styleId="94">
    <w:name w:val="Table Normal"/>
    <w:autoRedefine/>
    <w:semiHidden/>
    <w:unhideWhenUsed/>
    <w:qFormat/>
    <w:uiPriority w:val="0"/>
    <w:tblPr>
      <w:tblCellMar>
        <w:top w:w="0" w:type="dxa"/>
        <w:left w:w="0" w:type="dxa"/>
        <w:bottom w:w="0" w:type="dxa"/>
        <w:right w:w="0" w:type="dxa"/>
      </w:tblCellMar>
    </w:tbl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0.xml"/><Relationship Id="rId40" Type="http://schemas.openxmlformats.org/officeDocument/2006/relationships/header" Target="header18.xml"/><Relationship Id="rId4" Type="http://schemas.openxmlformats.org/officeDocument/2006/relationships/header" Target="header1.xml"/><Relationship Id="rId39" Type="http://schemas.openxmlformats.org/officeDocument/2006/relationships/header" Target="header17.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7.xml"/><Relationship Id="rId33" Type="http://schemas.openxmlformats.org/officeDocument/2006/relationships/header" Target="header14.xml"/><Relationship Id="rId32" Type="http://schemas.openxmlformats.org/officeDocument/2006/relationships/footer" Target="footer16.xml"/><Relationship Id="rId31" Type="http://schemas.openxmlformats.org/officeDocument/2006/relationships/header" Target="header13.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4.xml"/><Relationship Id="rId27" Type="http://schemas.openxmlformats.org/officeDocument/2006/relationships/header" Target="header1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218</Pages>
  <Words>8379</Words>
  <Characters>9258</Characters>
  <Lines>1513</Lines>
  <Paragraphs>426</Paragraphs>
  <TotalTime>5</TotalTime>
  <ScaleCrop>false</ScaleCrop>
  <LinksUpToDate>false</LinksUpToDate>
  <CharactersWithSpaces>9776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2016-09-27T13:48:00Z</dcterms:created>
  <dc:creator>袁静</dc:creator>
  <cp:lastModifiedBy>夜如墨</cp:lastModifiedBy>
  <cp:lastPrinted>2026-04-02T06:00:00Z</cp:lastPrinted>
  <dcterms:modified xsi:type="dcterms:W3CDTF">2026-06-01T06:54:57Z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E41C7968EFD74F4C9B537D1F584BE3B6_13</vt:lpwstr>
  </property>
  <property fmtid="{D5CDD505-2E9C-101B-9397-08002B2CF9AE}" pid="4" name="KSOTemplateDocerSaveRecord">
    <vt:lpwstr>eyJoZGlkIjoiMzZkMDI2ZWU4ZjFlZDRlNjQwOTdjNDEzMmViYmE4YzgiLCJ1c2VySWQiOiIyNDAwMTU1MDAifQ==</vt:lpwstr>
  </property>
</Properties>
</file>